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042670" cy="8470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42670" cy="847090"/>
                    </a:xfrm>
                    <a:prstGeom prst="rect"/>
                  </pic:spPr>
                </pic:pic>
              </a:graphicData>
            </a:graphic>
          </wp:inline>
        </w:drawing>
      </w:r>
    </w:p>
    <w:p>
      <w:pPr>
        <w:widowControl w:val="0"/>
        <w:spacing w:after="939" w:line="1" w:lineRule="exact"/>
      </w:pPr>
    </w:p>
    <w:p>
      <w:pPr>
        <w:pStyle w:val="Style7"/>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安徽鑫龙电器股份有限公司</w:t>
      </w:r>
      <w:bookmarkEnd w:id="0"/>
      <w:bookmarkEnd w:id="1"/>
      <w:bookmarkEnd w:id="2"/>
    </w:p>
    <w:p>
      <w:pPr>
        <w:pStyle w:val="Style9"/>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2"/>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794" w:right="1105" w:bottom="2794" w:left="1100"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5"/>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after="80" w:line="629"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80" w:line="63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0.35</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5"/>
        <w:keepNext w:val="0"/>
        <w:keepLines w:val="0"/>
        <w:widowControl w:val="0"/>
        <w:shd w:val="clear" w:color="auto" w:fill="auto"/>
        <w:bidi w:val="0"/>
        <w:spacing w:before="0" w:after="6660" w:line="629" w:lineRule="exact"/>
        <w:ind w:left="0" w:right="0"/>
        <w:jc w:val="both"/>
      </w:pPr>
      <w:r>
        <w:rPr>
          <w:color w:val="000000"/>
          <w:spacing w:val="0"/>
          <w:w w:val="100"/>
          <w:position w:val="0"/>
        </w:rPr>
        <w:t>公司负责人束龙胜、主管会计工作负责人陶黎明及会计机构负责人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杨勇声明：保证年度报告中财务报告的真实、准确、完整。</w:t>
      </w:r>
    </w:p>
    <w:p>
      <w:pPr>
        <w:widowControl w:val="0"/>
        <w:jc w:val="center"/>
        <w:rPr>
          <w:sz w:val="2"/>
          <w:szCs w:val="2"/>
        </w:rPr>
      </w:pPr>
      <w:r>
        <w:drawing>
          <wp:inline>
            <wp:extent cx="1718945" cy="98171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1718945" cy="981710"/>
                    </a:xfrm>
                    <a:prstGeom prst="rect"/>
                  </pic:spPr>
                </pic:pic>
              </a:graphicData>
            </a:graphic>
          </wp:inline>
        </w:drawing>
      </w:r>
    </w:p>
    <w:p>
      <w:pPr>
        <w:pStyle w:val="Style7"/>
        <w:keepNext/>
        <w:keepLines/>
        <w:widowControl w:val="0"/>
        <w:shd w:val="clear" w:color="auto" w:fill="auto"/>
        <w:bidi w:val="0"/>
        <w:spacing w:before="0" w:after="148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8"/>
        <w:keepNext w:val="0"/>
        <w:keepLines w:val="0"/>
        <w:widowControl w:val="0"/>
        <w:shd w:val="clear" w:color="auto" w:fill="auto"/>
        <w:tabs>
          <w:tab w:leader="dot" w:pos="9608"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pos="517" w:val="left"/>
          <w:tab w:leader="dot" w:pos="9608" w:val="right"/>
        </w:tabs>
        <w:bidi w:val="0"/>
        <w:spacing w:before="0" w:line="240" w:lineRule="auto"/>
        <w:ind w:left="0" w:right="0" w:firstLine="0"/>
        <w:jc w:val="both"/>
      </w:pPr>
      <w:hyperlink w:anchor="bookmark7" w:tooltip="Current Document">
        <w:bookmarkStart w:id="12" w:name="bookmark12"/>
        <w:r>
          <w:rPr>
            <w:color w:val="000000"/>
            <w:spacing w:val="0"/>
            <w:w w:val="100"/>
            <w:position w:val="0"/>
            <w:sz w:val="24"/>
            <w:szCs w:val="24"/>
          </w:rPr>
          <w:t>一</w:t>
        </w:r>
        <w:bookmarkEnd w:id="12"/>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pos="517" w:val="left"/>
          <w:tab w:leader="dot" w:pos="9608" w:val="right"/>
        </w:tabs>
        <w:bidi w:val="0"/>
        <w:spacing w:before="0" w:line="240" w:lineRule="auto"/>
        <w:ind w:left="0" w:right="0" w:firstLine="0"/>
        <w:jc w:val="both"/>
      </w:pPr>
      <w:bookmarkStart w:id="13" w:name="bookmark13"/>
      <w:r>
        <w:rPr>
          <w:color w:val="000000"/>
          <w:spacing w:val="0"/>
          <w:w w:val="100"/>
          <w:position w:val="0"/>
          <w:sz w:val="24"/>
          <w:szCs w:val="24"/>
        </w:rPr>
        <w:t>二</w:t>
      </w:r>
      <w:bookmarkEnd w:id="13"/>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53" w:tooltip="Current Document">
        <w:bookmarkStart w:id="14" w:name="bookmark14"/>
        <w:r>
          <w:rPr>
            <w:color w:val="000000"/>
            <w:spacing w:val="0"/>
            <w:w w:val="100"/>
            <w:position w:val="0"/>
            <w:sz w:val="24"/>
            <w:szCs w:val="24"/>
          </w:rPr>
          <w:t>三</w:t>
        </w:r>
        <w:bookmarkEnd w:id="14"/>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5" w:name="bookmark15"/>
      <w:r>
        <w:rPr>
          <w:color w:val="000000"/>
          <w:spacing w:val="0"/>
          <w:w w:val="100"/>
          <w:position w:val="0"/>
          <w:sz w:val="24"/>
          <w:szCs w:val="24"/>
        </w:rPr>
        <w:t>四</w:t>
      </w:r>
      <w:bookmarkEnd w:id="15"/>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6" w:name="bookmark16"/>
      <w:r>
        <w:rPr>
          <w:color w:val="000000"/>
          <w:spacing w:val="0"/>
          <w:w w:val="100"/>
          <w:position w:val="0"/>
          <w:sz w:val="24"/>
          <w:szCs w:val="24"/>
        </w:rPr>
        <w:t>五</w:t>
      </w:r>
      <w:bookmarkEnd w:id="16"/>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276" w:tooltip="Current Document">
        <w:bookmarkStart w:id="17" w:name="bookmark17"/>
        <w:r>
          <w:rPr>
            <w:color w:val="000000"/>
            <w:spacing w:val="0"/>
            <w:w w:val="100"/>
            <w:position w:val="0"/>
            <w:sz w:val="24"/>
            <w:szCs w:val="24"/>
          </w:rPr>
          <w:t>六</w:t>
        </w:r>
        <w:bookmarkEnd w:id="17"/>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322" w:tooltip="Current Document">
        <w:bookmarkStart w:id="18" w:name="bookmark18"/>
        <w:r>
          <w:rPr>
            <w:color w:val="000000"/>
            <w:spacing w:val="0"/>
            <w:w w:val="100"/>
            <w:position w:val="0"/>
            <w:sz w:val="24"/>
            <w:szCs w:val="24"/>
          </w:rPr>
          <w:t>七</w:t>
        </w:r>
        <w:bookmarkEnd w:id="18"/>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9" w:name="bookmark19"/>
      <w:r>
        <w:rPr>
          <w:color w:val="000000"/>
          <w:spacing w:val="0"/>
          <w:w w:val="100"/>
          <w:position w:val="0"/>
          <w:sz w:val="24"/>
          <w:szCs w:val="24"/>
        </w:rPr>
        <w:t>八</w:t>
      </w:r>
      <w:bookmarkEnd w:id="19"/>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p>
    <w:p>
      <w:pPr>
        <w:pStyle w:val="Style18"/>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20" w:name="bookmark20"/>
      <w:r>
        <w:rPr>
          <w:color w:val="000000"/>
          <w:spacing w:val="0"/>
          <w:w w:val="100"/>
          <w:position w:val="0"/>
          <w:sz w:val="24"/>
          <w:szCs w:val="24"/>
        </w:rPr>
        <w:t>九</w:t>
      </w:r>
      <w:bookmarkEnd w:id="20"/>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p>
    <w:p>
      <w:pPr>
        <w:pStyle w:val="Style18"/>
        <w:keepNext w:val="0"/>
        <w:keepLines w:val="0"/>
        <w:widowControl w:val="0"/>
        <w:shd w:val="clear" w:color="auto" w:fill="auto"/>
        <w:tabs>
          <w:tab w:leader="dot" w:pos="9608" w:val="right"/>
        </w:tabs>
        <w:bidi w:val="0"/>
        <w:spacing w:before="0" w:line="240" w:lineRule="auto"/>
        <w:ind w:left="0" w:right="0" w:firstLine="0"/>
        <w:jc w:val="both"/>
      </w:pPr>
      <w:hyperlink w:anchor="bookmark455"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8"/>
        <w:keepNext w:val="0"/>
        <w:keepLines w:val="0"/>
        <w:widowControl w:val="0"/>
        <w:shd w:val="clear" w:color="auto" w:fill="auto"/>
        <w:tabs>
          <w:tab w:leader="dot" w:pos="9608" w:val="right"/>
        </w:tabs>
        <w:bidi w:val="0"/>
        <w:spacing w:before="0" w:after="4800" w:line="240" w:lineRule="auto"/>
        <w:ind w:left="0" w:right="0" w:firstLine="0"/>
        <w:jc w:val="both"/>
      </w:pPr>
      <w:hyperlink w:anchor="bookmark1595" w:tooltip="Current Document">
        <w:r>
          <w:rPr>
            <w:color w:val="000000"/>
            <w:spacing w:val="0"/>
            <w:w w:val="100"/>
            <w:position w:val="0"/>
            <w:sz w:val="24"/>
            <w:szCs w:val="24"/>
          </w:rPr>
          <w:t>十^一、备查文件目录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152</w:t>
        </w:r>
      </w:hyperlink>
      <w:r>
        <w:fldChar w:fldCharType="end"/>
      </w:r>
    </w:p>
    <w:p>
      <w:pPr>
        <w:widowControl w:val="0"/>
        <w:jc w:val="center"/>
        <w:rPr>
          <w:sz w:val="2"/>
          <w:szCs w:val="2"/>
        </w:rPr>
      </w:pPr>
      <w:r>
        <w:drawing>
          <wp:inline>
            <wp:extent cx="1718945" cy="98171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pic:blipFill>
                  <pic:spPr>
                    <a:xfrm>
                      <a:ext cx="1718945" cy="981710"/>
                    </a:xfrm>
                    <a:prstGeom prst="rect"/>
                  </pic:spPr>
                </pic:pic>
              </a:graphicData>
            </a:graphic>
          </wp:inline>
        </w:drawing>
      </w:r>
      <w:r>
        <w:br w:type="page"/>
      </w:r>
    </w:p>
    <w:p>
      <w:pPr>
        <w:pStyle w:val="Style9"/>
        <w:keepNext/>
        <w:keepLines/>
        <w:widowControl w:val="0"/>
        <w:shd w:val="clear" w:color="auto" w:fill="auto"/>
        <w:bidi w:val="0"/>
        <w:spacing w:before="0" w:after="820" w:line="240" w:lineRule="auto"/>
        <w:ind w:left="0" w:right="0" w:firstLine="0"/>
        <w:jc w:val="center"/>
      </w:pPr>
      <w:bookmarkStart w:id="21" w:name="bookmark21"/>
      <w:bookmarkStart w:id="22" w:name="bookmark22"/>
      <w:bookmarkStart w:id="23" w:name="bookmark23"/>
      <w:r>
        <w:rPr>
          <w:color w:val="000000"/>
          <w:spacing w:val="0"/>
          <w:w w:val="100"/>
          <w:position w:val="0"/>
        </w:rPr>
        <w:t>释义</w:t>
      </w:r>
      <w:bookmarkEnd w:id="21"/>
      <w:bookmarkEnd w:id="22"/>
      <w:bookmarkEnd w:id="23"/>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本公司、公司、鑫龙电器、股份公司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《公司章程》或《章程》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安徽鑫龙电器股份有限公司董事会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大华事务所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华林证券有限责任公司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人民币万元</w:t>
            </w:r>
          </w:p>
        </w:tc>
      </w:tr>
    </w:tbl>
    <w:p>
      <w:pPr>
        <w:widowControl w:val="0"/>
        <w:spacing w:after="6759" w:line="1" w:lineRule="exact"/>
      </w:pPr>
    </w:p>
    <w:p>
      <w:pPr>
        <w:widowControl w:val="0"/>
        <w:jc w:val="center"/>
        <w:rPr>
          <w:sz w:val="2"/>
          <w:szCs w:val="2"/>
        </w:r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969" w:right="1118" w:bottom="1" w:left="1085" w:header="0" w:footer="3" w:gutter="0"/>
          <w:cols w:space="720"/>
          <w:noEndnote/>
          <w:rtlGutter w:val="0"/>
          <w:docGrid w:linePitch="360"/>
        </w:sectPr>
      </w:pPr>
      <w:r>
        <w:drawing>
          <wp:inline>
            <wp:extent cx="1718945" cy="98171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1718945" cy="981710"/>
                    </a:xfrm>
                    <a:prstGeom prst="rect"/>
                  </pic:spPr>
                </pic:pic>
              </a:graphicData>
            </a:graphic>
          </wp:inline>
        </w:drawing>
      </w:r>
    </w:p>
    <w:p>
      <w:pPr>
        <w:pStyle w:val="Style9"/>
        <w:keepNext/>
        <w:keepLines/>
        <w:widowControl w:val="0"/>
        <w:shd w:val="clear" w:color="auto" w:fill="auto"/>
        <w:bidi w:val="0"/>
        <w:spacing w:before="80" w:after="100" w:line="240" w:lineRule="auto"/>
        <w:ind w:left="0" w:right="0" w:firstLine="0"/>
        <w:jc w:val="center"/>
      </w:pPr>
      <w:bookmarkStart w:id="24" w:name="bookmark24"/>
      <w:bookmarkStart w:id="25" w:name="bookmark25"/>
      <w:bookmarkStart w:id="26" w:name="bookmark26"/>
      <w:r>
        <w:rPr>
          <w:color w:val="000000"/>
          <w:spacing w:val="0"/>
          <w:w w:val="100"/>
          <w:position w:val="0"/>
        </w:rPr>
        <w:t>重大风险提示</w:t>
      </w:r>
      <w:bookmarkEnd w:id="24"/>
      <w:bookmarkEnd w:id="25"/>
      <w:bookmarkEnd w:id="26"/>
    </w:p>
    <w:p>
      <w:pPr>
        <w:pStyle w:val="Style15"/>
        <w:keepNext w:val="0"/>
        <w:keepLines w:val="0"/>
        <w:widowControl w:val="0"/>
        <w:shd w:val="clear" w:color="auto" w:fill="auto"/>
        <w:tabs>
          <w:tab w:pos="986" w:val="left"/>
        </w:tabs>
        <w:bidi w:val="0"/>
        <w:spacing w:before="0" w:line="624" w:lineRule="exact"/>
        <w:ind w:left="0" w:right="0"/>
        <w:jc w:val="both"/>
      </w:pPr>
      <w:bookmarkStart w:id="27" w:name="bookmark27"/>
      <w:r>
        <w:rPr>
          <w:rFonts w:ascii="Times New Roman" w:eastAsia="Times New Roman" w:hAnsi="Times New Roman" w:cs="Times New Roman"/>
          <w:color w:val="000000"/>
          <w:spacing w:val="0"/>
          <w:w w:val="100"/>
          <w:position w:val="0"/>
        </w:rPr>
        <w:t>1</w:t>
      </w:r>
      <w:bookmarkEnd w:id="27"/>
      <w:r>
        <w:rPr>
          <w:color w:val="000000"/>
          <w:spacing w:val="0"/>
          <w:w w:val="100"/>
          <w:position w:val="0"/>
        </w:rPr>
        <w:t>、</w:t>
        <w:tab/>
        <w:t>行业竞争风险经过多年发展，我国输配电及控制设备制造业已形成了 国有企业、民营企业和外资企业并存的市场竞争格局。在高低压领域，输配电 及控制设备产品的生产厂家众多，行业集中度较低，市场竞争激烈，产品的价 格、质量、技术含量和售后服务受到越来越多的关注，因此当行业竞争加剧时, 公司的经营业绩将会受到一定程度的影响。</w:t>
      </w:r>
    </w:p>
    <w:p>
      <w:pPr>
        <w:pStyle w:val="Style15"/>
        <w:keepNext w:val="0"/>
        <w:keepLines w:val="0"/>
        <w:widowControl w:val="0"/>
        <w:shd w:val="clear" w:color="auto" w:fill="auto"/>
        <w:tabs>
          <w:tab w:pos="986" w:val="left"/>
        </w:tabs>
        <w:bidi w:val="0"/>
        <w:spacing w:before="0"/>
        <w:ind w:left="0" w:right="0"/>
        <w:jc w:val="both"/>
      </w:pPr>
      <w:bookmarkStart w:id="28" w:name="bookmark28"/>
      <w:r>
        <w:rPr>
          <w:rFonts w:ascii="Times New Roman" w:eastAsia="Times New Roman" w:hAnsi="Times New Roman" w:cs="Times New Roman"/>
          <w:color w:val="000000"/>
          <w:spacing w:val="0"/>
          <w:w w:val="100"/>
          <w:position w:val="0"/>
        </w:rPr>
        <w:t>2</w:t>
      </w:r>
      <w:bookmarkEnd w:id="28"/>
      <w:r>
        <w:rPr>
          <w:color w:val="000000"/>
          <w:spacing w:val="0"/>
          <w:w w:val="100"/>
          <w:position w:val="0"/>
        </w:rPr>
        <w:t>、</w:t>
        <w:tab/>
        <w:t>产品质量风险公司的产品主要应用于输配电及控制系统，产品质量相 当关键，一旦出现故障，有可能造成用户电力系统严重事故，甚至危及电网的 安全，给公司信誉带来重大损害，影响公司产品的销售；同时，公司产品出厂 后，如果在用户安装检验过程中发现质量问题，不能达到设计要求，无论返工 或退货，都将会直接影响公司的经济效益，给公司带来产品质量的风险。</w:t>
      </w:r>
    </w:p>
    <w:p>
      <w:pPr>
        <w:pStyle w:val="Style15"/>
        <w:keepNext w:val="0"/>
        <w:keepLines w:val="0"/>
        <w:widowControl w:val="0"/>
        <w:shd w:val="clear" w:color="auto" w:fill="auto"/>
        <w:bidi w:val="0"/>
        <w:spacing w:before="0" w:line="621" w:lineRule="exact"/>
        <w:ind w:left="0" w:right="0"/>
        <w:jc w:val="both"/>
      </w:pPr>
      <w:bookmarkStart w:id="29" w:name="bookmark29"/>
      <w:r>
        <w:rPr>
          <w:rFonts w:ascii="Times New Roman" w:eastAsia="Times New Roman" w:hAnsi="Times New Roman" w:cs="Times New Roman"/>
          <w:color w:val="000000"/>
          <w:spacing w:val="0"/>
          <w:w w:val="100"/>
          <w:position w:val="0"/>
        </w:rPr>
        <w:t>3</w:t>
      </w:r>
      <w:bookmarkEnd w:id="29"/>
      <w:r>
        <w:rPr>
          <w:color w:val="000000"/>
          <w:spacing w:val="0"/>
          <w:w w:val="100"/>
          <w:position w:val="0"/>
        </w:rPr>
        <w:t>、 募集资金投资项目无法产生预期收益的风险公司本次发行募集资金投 资项目的可行性分析是基于当前市场环境、技术发展趋势等因素做出的，投资 项目虽然经过了慎重、充分的可行性研究论证，但仍可能存在无法产生预期收 益。</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2014</w:t>
      </w:r>
      <w:r>
        <w:rPr>
          <w:color w:val="000000"/>
          <w:spacing w:val="0"/>
          <w:w w:val="100"/>
          <w:position w:val="0"/>
        </w:rPr>
        <w:t>年度选定的信息披露媒体为《中国证券报》、《证券时报》、《上 海证券报》和巨潮资讯网(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)，公司所有信息均以在上</w:t>
      </w:r>
      <w:r>
        <w:rPr>
          <w:color w:val="000000"/>
          <w:spacing w:val="0"/>
          <w:w w:val="100"/>
          <w:position w:val="0"/>
        </w:rPr>
        <w:t xml:space="preserve"> 述选定媒体刊登的信息为准，敬请投资者注意投资风险。</w:t>
      </w:r>
      <w:r>
        <w:br w:type="page"/>
      </w:r>
    </w:p>
    <w:p>
      <w:pPr>
        <w:pStyle w:val="Style9"/>
        <w:keepNext/>
        <w:keepLines/>
        <w:widowControl w:val="0"/>
        <w:shd w:val="clear" w:color="auto" w:fill="auto"/>
        <w:bidi w:val="0"/>
        <w:spacing w:before="0" w:after="560" w:line="240" w:lineRule="auto"/>
        <w:ind w:left="0" w:right="0" w:firstLine="0"/>
        <w:jc w:val="center"/>
      </w:pPr>
      <w:bookmarkStart w:id="30" w:name="bookmark30"/>
      <w:bookmarkStart w:id="31" w:name="bookmark31"/>
      <w:bookmarkStart w:id="32" w:name="bookmark32"/>
      <w:r>
        <w:rPr>
          <w:color w:val="000000"/>
          <w:spacing w:val="0"/>
          <w:w w:val="100"/>
          <w:position w:val="0"/>
        </w:rPr>
        <w:t>第二节公司简介</w:t>
      </w:r>
      <w:bookmarkEnd w:id="30"/>
      <w:bookmarkEnd w:id="31"/>
      <w:bookmarkEnd w:id="32"/>
    </w:p>
    <w:p>
      <w:pPr>
        <w:pStyle w:val="Style25"/>
        <w:keepNext/>
        <w:keepLines/>
        <w:widowControl w:val="0"/>
        <w:shd w:val="clear" w:color="auto" w:fill="auto"/>
        <w:bidi w:val="0"/>
        <w:spacing w:before="0" w:line="240" w:lineRule="auto"/>
        <w:ind w:left="0" w:right="0" w:firstLine="240"/>
        <w:jc w:val="both"/>
      </w:pPr>
      <w:bookmarkStart w:id="33" w:name="bookmark33"/>
      <w:bookmarkStart w:id="34" w:name="bookmark34"/>
      <w:bookmarkStart w:id="35" w:name="bookmark35"/>
      <w:r>
        <w:rPr>
          <w:color w:val="000000"/>
          <w:spacing w:val="0"/>
          <w:w w:val="100"/>
          <w:position w:val="0"/>
          <w:sz w:val="24"/>
          <w:szCs w:val="24"/>
        </w:rPr>
        <w:t>、公司信息</w:t>
      </w:r>
      <w:bookmarkEnd w:id="33"/>
      <w:bookmarkEnd w:id="34"/>
      <w:bookmarkEnd w:id="35"/>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鑫龙电器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鑫龙电器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Anhui Xinlong Electrical Co.,Ltd.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Xinlong Electrical</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安徽省芜湖市经济技术开发区电器部件园（九华北路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安徽省芜湖市经济技术开发区电器部件园（九华北路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//www. ah-xinlong.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xinlongdsb@126. com</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二</w:t>
      </w:r>
      <w:bookmarkEnd w:id="38"/>
      <w:r>
        <w:rPr>
          <w:color w:val="000000"/>
          <w:spacing w:val="0"/>
          <w:w w:val="100"/>
          <w:position w:val="0"/>
          <w:sz w:val="24"/>
          <w:szCs w:val="24"/>
        </w:rPr>
        <w:t>、联系人和联系方式</w:t>
      </w:r>
      <w:bookmarkEnd w:id="36"/>
      <w:bookmarkEnd w:id="37"/>
      <w:bookmarkEnd w:id="3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安徽省芜湖市经济技术开发区九华北路</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安徽省芜湖市经济技术开发区九华北路</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0553-5772627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0553-5772627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0553-5312688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0553-5772865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"mailto:xinlongdsb@126.com" </w:instrText>
            </w:r>
            <w:r>
              <w:fldChar w:fldCharType="separate"/>
            </w:r>
            <w:r>
              <w:rPr>
                <w:rFonts w:ascii="Times New Roman" w:eastAsia="Times New Roman" w:hAnsi="Times New Roman" w:cs="Times New Roman"/>
                <w:color w:val="000000"/>
                <w:spacing w:val="0"/>
                <w:w w:val="100"/>
                <w:position w:val="0"/>
                <w:sz w:val="18"/>
                <w:szCs w:val="18"/>
              </w:rPr>
              <w:t>xinlongdsb@126.com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zhuwen888@126. com</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三</w:t>
      </w:r>
      <w:bookmarkEnd w:id="42"/>
      <w:r>
        <w:rPr>
          <w:color w:val="000000"/>
          <w:spacing w:val="0"/>
          <w:w w:val="100"/>
          <w:position w:val="0"/>
          <w:sz w:val="24"/>
          <w:szCs w:val="24"/>
        </w:rPr>
        <w:t>、信息披露及备置地点</w:t>
      </w:r>
      <w:bookmarkEnd w:id="40"/>
      <w:bookmarkEnd w:id="41"/>
      <w:bookmarkEnd w:id="43"/>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www.cninfb.com.cn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844" w:right="1025" w:bottom="2449" w:left="1049" w:header="0" w:footer="3" w:gutter="0"/>
          <w:cols w:space="720"/>
          <w:noEndnote/>
          <w:titlePg/>
          <w:rtlGutter w:val="0"/>
          <w:docGrid w:linePitch="360"/>
        </w:sectPr>
      </w:pPr>
    </w:p>
    <w:p>
      <w:pPr>
        <w:pStyle w:val="Style25"/>
        <w:keepNext/>
        <w:keepLines/>
        <w:widowControl w:val="0"/>
        <w:shd w:val="clear" w:color="auto" w:fill="auto"/>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四</w:t>
      </w:r>
      <w:bookmarkEnd w:id="46"/>
      <w:r>
        <w:rPr>
          <w:color w:val="000000"/>
          <w:spacing w:val="0"/>
          <w:w w:val="100"/>
          <w:position w:val="0"/>
          <w:sz w:val="24"/>
          <w:szCs w:val="24"/>
        </w:rPr>
        <w:t>、注册变更情况</w:t>
      </w:r>
      <w:bookmarkEnd w:id="44"/>
      <w:bookmarkEnd w:id="45"/>
      <w:bookmarkEnd w:id="47"/>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芜湖市工商行政管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3400002400030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340207149661982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14966198-2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芜湖市工商行政管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340200000135548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340207149661982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14966198-2</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主营业务未发生变化。</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控股股东未发生变更。</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五</w:t>
      </w:r>
      <w:bookmarkEnd w:id="50"/>
      <w:r>
        <w:rPr>
          <w:color w:val="000000"/>
          <w:spacing w:val="0"/>
          <w:w w:val="100"/>
          <w:position w:val="0"/>
          <w:sz w:val="24"/>
          <w:szCs w:val="24"/>
        </w:rPr>
        <w:t>、其他有关资料</w:t>
      </w:r>
      <w:bookmarkEnd w:id="48"/>
      <w:bookmarkEnd w:id="49"/>
      <w:bookmarkEnd w:id="5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吕勇军、王海涛</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华林证券有限责任公司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深圳市福田区民田路</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号华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融大厦</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龚寒汀、乔绪升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49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7"/>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第三节会计数据和财务指标摘要</w:t>
      </w:r>
      <w:bookmarkEnd w:id="52"/>
      <w:bookmarkEnd w:id="53"/>
      <w:bookmarkEnd w:id="54"/>
    </w:p>
    <w:p>
      <w:pPr>
        <w:pStyle w:val="Style25"/>
        <w:keepNext/>
        <w:keepLines/>
        <w:widowControl w:val="0"/>
        <w:shd w:val="clear" w:color="auto" w:fill="auto"/>
        <w:bidi w:val="0"/>
        <w:spacing w:before="0" w:after="220" w:line="240" w:lineRule="auto"/>
        <w:ind w:left="0" w:right="0" w:firstLine="240"/>
        <w:jc w:val="both"/>
      </w:pPr>
      <w:bookmarkStart w:id="55" w:name="bookmark55"/>
      <w:bookmarkStart w:id="56" w:name="bookmark56"/>
      <w:bookmarkStart w:id="57" w:name="bookmark57"/>
      <w:r>
        <w:rPr>
          <w:color w:val="000000"/>
          <w:spacing w:val="0"/>
          <w:w w:val="100"/>
          <w:position w:val="0"/>
          <w:sz w:val="24"/>
          <w:szCs w:val="24"/>
        </w:rPr>
        <w:t>、主要会计数据和财务指标</w:t>
      </w:r>
      <w:bookmarkEnd w:id="55"/>
      <w:bookmarkEnd w:id="56"/>
      <w:bookmarkEnd w:id="57"/>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905,195,459.03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944,045,898.95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862,131,195.42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87,486,738.75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95,341,859.82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72,702,903.49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48,110,252.09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91,302,922.48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68,514,400.50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-83,848,189.23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46,176,494.69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10,708,541.39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2,294,430,288.67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2,031,181,429.05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1,462,131,475.18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1,277,645,038.83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1,163,542,768.83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551,487,971.50</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240"/>
        <w:jc w:val="both"/>
      </w:pPr>
      <w:bookmarkStart w:id="58" w:name="bookmark58"/>
      <w:bookmarkStart w:id="59" w:name="bookmark59"/>
      <w:bookmarkStart w:id="60" w:name="bookmark60"/>
      <w:r>
        <w:rPr>
          <w:color w:val="000000"/>
          <w:spacing w:val="0"/>
          <w:w w:val="100"/>
          <w:position w:val="0"/>
          <w:sz w:val="24"/>
          <w:szCs w:val="24"/>
        </w:rPr>
        <w:t>、非经常性损益项目及金额</w:t>
      </w:r>
      <w:bookmarkEnd w:id="58"/>
      <w:bookmarkEnd w:id="59"/>
      <w:bookmarkEnd w:id="6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255,068.60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46,409,942.78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4,955,148.00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4,703,451.00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主要系收到单位创新 奖励和产业技术升级 补助款等</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22,707.42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6,984,507.41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766,960.81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739,126.34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62,777.65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39,376,486.66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4,038,937.34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4,188,502.99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926" w:right="1196" w:bottom="1681" w:left="1119" w:header="0" w:footer="3" w:gutter="0"/>
          <w:cols w:space="720"/>
          <w:noEndnote/>
          <w:rtlGutter w:val="0"/>
          <w:docGrid w:linePitch="360"/>
        </w:sectPr>
      </w:pP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125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pPr>
      <w:r>
        <w:drawing>
          <wp:inline>
            <wp:extent cx="1718945" cy="98171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9"/>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line="240" w:lineRule="auto"/>
        <w:ind w:left="0" w:right="0" w:firstLine="0"/>
        <w:jc w:val="center"/>
      </w:pPr>
      <w:bookmarkStart w:id="61" w:name="bookmark61"/>
      <w:bookmarkStart w:id="62" w:name="bookmark62"/>
      <w:bookmarkStart w:id="63" w:name="bookmark63"/>
      <w:r>
        <w:rPr>
          <w:color w:val="000000"/>
          <w:spacing w:val="0"/>
          <w:w w:val="100"/>
          <w:position w:val="0"/>
        </w:rPr>
        <w:t>第四节董事会报告</w:t>
      </w:r>
      <w:bookmarkEnd w:id="61"/>
      <w:bookmarkEnd w:id="62"/>
      <w:bookmarkEnd w:id="63"/>
    </w:p>
    <w:p>
      <w:pPr>
        <w:pStyle w:val="Style25"/>
        <w:keepNext/>
        <w:keepLines/>
        <w:widowControl w:val="0"/>
        <w:shd w:val="clear" w:color="auto" w:fill="auto"/>
        <w:tabs>
          <w:tab w:pos="513" w:val="left"/>
        </w:tabs>
        <w:bidi w:val="0"/>
        <w:spacing w:before="0" w:after="2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w:t>
        <w:tab/>
        <w:t>概述</w:t>
      </w:r>
      <w:bookmarkEnd w:id="64"/>
      <w:bookmarkEnd w:id="65"/>
      <w:bookmarkEnd w:id="67"/>
    </w:p>
    <w:p>
      <w:pPr>
        <w:pStyle w:val="Style29"/>
        <w:keepNext w:val="0"/>
        <w:keepLines w:val="0"/>
        <w:widowControl w:val="0"/>
        <w:shd w:val="clear" w:color="auto" w:fill="auto"/>
        <w:bidi w:val="0"/>
        <w:spacing w:before="0" w:line="317"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年公司在董事会的领导下，经营管理团队紧紧围绕年初制定的经营目标，积极主动应对外部环境的变化，加强落实 内部在经营、生产以及基础管理方面的系列工作。</w:t>
      </w:r>
    </w:p>
    <w:p>
      <w:pPr>
        <w:pStyle w:val="Style29"/>
        <w:keepNext w:val="0"/>
        <w:keepLines w:val="0"/>
        <w:widowControl w:val="0"/>
        <w:shd w:val="clear" w:color="auto" w:fill="auto"/>
        <w:bidi w:val="0"/>
        <w:spacing w:before="0" w:line="343"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905,195,459.03</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99,735,189.85</w:t>
      </w:r>
      <w:r>
        <w:rPr>
          <w:color w:val="000000"/>
          <w:spacing w:val="0"/>
          <w:w w:val="100"/>
          <w:position w:val="0"/>
        </w:rPr>
        <w:t>元，比上年同期下 降</w:t>
      </w:r>
      <w:r>
        <w:rPr>
          <w:rFonts w:ascii="Times New Roman" w:eastAsia="Times New Roman" w:hAnsi="Times New Roman" w:cs="Times New Roman"/>
          <w:color w:val="000000"/>
          <w:spacing w:val="0"/>
          <w:w w:val="100"/>
          <w:position w:val="0"/>
          <w:sz w:val="18"/>
          <w:szCs w:val="18"/>
        </w:rPr>
        <w:t xml:space="preserve">10.05% </w:t>
      </w:r>
      <w:r>
        <w:rPr>
          <w:color w:val="000000"/>
          <w:spacing w:val="0"/>
          <w:w w:val="100"/>
          <w:position w:val="0"/>
        </w:rPr>
        <w:t>；实现合并净利润</w:t>
      </w:r>
      <w:r>
        <w:rPr>
          <w:rFonts w:ascii="Times New Roman" w:eastAsia="Times New Roman" w:hAnsi="Times New Roman" w:cs="Times New Roman"/>
          <w:color w:val="000000"/>
          <w:spacing w:val="0"/>
          <w:w w:val="100"/>
          <w:position w:val="0"/>
          <w:sz w:val="18"/>
          <w:szCs w:val="18"/>
        </w:rPr>
        <w:t>87,559,506.5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87,486,738.75</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8.24%</w:t>
      </w:r>
      <w:r>
        <w:rPr>
          <w:color w:val="000000"/>
          <w:spacing w:val="0"/>
          <w:w w:val="100"/>
          <w:position w:val="0"/>
        </w:rPr>
        <w:t>。 公司回顾总结前期披露的主要工作情况：</w:t>
      </w:r>
    </w:p>
    <w:p>
      <w:pPr>
        <w:pStyle w:val="Style29"/>
        <w:keepNext w:val="0"/>
        <w:keepLines w:val="0"/>
        <w:widowControl w:val="0"/>
        <w:shd w:val="clear" w:color="auto" w:fill="auto"/>
        <w:tabs>
          <w:tab w:pos="331" w:val="left"/>
        </w:tabs>
        <w:bidi w:val="0"/>
        <w:spacing w:before="0" w:after="0" w:line="314" w:lineRule="exact"/>
        <w:ind w:left="0" w:right="0" w:firstLine="0"/>
        <w:jc w:val="left"/>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w:t>
        <w:tab/>
        <w:t>完成了第一个行权期第一次行权事宜</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经公司董事会申请、深圳证券交易所确认、中国证券登记结算有限责任公司深圳分公司核准登记，公司以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日为股票期权激励计划首次授予第一个行权期第一次行权登记日，对本次提出申请行权的</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名激励对象的</w:t>
      </w:r>
      <w:r>
        <w:rPr>
          <w:rFonts w:ascii="Times New Roman" w:eastAsia="Times New Roman" w:hAnsi="Times New Roman" w:cs="Times New Roman"/>
          <w:color w:val="000000"/>
          <w:spacing w:val="0"/>
          <w:w w:val="100"/>
          <w:position w:val="0"/>
          <w:sz w:val="18"/>
          <w:szCs w:val="18"/>
        </w:rPr>
        <w:t>497.93</w:t>
      </w:r>
      <w:r>
        <w:rPr>
          <w:color w:val="000000"/>
          <w:spacing w:val="0"/>
          <w:w w:val="100"/>
          <w:position w:val="0"/>
        </w:rPr>
        <w:t>万份股票 期权予以行权。本次行权股份的上市时间为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日。本次行权完成后，公司注册资本由</w:t>
      </w:r>
      <w:r>
        <w:rPr>
          <w:rFonts w:ascii="Times New Roman" w:eastAsia="Times New Roman" w:hAnsi="Times New Roman" w:cs="Times New Roman"/>
          <w:color w:val="000000"/>
          <w:spacing w:val="0"/>
          <w:w w:val="100"/>
          <w:position w:val="0"/>
          <w:sz w:val="18"/>
          <w:szCs w:val="18"/>
        </w:rPr>
        <w:t>40,886.9</w:t>
      </w:r>
      <w:r>
        <w:rPr>
          <w:color w:val="000000"/>
          <w:spacing w:val="0"/>
          <w:w w:val="100"/>
          <w:position w:val="0"/>
        </w:rPr>
        <w:t>万元增加为</w:t>
      </w:r>
      <w:r>
        <w:rPr>
          <w:rFonts w:ascii="Times New Roman" w:eastAsia="Times New Roman" w:hAnsi="Times New Roman" w:cs="Times New Roman"/>
          <w:color w:val="000000"/>
          <w:spacing w:val="0"/>
          <w:w w:val="100"/>
          <w:position w:val="0"/>
          <w:sz w:val="18"/>
          <w:szCs w:val="18"/>
        </w:rPr>
        <w:t xml:space="preserve">41,384.83 </w:t>
      </w:r>
      <w:r>
        <w:rPr>
          <w:color w:val="000000"/>
          <w:spacing w:val="0"/>
          <w:w w:val="100"/>
          <w:position w:val="0"/>
        </w:rPr>
        <w:t>万元。</w:t>
      </w:r>
    </w:p>
    <w:p>
      <w:pPr>
        <w:pStyle w:val="Style29"/>
        <w:keepNext w:val="0"/>
        <w:keepLines w:val="0"/>
        <w:widowControl w:val="0"/>
        <w:shd w:val="clear" w:color="auto" w:fill="auto"/>
        <w:tabs>
          <w:tab w:pos="350" w:val="left"/>
        </w:tabs>
        <w:bidi w:val="0"/>
        <w:spacing w:before="0" w:after="0" w:line="316" w:lineRule="exact"/>
        <w:ind w:left="0" w:right="0" w:firstLine="0"/>
        <w:jc w:val="left"/>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关于亳州投资事宜</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为更好地促进公司发展，公司于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日与亳州芜湖现代产业园区管委会签署的《关于安徽鑫龙电器股份有限公司 投资亳芜现代产业园区的协议书》，在亳州芜湖现代产业园区内投资设立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亳州鑫龙电气有限公司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，项目总投资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 币，注册资金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w:t>
      </w:r>
    </w:p>
    <w:p>
      <w:pPr>
        <w:pStyle w:val="Style29"/>
        <w:keepNext w:val="0"/>
        <w:keepLines w:val="0"/>
        <w:widowControl w:val="0"/>
        <w:shd w:val="clear" w:color="auto" w:fill="auto"/>
        <w:tabs>
          <w:tab w:pos="350" w:val="left"/>
        </w:tabs>
        <w:bidi w:val="0"/>
        <w:spacing w:before="0" w:after="0" w:line="316" w:lineRule="exact"/>
        <w:ind w:left="0" w:right="0" w:firstLine="0"/>
        <w:jc w:val="left"/>
      </w:pPr>
      <w:bookmarkStart w:id="70" w:name="bookmark70"/>
      <w:r>
        <w:rPr>
          <w:rFonts w:ascii="Times New Roman" w:eastAsia="Times New Roman" w:hAnsi="Times New Roman" w:cs="Times New Roman"/>
          <w:color w:val="000000"/>
          <w:spacing w:val="0"/>
          <w:w w:val="100"/>
          <w:position w:val="0"/>
          <w:sz w:val="18"/>
          <w:szCs w:val="18"/>
        </w:rPr>
        <w:t>3</w:t>
      </w:r>
      <w:bookmarkEnd w:id="70"/>
      <w:r>
        <w:rPr>
          <w:color w:val="000000"/>
          <w:spacing w:val="0"/>
          <w:w w:val="100"/>
          <w:position w:val="0"/>
        </w:rPr>
        <w:t>、</w:t>
        <w:tab/>
        <w:t>完成了换届事宜</w:t>
      </w:r>
    </w:p>
    <w:p>
      <w:pPr>
        <w:pStyle w:val="Style29"/>
        <w:keepNext w:val="0"/>
        <w:keepLines w:val="0"/>
        <w:widowControl w:val="0"/>
        <w:shd w:val="clear" w:color="auto" w:fill="auto"/>
        <w:bidi w:val="0"/>
        <w:spacing w:before="0" w:line="316"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日，经第五届董事会第三十二次会议审议通过了《关于公司董事会换届选举的议案》以及第五届监 事会第二十三次会议审议通过了《关于公司监事会换届选举的议案》，并于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 审议通过，顺利完成了第五届董事、监事换届事宜。</w:t>
      </w:r>
    </w:p>
    <w:p>
      <w:pPr>
        <w:pStyle w:val="Style29"/>
        <w:keepNext w:val="0"/>
        <w:keepLines w:val="0"/>
        <w:widowControl w:val="0"/>
        <w:shd w:val="clear" w:color="auto" w:fill="auto"/>
        <w:tabs>
          <w:tab w:pos="350" w:val="left"/>
        </w:tabs>
        <w:bidi w:val="0"/>
        <w:spacing w:before="0" w:after="0" w:line="312" w:lineRule="exact"/>
        <w:ind w:left="0" w:right="0" w:firstLine="0"/>
        <w:jc w:val="left"/>
      </w:pPr>
      <w:bookmarkStart w:id="71" w:name="bookmark71"/>
      <w:r>
        <w:rPr>
          <w:rFonts w:ascii="Times New Roman" w:eastAsia="Times New Roman" w:hAnsi="Times New Roman" w:cs="Times New Roman"/>
          <w:color w:val="000000"/>
          <w:spacing w:val="0"/>
          <w:w w:val="100"/>
          <w:position w:val="0"/>
          <w:sz w:val="18"/>
          <w:szCs w:val="18"/>
        </w:rPr>
        <w:t>4</w:t>
      </w:r>
      <w:bookmarkEnd w:id="71"/>
      <w:r>
        <w:rPr>
          <w:color w:val="000000"/>
          <w:spacing w:val="0"/>
          <w:w w:val="100"/>
          <w:position w:val="0"/>
        </w:rPr>
        <w:t>、</w:t>
        <w:tab/>
        <w:t>投资参股设立大江银行股份有限公司事宜</w:t>
      </w:r>
    </w:p>
    <w:p>
      <w:pPr>
        <w:pStyle w:val="Style29"/>
        <w:keepNext w:val="0"/>
        <w:keepLines w:val="0"/>
        <w:widowControl w:val="0"/>
        <w:shd w:val="clear" w:color="auto" w:fill="auto"/>
        <w:bidi w:val="0"/>
        <w:spacing w:before="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日经第六届董事会第三次（临时）会议，审议通过了《关于投资参股设立大江银行股份有限公司的 议案》，公司拟参与以信义节能玻璃（芜湖）有限公司为主发起方投资设立的大江银行股份有限公司。其中，本公司出资不 超过</w:t>
      </w:r>
      <w:r>
        <w:rPr>
          <w:rFonts w:ascii="Times New Roman" w:eastAsia="Times New Roman" w:hAnsi="Times New Roman" w:cs="Times New Roman"/>
          <w:color w:val="000000"/>
          <w:spacing w:val="0"/>
          <w:w w:val="100"/>
          <w:position w:val="0"/>
          <w:sz w:val="18"/>
          <w:szCs w:val="18"/>
        </w:rPr>
        <w:t>9,800</w:t>
      </w:r>
      <w:r>
        <w:rPr>
          <w:color w:val="000000"/>
          <w:spacing w:val="0"/>
          <w:w w:val="100"/>
          <w:position w:val="0"/>
        </w:rPr>
        <w:t>万元，不超过设立大江银行股份有限公司总股本的</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w:t>
      </w:r>
    </w:p>
    <w:p>
      <w:pPr>
        <w:pStyle w:val="Style29"/>
        <w:keepNext w:val="0"/>
        <w:keepLines w:val="0"/>
        <w:widowControl w:val="0"/>
        <w:shd w:val="clear" w:color="auto" w:fill="auto"/>
        <w:tabs>
          <w:tab w:pos="350" w:val="left"/>
        </w:tabs>
        <w:bidi w:val="0"/>
        <w:spacing w:before="0" w:after="0" w:line="312" w:lineRule="exact"/>
        <w:ind w:left="0" w:right="0" w:firstLine="0"/>
        <w:jc w:val="left"/>
      </w:pPr>
      <w:bookmarkStart w:id="72" w:name="bookmark72"/>
      <w:r>
        <w:rPr>
          <w:rFonts w:ascii="Times New Roman" w:eastAsia="Times New Roman" w:hAnsi="Times New Roman" w:cs="Times New Roman"/>
          <w:color w:val="000000"/>
          <w:spacing w:val="0"/>
          <w:w w:val="100"/>
          <w:position w:val="0"/>
          <w:sz w:val="18"/>
          <w:szCs w:val="18"/>
        </w:rPr>
        <w:t>5</w:t>
      </w:r>
      <w:bookmarkEnd w:id="72"/>
      <w:r>
        <w:rPr>
          <w:color w:val="000000"/>
          <w:spacing w:val="0"/>
          <w:w w:val="100"/>
          <w:position w:val="0"/>
        </w:rPr>
        <w:t>、</w:t>
        <w:tab/>
        <w:t>收购子公司部分股权事宜</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为进一步增强对子公司的控制力度，提高决策效率，公司以自有资金人民币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万元，收购控股子公司安徽佑赛科技有 限公司股东北京华腾开元电气有限公司、自然人股东王翔先生、自然人股东潘成一先生分别持有的</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万（占注册资本的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万（占注册资本的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万（占注册资本的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）的股权。并于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日公司与北京华腾开元电气有限公司、王 翔、潘成一签署了《股权转让协议书》。本次转让后，本公司将持有佑赛科技</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的股权，北京华腾开元电气有限公司持有 佑赛科技</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的股权，自然人王翔先生、潘成一先生不再持有佑赛科技股权。</w:t>
      </w:r>
    </w:p>
    <w:p>
      <w:pPr>
        <w:pStyle w:val="Style25"/>
        <w:keepNext/>
        <w:keepLines/>
        <w:widowControl w:val="0"/>
        <w:shd w:val="clear" w:color="auto" w:fill="auto"/>
        <w:tabs>
          <w:tab w:pos="513" w:val="left"/>
        </w:tabs>
        <w:bidi w:val="0"/>
        <w:spacing w:before="0" w:after="3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w:t>
        <w:tab/>
        <w:t>主营业务分析</w:t>
      </w:r>
      <w:bookmarkEnd w:id="73"/>
      <w:bookmarkEnd w:id="74"/>
      <w:bookmarkEnd w:id="76"/>
    </w:p>
    <w:p>
      <w:pPr>
        <w:pStyle w:val="Style34"/>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1</w:t>
      </w:r>
      <w:bookmarkEnd w:id="79"/>
      <w:r>
        <w:rPr>
          <w:color w:val="000000"/>
          <w:spacing w:val="0"/>
          <w:w w:val="100"/>
          <w:position w:val="0"/>
        </w:rPr>
        <w:t>、概述</w:t>
      </w:r>
      <w:bookmarkEnd w:id="77"/>
      <w:bookmarkEnd w:id="78"/>
      <w:bookmarkEnd w:id="80"/>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公司主营业务为高低压成套开关设备、元器件和自动化产品的生产和销售。</w:t>
      </w:r>
    </w:p>
    <w:p>
      <w:pPr>
        <w:pStyle w:val="Style29"/>
        <w:keepNext w:val="0"/>
        <w:keepLines w:val="0"/>
        <w:widowControl w:val="0"/>
        <w:shd w:val="clear" w:color="auto" w:fill="auto"/>
        <w:bidi w:val="0"/>
        <w:spacing w:before="0" w:after="0" w:line="317" w:lineRule="exact"/>
        <w:ind w:left="0" w:right="0" w:firstLine="380"/>
        <w:jc w:val="both"/>
      </w:pPr>
      <w:bookmarkStart w:id="81" w:name="bookmark81"/>
      <w:r>
        <w:rPr>
          <w:color w:val="000000"/>
          <w:spacing w:val="0"/>
          <w:w w:val="100"/>
          <w:position w:val="0"/>
          <w:sz w:val="16"/>
          <w:szCs w:val="16"/>
        </w:rPr>
        <w:t>（</w:t>
      </w:r>
      <w:bookmarkEnd w:id="81"/>
      <w:r>
        <w:rPr>
          <w:color w:val="000000"/>
          <w:spacing w:val="0"/>
          <w:w w:val="100"/>
          <w:position w:val="0"/>
          <w:sz w:val="16"/>
          <w:szCs w:val="16"/>
        </w:rPr>
        <w:t>1）2013</w:t>
      </w:r>
      <w:r>
        <w:rPr>
          <w:color w:val="000000"/>
          <w:spacing w:val="0"/>
          <w:w w:val="100"/>
          <w:position w:val="0"/>
        </w:rPr>
        <w:t>年度公司主营业务分析如下：</w:t>
      </w:r>
    </w:p>
    <w:p>
      <w:pPr>
        <w:pStyle w:val="Style29"/>
        <w:keepNext w:val="0"/>
        <w:keepLines w:val="0"/>
        <w:widowControl w:val="0"/>
        <w:numPr>
          <w:ilvl w:val="0"/>
          <w:numId w:val="1"/>
        </w:numPr>
        <w:shd w:val="clear" w:color="auto" w:fill="auto"/>
        <w:bidi w:val="0"/>
        <w:spacing w:before="0" w:after="260" w:line="317" w:lineRule="exact"/>
        <w:ind w:left="0" w:right="0" w:firstLine="380"/>
        <w:jc w:val="both"/>
      </w:pPr>
      <w:bookmarkStart w:id="82" w:name="bookmark82"/>
      <w:bookmarkEnd w:id="82"/>
      <w:r>
        <w:rPr>
          <w:color w:val="000000"/>
          <w:spacing w:val="0"/>
          <w:w w:val="100"/>
          <w:position w:val="0"/>
        </w:rPr>
        <w:t>营业收入：本期公司实现营业收入</w:t>
      </w:r>
      <w:r>
        <w:rPr>
          <w:color w:val="000000"/>
          <w:spacing w:val="0"/>
          <w:w w:val="100"/>
          <w:position w:val="0"/>
          <w:sz w:val="16"/>
          <w:szCs w:val="16"/>
        </w:rPr>
        <w:t>90,519.55</w:t>
      </w:r>
      <w:r>
        <w:rPr>
          <w:color w:val="000000"/>
          <w:spacing w:val="0"/>
          <w:w w:val="100"/>
          <w:position w:val="0"/>
        </w:rPr>
        <w:t>万元，较上年同期下降</w:t>
      </w:r>
      <w:r>
        <w:rPr>
          <w:color w:val="000000"/>
          <w:spacing w:val="0"/>
          <w:w w:val="100"/>
          <w:position w:val="0"/>
          <w:sz w:val="16"/>
          <w:szCs w:val="16"/>
        </w:rPr>
        <w:t xml:space="preserve">4. </w:t>
      </w:r>
      <w:r>
        <w:rPr>
          <w:color w:val="000000"/>
          <w:spacing w:val="0"/>
          <w:w w:val="100"/>
          <w:position w:val="0"/>
          <w:sz w:val="16"/>
          <w:szCs w:val="16"/>
        </w:rPr>
        <w:t>12%，</w:t>
      </w:r>
      <w:r>
        <w:rPr>
          <w:color w:val="000000"/>
          <w:spacing w:val="0"/>
          <w:w w:val="100"/>
          <w:position w:val="0"/>
        </w:rPr>
        <w:t>主要系宏观环境从紧导致客户投资进度变 缓、项目工期延长使得收入下降；</w:t>
      </w:r>
    </w:p>
    <w:p>
      <w:pPr>
        <w:pStyle w:val="Style38"/>
        <w:keepNext w:val="0"/>
        <w:keepLines w:val="0"/>
        <w:widowControl w:val="0"/>
        <w:shd w:val="clear" w:color="auto" w:fill="auto"/>
        <w:bidi w:val="0"/>
        <w:spacing w:before="0" w:after="260" w:line="240" w:lineRule="auto"/>
        <w:ind w:left="0" w:right="0" w:firstLine="0"/>
        <w:jc w:val="righ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98" w:right="1040" w:bottom="1" w:left="1078" w:header="0" w:footer="3" w:gutter="0"/>
          <w:cols w:space="720"/>
          <w:noEndnote/>
          <w:rtlGutter w:val="0"/>
          <w:docGrid w:linePitch="360"/>
        </w:sectPr>
      </w:pPr>
      <w:r>
        <w:rPr>
          <w:spacing w:val="0"/>
          <w:w w:val="100"/>
          <w:position w:val="0"/>
        </w:rPr>
        <w:t xml:space="preserve">cnii </w:t>
      </w:r>
      <w:r>
        <w:rPr>
          <w:color w:val="646464"/>
          <w:spacing w:val="0"/>
          <w:w w:val="100"/>
          <w:position w:val="0"/>
          <w:vertAlign w:val="subscript"/>
        </w:rPr>
        <w:t>10</w:t>
      </w:r>
    </w:p>
    <w:p>
      <w:pPr>
        <w:pStyle w:val="Style29"/>
        <w:keepNext w:val="0"/>
        <w:keepLines w:val="0"/>
        <w:widowControl w:val="0"/>
        <w:numPr>
          <w:ilvl w:val="0"/>
          <w:numId w:val="1"/>
        </w:numPr>
        <w:shd w:val="clear" w:color="auto" w:fill="auto"/>
        <w:tabs>
          <w:tab w:pos="833" w:val="left"/>
        </w:tabs>
        <w:bidi w:val="0"/>
        <w:spacing w:before="260" w:after="0" w:line="326" w:lineRule="exact"/>
        <w:ind w:left="0" w:right="0" w:firstLine="460"/>
        <w:jc w:val="both"/>
      </w:pPr>
      <w:bookmarkStart w:id="83" w:name="bookmark83"/>
      <w:bookmarkEnd w:id="83"/>
      <w:r>
        <w:rPr>
          <w:color w:val="000000"/>
          <w:spacing w:val="0"/>
          <w:w w:val="100"/>
          <w:position w:val="0"/>
        </w:rPr>
        <w:t>营业成本：本期公司实现营业成本</w:t>
      </w:r>
      <w:r>
        <w:rPr>
          <w:color w:val="000000"/>
          <w:spacing w:val="0"/>
          <w:w w:val="100"/>
          <w:position w:val="0"/>
          <w:sz w:val="16"/>
          <w:szCs w:val="16"/>
        </w:rPr>
        <w:t xml:space="preserve">53, </w:t>
      </w:r>
      <w:r>
        <w:rPr>
          <w:color w:val="000000"/>
          <w:spacing w:val="0"/>
          <w:w w:val="100"/>
          <w:position w:val="0"/>
          <w:sz w:val="16"/>
          <w:szCs w:val="16"/>
        </w:rPr>
        <w:t xml:space="preserve">416. </w:t>
      </w:r>
      <w:r>
        <w:rPr>
          <w:color w:val="000000"/>
          <w:spacing w:val="0"/>
          <w:w w:val="100"/>
          <w:position w:val="0"/>
          <w:sz w:val="16"/>
          <w:szCs w:val="16"/>
        </w:rPr>
        <w:t>09</w:t>
      </w:r>
      <w:r>
        <w:rPr>
          <w:color w:val="000000"/>
          <w:spacing w:val="0"/>
          <w:w w:val="100"/>
          <w:position w:val="0"/>
        </w:rPr>
        <w:t>万元，较上年同期下降</w:t>
      </w:r>
      <w:r>
        <w:rPr>
          <w:color w:val="000000"/>
          <w:spacing w:val="0"/>
          <w:w w:val="100"/>
          <w:position w:val="0"/>
          <w:sz w:val="16"/>
          <w:szCs w:val="16"/>
        </w:rPr>
        <w:t xml:space="preserve">4. </w:t>
      </w:r>
      <w:r>
        <w:rPr>
          <w:color w:val="000000"/>
          <w:spacing w:val="0"/>
          <w:w w:val="100"/>
          <w:position w:val="0"/>
          <w:sz w:val="16"/>
          <w:szCs w:val="16"/>
        </w:rPr>
        <w:t>89%,</w:t>
      </w:r>
      <w:r>
        <w:rPr>
          <w:color w:val="000000"/>
          <w:spacing w:val="0"/>
          <w:w w:val="100"/>
          <w:position w:val="0"/>
        </w:rPr>
        <w:t>主要系收入下降相应结转的成本也减少；</w:t>
      </w:r>
    </w:p>
    <w:p>
      <w:pPr>
        <w:pStyle w:val="Style29"/>
        <w:keepNext w:val="0"/>
        <w:keepLines w:val="0"/>
        <w:widowControl w:val="0"/>
        <w:numPr>
          <w:ilvl w:val="0"/>
          <w:numId w:val="1"/>
        </w:numPr>
        <w:shd w:val="clear" w:color="auto" w:fill="auto"/>
        <w:tabs>
          <w:tab w:pos="723" w:val="left"/>
        </w:tabs>
        <w:bidi w:val="0"/>
        <w:spacing w:before="0" w:after="0" w:line="326" w:lineRule="exact"/>
        <w:ind w:left="0" w:right="0" w:firstLine="460"/>
        <w:jc w:val="both"/>
      </w:pPr>
      <w:bookmarkStart w:id="84" w:name="bookmark84"/>
      <w:bookmarkEnd w:id="84"/>
      <w:r>
        <w:rPr>
          <w:color w:val="000000"/>
          <w:spacing w:val="0"/>
          <w:w w:val="100"/>
          <w:position w:val="0"/>
        </w:rPr>
        <w:t>利润总额：本期公司实现利润总额</w:t>
      </w:r>
      <w:r>
        <w:rPr>
          <w:color w:val="000000"/>
          <w:spacing w:val="0"/>
          <w:w w:val="100"/>
          <w:position w:val="0"/>
          <w:sz w:val="16"/>
          <w:szCs w:val="16"/>
        </w:rPr>
        <w:t xml:space="preserve">9, </w:t>
      </w:r>
      <w:r>
        <w:rPr>
          <w:color w:val="000000"/>
          <w:spacing w:val="0"/>
          <w:w w:val="100"/>
          <w:position w:val="0"/>
          <w:sz w:val="16"/>
          <w:szCs w:val="16"/>
        </w:rPr>
        <w:t>973.52</w:t>
      </w:r>
      <w:r>
        <w:rPr>
          <w:color w:val="000000"/>
          <w:spacing w:val="0"/>
          <w:w w:val="100"/>
          <w:position w:val="0"/>
        </w:rPr>
        <w:t>万元，较上年同期下降</w:t>
      </w:r>
      <w:r>
        <w:rPr>
          <w:color w:val="000000"/>
          <w:spacing w:val="0"/>
          <w:w w:val="100"/>
          <w:position w:val="0"/>
          <w:sz w:val="16"/>
          <w:szCs w:val="16"/>
        </w:rPr>
        <w:t>10.05%,</w:t>
      </w:r>
      <w:r>
        <w:rPr>
          <w:color w:val="000000"/>
          <w:spacing w:val="0"/>
          <w:w w:val="100"/>
          <w:position w:val="0"/>
        </w:rPr>
        <w:t>主要系收入下降和加大市场开拓力度和研 发投入所引起的销售费用、技术开发费增长；</w:t>
      </w:r>
    </w:p>
    <w:p>
      <w:pPr>
        <w:pStyle w:val="Style29"/>
        <w:keepNext w:val="0"/>
        <w:keepLines w:val="0"/>
        <w:widowControl w:val="0"/>
        <w:numPr>
          <w:ilvl w:val="0"/>
          <w:numId w:val="1"/>
        </w:numPr>
        <w:shd w:val="clear" w:color="auto" w:fill="auto"/>
        <w:tabs>
          <w:tab w:pos="723" w:val="left"/>
        </w:tabs>
        <w:bidi w:val="0"/>
        <w:spacing w:before="0" w:after="0" w:line="331" w:lineRule="exact"/>
        <w:ind w:left="0" w:right="0" w:firstLine="460"/>
        <w:jc w:val="both"/>
      </w:pPr>
      <w:bookmarkStart w:id="85" w:name="bookmark85"/>
      <w:bookmarkEnd w:id="85"/>
      <w:r>
        <w:rPr>
          <w:color w:val="000000"/>
          <w:spacing w:val="0"/>
          <w:w w:val="100"/>
          <w:position w:val="0"/>
        </w:rPr>
        <w:t>经营活动产生的现金流量净额：本期公司经营活动产生的现金流量净额为</w:t>
      </w:r>
      <w:r>
        <w:rPr>
          <w:color w:val="000000"/>
          <w:spacing w:val="0"/>
          <w:w w:val="100"/>
          <w:position w:val="0"/>
          <w:sz w:val="16"/>
          <w:szCs w:val="16"/>
        </w:rPr>
        <w:t xml:space="preserve">-8, 384. </w:t>
      </w:r>
      <w:r>
        <w:rPr>
          <w:color w:val="000000"/>
          <w:spacing w:val="0"/>
          <w:w w:val="100"/>
          <w:position w:val="0"/>
          <w:sz w:val="16"/>
          <w:szCs w:val="16"/>
        </w:rPr>
        <w:t>82</w:t>
      </w:r>
      <w:r>
        <w:rPr>
          <w:color w:val="000000"/>
          <w:spacing w:val="0"/>
          <w:w w:val="100"/>
          <w:position w:val="0"/>
        </w:rPr>
        <w:t>万元，较上年同期下降</w:t>
      </w:r>
      <w:r>
        <w:rPr>
          <w:color w:val="000000"/>
          <w:spacing w:val="0"/>
          <w:w w:val="100"/>
          <w:position w:val="0"/>
          <w:sz w:val="16"/>
          <w:szCs w:val="16"/>
        </w:rPr>
        <w:t xml:space="preserve">281. </w:t>
      </w:r>
      <w:r>
        <w:rPr>
          <w:color w:val="000000"/>
          <w:spacing w:val="0"/>
          <w:w w:val="100"/>
          <w:position w:val="0"/>
          <w:sz w:val="16"/>
          <w:szCs w:val="16"/>
        </w:rPr>
        <w:t xml:space="preserve">58%， </w:t>
      </w:r>
      <w:r>
        <w:rPr>
          <w:color w:val="000000"/>
          <w:spacing w:val="0"/>
          <w:w w:val="100"/>
          <w:position w:val="0"/>
        </w:rPr>
        <w:t>主要系备货增加、职工工资提高引起的购买商品及支付给职工现金增加所致。</w:t>
      </w:r>
    </w:p>
    <w:p>
      <w:pPr>
        <w:pStyle w:val="Style29"/>
        <w:keepNext w:val="0"/>
        <w:keepLines w:val="0"/>
        <w:widowControl w:val="0"/>
        <w:shd w:val="clear" w:color="auto" w:fill="auto"/>
        <w:tabs>
          <w:tab w:pos="905" w:val="left"/>
        </w:tabs>
        <w:bidi w:val="0"/>
        <w:spacing w:before="0" w:after="0" w:line="314" w:lineRule="exact"/>
        <w:ind w:left="0" w:right="0" w:firstLine="460"/>
        <w:jc w:val="both"/>
      </w:pPr>
      <w:bookmarkStart w:id="86" w:name="bookmark86"/>
      <w:r>
        <w:rPr>
          <w:color w:val="000000"/>
          <w:spacing w:val="0"/>
          <w:w w:val="100"/>
          <w:position w:val="0"/>
          <w:sz w:val="16"/>
          <w:szCs w:val="16"/>
        </w:rPr>
        <w:t>（</w:t>
      </w:r>
      <w:bookmarkEnd w:id="86"/>
      <w:r>
        <w:rPr>
          <w:color w:val="000000"/>
          <w:spacing w:val="0"/>
          <w:w w:val="100"/>
          <w:position w:val="0"/>
          <w:sz w:val="16"/>
          <w:szCs w:val="16"/>
        </w:rPr>
        <w:t>2）</w:t>
        <w:tab/>
      </w:r>
      <w:r>
        <w:rPr>
          <w:color w:val="000000"/>
          <w:spacing w:val="0"/>
          <w:w w:val="100"/>
          <w:position w:val="0"/>
        </w:rPr>
        <w:t>报告期公司销售毛利率变动情况</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w:t>
      </w:r>
      <w:r>
        <w:rPr>
          <w:color w:val="000000"/>
          <w:spacing w:val="0"/>
          <w:w w:val="100"/>
          <w:position w:val="0"/>
          <w:sz w:val="16"/>
          <w:szCs w:val="16"/>
        </w:rPr>
        <w:t>2013</w:t>
      </w:r>
      <w:r>
        <w:rPr>
          <w:color w:val="000000"/>
          <w:spacing w:val="0"/>
          <w:w w:val="100"/>
          <w:position w:val="0"/>
        </w:rPr>
        <w:t>年毛利率为</w:t>
      </w:r>
      <w:r>
        <w:rPr>
          <w:color w:val="000000"/>
          <w:spacing w:val="0"/>
          <w:w w:val="100"/>
          <w:position w:val="0"/>
          <w:sz w:val="16"/>
          <w:szCs w:val="16"/>
        </w:rPr>
        <w:t xml:space="preserve">40. </w:t>
      </w:r>
      <w:r>
        <w:rPr>
          <w:color w:val="000000"/>
          <w:spacing w:val="0"/>
          <w:w w:val="100"/>
          <w:position w:val="0"/>
          <w:sz w:val="16"/>
          <w:szCs w:val="16"/>
        </w:rPr>
        <w:t>99%</w:t>
      </w:r>
      <w:r>
        <w:rPr>
          <w:color w:val="000000"/>
          <w:spacing w:val="0"/>
          <w:w w:val="100"/>
          <w:position w:val="0"/>
        </w:rPr>
        <w:t>，比</w:t>
      </w:r>
      <w:r>
        <w:rPr>
          <w:color w:val="000000"/>
          <w:spacing w:val="0"/>
          <w:w w:val="100"/>
          <w:position w:val="0"/>
          <w:sz w:val="16"/>
          <w:szCs w:val="16"/>
        </w:rPr>
        <w:t>2012</w:t>
      </w:r>
      <w:r>
        <w:rPr>
          <w:color w:val="000000"/>
          <w:spacing w:val="0"/>
          <w:w w:val="100"/>
          <w:position w:val="0"/>
        </w:rPr>
        <w:t>年的</w:t>
      </w:r>
      <w:r>
        <w:rPr>
          <w:color w:val="000000"/>
          <w:spacing w:val="0"/>
          <w:w w:val="100"/>
          <w:position w:val="0"/>
          <w:sz w:val="16"/>
          <w:szCs w:val="16"/>
        </w:rPr>
        <w:t xml:space="preserve">40. </w:t>
      </w:r>
      <w:r>
        <w:rPr>
          <w:color w:val="000000"/>
          <w:spacing w:val="0"/>
          <w:w w:val="100"/>
          <w:position w:val="0"/>
          <w:sz w:val="16"/>
          <w:szCs w:val="16"/>
        </w:rPr>
        <w:t>51%</w:t>
      </w:r>
      <w:r>
        <w:rPr>
          <w:color w:val="000000"/>
          <w:spacing w:val="0"/>
          <w:w w:val="100"/>
          <w:position w:val="0"/>
        </w:rPr>
        <w:t>增加了</w:t>
      </w:r>
      <w:r>
        <w:rPr>
          <w:color w:val="000000"/>
          <w:spacing w:val="0"/>
          <w:w w:val="100"/>
          <w:position w:val="0"/>
          <w:sz w:val="16"/>
          <w:szCs w:val="16"/>
        </w:rPr>
        <w:t>0.48%,</w:t>
      </w:r>
      <w:r>
        <w:rPr>
          <w:color w:val="000000"/>
          <w:spacing w:val="0"/>
          <w:w w:val="100"/>
          <w:position w:val="0"/>
        </w:rPr>
        <w:t>毛利率基本保持稳定。</w:t>
      </w:r>
    </w:p>
    <w:p>
      <w:pPr>
        <w:pStyle w:val="Style29"/>
        <w:keepNext w:val="0"/>
        <w:keepLines w:val="0"/>
        <w:widowControl w:val="0"/>
        <w:shd w:val="clear" w:color="auto" w:fill="auto"/>
        <w:tabs>
          <w:tab w:pos="905" w:val="left"/>
        </w:tabs>
        <w:bidi w:val="0"/>
        <w:spacing w:before="0" w:after="0" w:line="314" w:lineRule="exact"/>
        <w:ind w:left="0" w:right="0" w:firstLine="460"/>
        <w:jc w:val="both"/>
      </w:pPr>
      <w:bookmarkStart w:id="87" w:name="bookmark87"/>
      <w:r>
        <w:rPr>
          <w:color w:val="000000"/>
          <w:spacing w:val="0"/>
          <w:w w:val="100"/>
          <w:position w:val="0"/>
          <w:sz w:val="16"/>
          <w:szCs w:val="16"/>
        </w:rPr>
        <w:t>（</w:t>
      </w:r>
      <w:bookmarkEnd w:id="87"/>
      <w:r>
        <w:rPr>
          <w:color w:val="000000"/>
          <w:spacing w:val="0"/>
          <w:w w:val="100"/>
          <w:position w:val="0"/>
          <w:sz w:val="16"/>
          <w:szCs w:val="16"/>
        </w:rPr>
        <w:t>3）</w:t>
        <w:tab/>
      </w:r>
      <w:r>
        <w:rPr>
          <w:color w:val="000000"/>
          <w:spacing w:val="0"/>
          <w:w w:val="100"/>
          <w:position w:val="0"/>
        </w:rPr>
        <w:t>产品的销售和积压情况</w:t>
      </w:r>
    </w:p>
    <w:p>
      <w:pPr>
        <w:pStyle w:val="Style2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我公司主要产品为非标定制产品，均按照客户要求进行生产和制作，因此，不存在产品积压问题。</w:t>
      </w:r>
      <w:r>
        <w:rPr>
          <w:color w:val="000000"/>
          <w:spacing w:val="0"/>
          <w:w w:val="100"/>
          <w:position w:val="0"/>
          <w:sz w:val="16"/>
          <w:szCs w:val="16"/>
        </w:rPr>
        <w:t>2013</w:t>
      </w:r>
      <w:r>
        <w:rPr>
          <w:color w:val="000000"/>
          <w:spacing w:val="0"/>
          <w:w w:val="100"/>
          <w:position w:val="0"/>
        </w:rPr>
        <w:t>年，主要产品的 市场需求略有下降，但公司通过加大市场营销力度，适当调整销售价格、控制采购成本，使得全年销售规模和销售毛利率总 体保持稳定。因主要存货均有相应的订单且不存在亏损合同，因此经测试，未发现需计提存货跌价准备的现象。</w:t>
      </w:r>
    </w:p>
    <w:p>
      <w:pPr>
        <w:pStyle w:val="Style29"/>
        <w:keepNext w:val="0"/>
        <w:keepLines w:val="0"/>
        <w:widowControl w:val="0"/>
        <w:shd w:val="clear" w:color="auto" w:fill="auto"/>
        <w:tabs>
          <w:tab w:pos="905" w:val="left"/>
        </w:tabs>
        <w:bidi w:val="0"/>
        <w:spacing w:before="0" w:after="80" w:line="314" w:lineRule="exact"/>
        <w:ind w:left="0" w:right="0" w:firstLine="460"/>
        <w:jc w:val="both"/>
      </w:pPr>
      <w:bookmarkStart w:id="88" w:name="bookmark88"/>
      <w:r>
        <w:rPr>
          <w:color w:val="000000"/>
          <w:spacing w:val="0"/>
          <w:w w:val="100"/>
          <w:position w:val="0"/>
          <w:sz w:val="16"/>
          <w:szCs w:val="16"/>
        </w:rPr>
        <w:t>（</w:t>
      </w:r>
      <w:bookmarkEnd w:id="88"/>
      <w:r>
        <w:rPr>
          <w:color w:val="000000"/>
          <w:spacing w:val="0"/>
          <w:w w:val="100"/>
          <w:position w:val="0"/>
          <w:sz w:val="16"/>
          <w:szCs w:val="16"/>
        </w:rPr>
        <w:t>4）</w:t>
        <w:tab/>
      </w:r>
      <w:r>
        <w:rPr>
          <w:color w:val="000000"/>
          <w:spacing w:val="0"/>
          <w:w w:val="100"/>
          <w:position w:val="0"/>
        </w:rPr>
        <w:t>报告期内公司主要设备盈利能力及使用情况</w:t>
      </w:r>
    </w:p>
    <w:p>
      <w:pPr>
        <w:pStyle w:val="Style27"/>
        <w:keepNext w:val="0"/>
        <w:keepLines w:val="0"/>
        <w:widowControl w:val="0"/>
        <w:shd w:val="clear" w:color="auto" w:fill="auto"/>
        <w:bidi w:val="0"/>
        <w:spacing w:before="0" w:after="0" w:line="240" w:lineRule="auto"/>
        <w:ind w:left="8501" w:right="0" w:firstLine="0"/>
        <w:jc w:val="left"/>
      </w:pPr>
      <w:r>
        <w:rPr>
          <w:color w:val="000000"/>
          <w:spacing w:val="0"/>
          <w:w w:val="100"/>
          <w:position w:val="0"/>
        </w:rPr>
        <w:t>单位：万元</w:t>
      </w:r>
    </w:p>
    <w:tbl>
      <w:tblPr>
        <w:tblOverlap w:val="never"/>
        <w:jc w:val="center"/>
        <w:tblLayout w:type="fixed"/>
      </w:tblPr>
      <w:tblGrid>
        <w:gridCol w:w="1483"/>
        <w:gridCol w:w="1397"/>
        <w:gridCol w:w="1397"/>
        <w:gridCol w:w="1397"/>
        <w:gridCol w:w="1397"/>
        <w:gridCol w:w="1392"/>
        <w:gridCol w:w="1406"/>
      </w:tblGrid>
      <w:tr>
        <w:trPr>
          <w:trHeight w:val="32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年末</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设备原值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设备净值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净值率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设备原值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设备净值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净值率</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机械设备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274.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428. </w:t>
            </w:r>
            <w:r>
              <w:rPr>
                <w:color w:val="000000"/>
                <w:spacing w:val="0"/>
                <w:w w:val="100"/>
                <w:position w:val="0"/>
                <w:sz w:val="16"/>
                <w:szCs w:val="16"/>
              </w:rPr>
              <w:t>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7,335.24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179.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56. </w:t>
            </w:r>
            <w:r>
              <w:rPr>
                <w:color w:val="000000"/>
                <w:spacing w:val="0"/>
                <w:w w:val="100"/>
                <w:position w:val="0"/>
                <w:sz w:val="16"/>
                <w:szCs w:val="16"/>
              </w:rPr>
              <w:t>98%</w:t>
            </w:r>
          </w:p>
        </w:tc>
      </w:tr>
    </w:tbl>
    <w:p>
      <w:pPr>
        <w:pStyle w:val="Style27"/>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公司主要产品采取以销定产模式，根据销售订单的数量合理安排生产设备的购置和更新。公司生产的产品适销对路，符 合国家的产业政策。报告期内，公司主要设备的使用率较高，产能能够得到有效运用，设备成新率保持较高水平，各台生产 设备运行正常，计划检修及保养工作有序开展，各项资产均处于良好使用状态。</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报告期内，公司主要设备资产不存在减值情况。</w:t>
      </w:r>
    </w:p>
    <w:p>
      <w:pPr>
        <w:pStyle w:val="Style29"/>
        <w:keepNext w:val="0"/>
        <w:keepLines w:val="0"/>
        <w:widowControl w:val="0"/>
        <w:shd w:val="clear" w:color="auto" w:fill="auto"/>
        <w:bidi w:val="0"/>
        <w:spacing w:before="0" w:after="0" w:line="312" w:lineRule="exact"/>
        <w:ind w:left="0" w:right="0" w:firstLine="460"/>
        <w:jc w:val="both"/>
      </w:pPr>
      <w:bookmarkStart w:id="89" w:name="bookmark89"/>
      <w:r>
        <w:rPr>
          <w:color w:val="000000"/>
          <w:spacing w:val="0"/>
          <w:w w:val="100"/>
          <w:position w:val="0"/>
          <w:sz w:val="16"/>
          <w:szCs w:val="16"/>
        </w:rPr>
        <w:t>（</w:t>
      </w:r>
      <w:bookmarkEnd w:id="89"/>
      <w:r>
        <w:rPr>
          <w:color w:val="000000"/>
          <w:spacing w:val="0"/>
          <w:w w:val="100"/>
          <w:position w:val="0"/>
          <w:sz w:val="16"/>
          <w:szCs w:val="16"/>
        </w:rPr>
        <w:t>5）</w:t>
      </w:r>
      <w:r>
        <w:rPr>
          <w:color w:val="000000"/>
          <w:spacing w:val="0"/>
          <w:w w:val="100"/>
          <w:position w:val="0"/>
        </w:rPr>
        <w:t>报告期内主要经营模式的变化情况</w:t>
      </w:r>
    </w:p>
    <w:p>
      <w:pPr>
        <w:pStyle w:val="Style2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公司所生产的输配电及控制设备专业性强，在性能与精度上要求较高，且需求的个性化程度较高，故采取“以销定产” 的生产方式，销售是公司生产经营的重要环节，采购、生产的实施均围绕销售合同订单展开。报告期内，公司采购模式、生 产模式和销售模式没有发生重大变化。</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公司回顾总结前期披露的发展战略和经营计划在报告期内的进展情况</w:t>
      </w:r>
    </w:p>
    <w:p>
      <w:pPr>
        <w:pStyle w:val="Style29"/>
        <w:keepNext w:val="0"/>
        <w:keepLines w:val="0"/>
        <w:widowControl w:val="0"/>
        <w:shd w:val="clear" w:color="auto" w:fill="auto"/>
        <w:bidi w:val="0"/>
        <w:spacing w:before="0" w:after="0" w:line="302" w:lineRule="exact"/>
        <w:ind w:left="0" w:right="0" w:firstLine="280"/>
        <w:jc w:val="both"/>
      </w:pPr>
      <w:r>
        <w:rPr>
          <w:color w:val="000000"/>
          <w:spacing w:val="0"/>
          <w:w w:val="100"/>
          <w:position w:val="0"/>
        </w:rPr>
        <w:t>报告期内，公司围绕年初的经营目标和发展战略，在董事会的领导下，管理层和全体职工的共同努力下，完成了年初目标 任务，全年经营业绩与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年第三季度报告中预告的业绩不存在差异。</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both"/>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、收入</w:t>
      </w:r>
      <w:bookmarkEnd w:id="90"/>
      <w:bookmarkEnd w:id="91"/>
      <w:bookmarkEnd w:id="93"/>
    </w:p>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说明</w:t>
      </w:r>
    </w:p>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本年营业收入</w:t>
      </w:r>
      <w:r>
        <w:rPr>
          <w:rFonts w:ascii="Times New Roman" w:eastAsia="Times New Roman" w:hAnsi="Times New Roman" w:cs="Times New Roman"/>
          <w:color w:val="000000"/>
          <w:spacing w:val="0"/>
          <w:w w:val="100"/>
          <w:position w:val="0"/>
          <w:sz w:val="18"/>
          <w:szCs w:val="18"/>
        </w:rPr>
        <w:t>90,519.55</w:t>
      </w:r>
      <w:r>
        <w:rPr>
          <w:color w:val="000000"/>
          <w:spacing w:val="0"/>
          <w:w w:val="100"/>
          <w:position w:val="0"/>
        </w:rPr>
        <w:t>万元，上年营业收入</w:t>
      </w:r>
      <w:r>
        <w:rPr>
          <w:rFonts w:ascii="Times New Roman" w:eastAsia="Times New Roman" w:hAnsi="Times New Roman" w:cs="Times New Roman"/>
          <w:color w:val="000000"/>
          <w:spacing w:val="0"/>
          <w:w w:val="100"/>
          <w:position w:val="0"/>
          <w:sz w:val="18"/>
          <w:szCs w:val="18"/>
        </w:rPr>
        <w:t>94,404.59</w:t>
      </w:r>
      <w:r>
        <w:rPr>
          <w:color w:val="000000"/>
          <w:spacing w:val="0"/>
          <w:w w:val="100"/>
          <w:position w:val="0"/>
        </w:rPr>
        <w:t>万元，本年比上年下降</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，主要系宏观环境从紧导致项目工期延长 使得收入下降。</w:t>
      </w:r>
    </w:p>
    <w:p>
      <w:pPr>
        <w:pStyle w:val="Style29"/>
        <w:keepNext w:val="0"/>
        <w:keepLines w:val="0"/>
        <w:widowControl w:val="0"/>
        <w:shd w:val="clear" w:color="auto" w:fill="auto"/>
        <w:bidi w:val="0"/>
        <w:spacing w:before="0" w:after="80" w:line="336" w:lineRule="exact"/>
        <w:ind w:left="0" w:right="0" w:firstLine="0"/>
        <w:jc w:val="left"/>
      </w:pPr>
      <w:r>
        <w:rPr>
          <w:color w:val="000000"/>
          <w:spacing w:val="0"/>
          <w:w w:val="100"/>
          <w:position w:val="0"/>
        </w:rPr>
        <w:t xml:space="preserve">公司实物销售收入是否大于劳务收入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电器机械及器材制造业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62,485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68,295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49,526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41,617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r>
        <w:br w:type="page"/>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132,020,169.17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合肥淮成电力设备有限公司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31,918,033.33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滨化集团股份有限公司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30,129,025.70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南京禄口国际机场二期工程建设指挥部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27,596,735.82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中国银行股份有限公司安徽省分行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25,310,590.56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东风悦达起亚汽车有限公司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17,065,783.76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132,020,169.17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bl>
    <w:p>
      <w:pPr>
        <w:widowControl w:val="0"/>
        <w:spacing w:after="219" w:line="1" w:lineRule="exact"/>
      </w:pPr>
    </w:p>
    <w:p>
      <w:pPr>
        <w:pStyle w:val="Style29"/>
        <w:keepNext w:val="0"/>
        <w:keepLines w:val="0"/>
        <w:widowControl w:val="0"/>
        <w:shd w:val="clear" w:color="auto" w:fill="auto"/>
        <w:bidi w:val="0"/>
        <w:spacing w:before="0" w:after="380" w:line="322" w:lineRule="exact"/>
        <w:ind w:left="0" w:right="0"/>
        <w:jc w:val="left"/>
      </w:pPr>
      <w:r>
        <w:rPr>
          <w:color w:val="000000"/>
          <w:spacing w:val="0"/>
          <w:w w:val="100"/>
          <w:position w:val="0"/>
        </w:rPr>
        <w:t>公司前五名客户与公司不存在关联关系；公司董事、监事、高级管理人员、核心技术人员、持股</w:t>
      </w:r>
      <w:r>
        <w:rPr>
          <w:color w:val="000000"/>
          <w:spacing w:val="0"/>
          <w:w w:val="100"/>
          <w:position w:val="0"/>
          <w:sz w:val="16"/>
          <w:szCs w:val="16"/>
        </w:rPr>
        <w:t>5%</w:t>
      </w:r>
      <w:r>
        <w:rPr>
          <w:color w:val="000000"/>
          <w:spacing w:val="0"/>
          <w:w w:val="100"/>
          <w:position w:val="0"/>
        </w:rPr>
        <w:t>以上股东、实际控 制人和其他关联方在主要客户中不存在直接或者间接拥有权益。</w:t>
      </w:r>
    </w:p>
    <w:p>
      <w:pPr>
        <w:pStyle w:val="Style34"/>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3</w:t>
      </w:r>
      <w:bookmarkEnd w:id="96"/>
      <w:r>
        <w:rPr>
          <w:color w:val="000000"/>
          <w:spacing w:val="0"/>
          <w:w w:val="100"/>
          <w:position w:val="0"/>
        </w:rPr>
        <w:t>、成本</w:t>
      </w:r>
      <w:bookmarkEnd w:id="94"/>
      <w:bookmarkEnd w:id="95"/>
      <w:bookmarkEnd w:id="9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电器机械及器材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531,157,969.98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558,330,087.76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电器机械及器材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480,175,899.67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509,774,180.90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电器机械及器材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24,465,461.27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23,499,710.61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电器机械及器材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13,469,372.89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13,001,678.76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电器机械及器材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3,781,139.33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3,669,917.17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电器机械及器材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9,266,096.82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8,384,600.32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0.24%</w:t>
            </w:r>
          </w:p>
        </w:tc>
      </w:tr>
      <w:tr>
        <w:trPr>
          <w:trHeight w:val="754"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高、低压成套开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395,586,388.95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416,856,208.93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高、低压成套开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353,851,308.23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377,579,831.40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高、低压成套开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19,980,002.18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19,360,417.19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0.41%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高、低压成套开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10,899,476.29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10,480,458.98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高、低压成套开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3,161,733.49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3,260,162.18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高、低压成套开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7,693,868.76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6,175,339.18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86,757,069.43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100,690,940.76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78,958,969.80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92,346,175.56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3,557,119.93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3,390,853.43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2,494,431.36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2,460,978.55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619,405.84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409,754.99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1,127,142.50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2,083,178.23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44,632,800.07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36,398,854.96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43,944,381.14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35,877,638.37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381,546.22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392,096.96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262,970.06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770,985.76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1,268,802.00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505,309.20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1,201,059.42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099" w:right="1031" w:bottom="1182" w:left="1001" w:header="0" w:footer="3" w:gutter="0"/>
          <w:cols w:space="720"/>
          <w:noEndnote/>
          <w:rtlGutter w:val="0"/>
          <w:docGrid w:linePitch="360"/>
        </w:sectPr>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3,410,725.77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3,115,281.11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2,915,931.30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2,769,476.15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456,952.94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300,211.79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公司成本项目按构成项目进行对比列示，其他制造费用为折旧和动力（即用电）之外的制造费用。公司能耗占比较小，占成 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左右。</w:t>
      </w:r>
    </w:p>
    <w:p>
      <w:pPr>
        <w:pStyle w:val="Style29"/>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190,122,071.39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施耐德电气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有限公司上海分公司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68,754,724.69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众业达电气安徽有限公司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38,559,727.43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北京禾光永业科技有限公司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30,589,568.00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江苏金奕达铜业股份有限公司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28,618,927.76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镇江市大港通达铜材有限公司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23,599,123.51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190,122,071.39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r>
    </w:tbl>
    <w:p>
      <w:pPr>
        <w:widowControl w:val="0"/>
        <w:spacing w:after="219" w:line="1" w:lineRule="exact"/>
      </w:pPr>
    </w:p>
    <w:p>
      <w:pPr>
        <w:pStyle w:val="Style29"/>
        <w:keepNext w:val="0"/>
        <w:keepLines w:val="0"/>
        <w:widowControl w:val="0"/>
        <w:shd w:val="clear" w:color="auto" w:fill="auto"/>
        <w:bidi w:val="0"/>
        <w:spacing w:before="0" w:after="400" w:line="331" w:lineRule="exact"/>
        <w:ind w:left="0" w:right="0" w:firstLine="380"/>
        <w:jc w:val="left"/>
      </w:pPr>
      <w:r>
        <w:rPr>
          <w:color w:val="000000"/>
          <w:spacing w:val="0"/>
          <w:w w:val="100"/>
          <w:position w:val="0"/>
        </w:rPr>
        <w:t>公司前五名供应商与公司不存在关联关系；公司董事、监事、高级管理人员、核心技术人员、持股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 控制人和其他关联方在供应商中不存在直接或者间接拥有权益。</w:t>
      </w:r>
    </w:p>
    <w:p>
      <w:pPr>
        <w:pStyle w:val="Style34"/>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4</w:t>
      </w:r>
      <w:bookmarkEnd w:id="100"/>
      <w:r>
        <w:rPr>
          <w:color w:val="000000"/>
          <w:spacing w:val="0"/>
          <w:w w:val="100"/>
          <w:position w:val="0"/>
        </w:rPr>
        <w:t>、费用</w:t>
      </w:r>
      <w:bookmarkEnd w:id="101"/>
      <w:bookmarkEnd w:id="98"/>
      <w:bookmarkEnd w:id="99"/>
    </w:p>
    <w:tbl>
      <w:tblPr>
        <w:tblOverlap w:val="never"/>
        <w:jc w:val="left"/>
        <w:tblLayout w:type="fixed"/>
      </w:tblPr>
      <w:tblGrid>
        <w:gridCol w:w="1733"/>
        <w:gridCol w:w="2530"/>
        <w:gridCol w:w="2530"/>
        <w:gridCol w:w="175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2013</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2012</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增减幅度</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120, </w:t>
            </w:r>
            <w:r>
              <w:rPr>
                <w:color w:val="000000"/>
                <w:spacing w:val="0"/>
                <w:w w:val="100"/>
                <w:position w:val="0"/>
                <w:sz w:val="16"/>
                <w:szCs w:val="16"/>
              </w:rPr>
              <w:t>667,818.70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87,075,213.54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58%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139, 959, </w:t>
            </w:r>
            <w:r>
              <w:rPr>
                <w:color w:val="000000"/>
                <w:spacing w:val="0"/>
                <w:w w:val="100"/>
                <w:position w:val="0"/>
                <w:sz w:val="16"/>
                <w:szCs w:val="16"/>
              </w:rPr>
              <w:t xml:space="preserve">631.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113,696, </w:t>
            </w:r>
            <w:r>
              <w:rPr>
                <w:color w:val="000000"/>
                <w:spacing w:val="0"/>
                <w:w w:val="100"/>
                <w:position w:val="0"/>
                <w:sz w:val="16"/>
                <w:szCs w:val="16"/>
              </w:rPr>
              <w:t>107.73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w:t>
            </w:r>
            <w:r>
              <w:rPr>
                <w:color w:val="000000"/>
                <w:spacing w:val="0"/>
                <w:w w:val="100"/>
                <w:position w:val="0"/>
                <w:sz w:val="16"/>
                <w:szCs w:val="16"/>
              </w:rPr>
              <w:t>10%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 xml:space="preserve">26, 696, </w:t>
            </w:r>
            <w:r>
              <w:rPr>
                <w:color w:val="000000"/>
                <w:spacing w:val="0"/>
                <w:w w:val="100"/>
                <w:position w:val="0"/>
                <w:sz w:val="16"/>
                <w:szCs w:val="16"/>
              </w:rPr>
              <w:t>095.08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45,075,257.20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-40. </w:t>
            </w:r>
            <w:r>
              <w:rPr>
                <w:color w:val="000000"/>
                <w:spacing w:val="0"/>
                <w:w w:val="100"/>
                <w:position w:val="0"/>
                <w:sz w:val="16"/>
                <w:szCs w:val="16"/>
              </w:rPr>
              <w:t>77%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12,175,683.33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16,466,484.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-26. </w:t>
            </w:r>
            <w:r>
              <w:rPr>
                <w:color w:val="000000"/>
                <w:spacing w:val="0"/>
                <w:w w:val="100"/>
                <w:position w:val="0"/>
                <w:sz w:val="16"/>
                <w:szCs w:val="16"/>
              </w:rPr>
              <w:t>06%</w:t>
            </w:r>
          </w:p>
        </w:tc>
      </w:tr>
    </w:tbl>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销售费用比上年同期增加</w:t>
      </w:r>
      <w:r>
        <w:rPr>
          <w:rFonts w:ascii="Times New Roman" w:eastAsia="Times New Roman" w:hAnsi="Times New Roman" w:cs="Times New Roman"/>
          <w:color w:val="000000"/>
          <w:spacing w:val="0"/>
          <w:w w:val="100"/>
          <w:position w:val="0"/>
          <w:sz w:val="18"/>
          <w:szCs w:val="18"/>
        </w:rPr>
        <w:t>3,359.26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38.58%</w:t>
      </w:r>
      <w:r>
        <w:rPr>
          <w:color w:val="000000"/>
          <w:spacing w:val="0"/>
          <w:w w:val="100"/>
          <w:position w:val="0"/>
        </w:rPr>
        <w:t>,主要原因系宏观环境从紧收入有所下降，为扩大销售，公司加大了市 场营销力度，同时由于人工成本提高，使得费用有所增长；</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管理费用比上年同期增加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,626.35</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23.10%</w:t>
      </w:r>
      <w:r>
        <w:rPr>
          <w:color w:val="000000"/>
          <w:spacing w:val="0"/>
          <w:w w:val="100"/>
          <w:position w:val="0"/>
        </w:rPr>
        <w:t>，主要原因系本期公司提高工资水平且继续加大研发投入所致； 财务费用比上年同期下降</w:t>
      </w:r>
      <w:r>
        <w:rPr>
          <w:rFonts w:ascii="Times New Roman" w:eastAsia="Times New Roman" w:hAnsi="Times New Roman" w:cs="Times New Roman"/>
          <w:color w:val="000000"/>
          <w:spacing w:val="0"/>
          <w:w w:val="100"/>
          <w:position w:val="0"/>
          <w:sz w:val="18"/>
          <w:szCs w:val="18"/>
        </w:rPr>
        <w:t>1,837.9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40.77%</w:t>
      </w:r>
      <w:r>
        <w:rPr>
          <w:color w:val="000000"/>
          <w:spacing w:val="0"/>
          <w:w w:val="100"/>
          <w:position w:val="0"/>
        </w:rPr>
        <w:t>，主要原因系本期平均借款比上年下降较多。</w:t>
      </w:r>
    </w:p>
    <w:p>
      <w:pPr>
        <w:pStyle w:val="Style34"/>
        <w:keepNext/>
        <w:keepLines/>
        <w:widowControl w:val="0"/>
        <w:shd w:val="clear" w:color="auto" w:fill="auto"/>
        <w:tabs>
          <w:tab w:pos="378" w:val="left"/>
        </w:tabs>
        <w:bidi w:val="0"/>
        <w:spacing w:before="0" w:after="28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5</w:t>
      </w:r>
      <w:bookmarkEnd w:id="104"/>
      <w:r>
        <w:rPr>
          <w:color w:val="000000"/>
          <w:spacing w:val="0"/>
          <w:w w:val="100"/>
          <w:position w:val="0"/>
        </w:rPr>
        <w:t>、</w:t>
        <w:tab/>
        <w:t>研发支出</w:t>
      </w:r>
      <w:bookmarkEnd w:id="102"/>
      <w:bookmarkEnd w:id="103"/>
      <w:bookmarkEnd w:id="105"/>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报告期内，公司坚持自主创新，持续加大研发力度，全年研发项目总支出为</w:t>
      </w:r>
      <w:r>
        <w:rPr>
          <w:rFonts w:ascii="Times New Roman" w:eastAsia="Times New Roman" w:hAnsi="Times New Roman" w:cs="Times New Roman"/>
          <w:color w:val="000000"/>
          <w:spacing w:val="0"/>
          <w:w w:val="100"/>
          <w:position w:val="0"/>
          <w:sz w:val="18"/>
          <w:szCs w:val="18"/>
        </w:rPr>
        <w:t>7,391.43</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8.17%</w:t>
      </w:r>
      <w:r>
        <w:rPr>
          <w:color w:val="000000"/>
          <w:spacing w:val="0"/>
          <w:w w:val="100"/>
          <w:position w:val="0"/>
        </w:rPr>
        <w:t>，较上年增 长</w:t>
      </w:r>
      <w:r>
        <w:rPr>
          <w:rFonts w:ascii="Times New Roman" w:eastAsia="Times New Roman" w:hAnsi="Times New Roman" w:cs="Times New Roman"/>
          <w:color w:val="000000"/>
          <w:spacing w:val="0"/>
          <w:w w:val="100"/>
          <w:position w:val="0"/>
          <w:sz w:val="18"/>
          <w:szCs w:val="18"/>
        </w:rPr>
        <w:t>20.37%</w:t>
      </w:r>
      <w:r>
        <w:rPr>
          <w:color w:val="000000"/>
          <w:spacing w:val="0"/>
          <w:w w:val="100"/>
          <w:position w:val="0"/>
        </w:rPr>
        <w:t>。本报告期研发支出占公司最近一期经审计净资产比例为</w:t>
      </w:r>
      <w:r>
        <w:rPr>
          <w:rFonts w:ascii="Times New Roman" w:eastAsia="Times New Roman" w:hAnsi="Times New Roman" w:cs="Times New Roman"/>
          <w:color w:val="000000"/>
          <w:spacing w:val="0"/>
          <w:w w:val="100"/>
          <w:position w:val="0"/>
          <w:sz w:val="18"/>
          <w:szCs w:val="18"/>
        </w:rPr>
        <w:t>5.71%</w:t>
      </w:r>
      <w:r>
        <w:rPr>
          <w:color w:val="000000"/>
          <w:spacing w:val="0"/>
          <w:w w:val="100"/>
          <w:position w:val="0"/>
        </w:rPr>
        <w:t>。</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6</w:t>
      </w:r>
      <w:bookmarkEnd w:id="108"/>
      <w:r>
        <w:rPr>
          <w:color w:val="000000"/>
          <w:spacing w:val="0"/>
          <w:w w:val="100"/>
          <w:position w:val="0"/>
        </w:rPr>
        <w:t>、</w:t>
        <w:tab/>
        <w:t>现金流</w:t>
      </w:r>
      <w:bookmarkEnd w:id="106"/>
      <w:bookmarkEnd w:id="107"/>
      <w:bookmarkEnd w:id="109"/>
    </w:p>
    <w:p>
      <w:pPr>
        <w:pStyle w:val="Style29"/>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1,070,348,847.20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901,185,042.59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1,154,197,036.43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855,008,547.90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-83,848,189.23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46,176,494.69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150,887,139.23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60,310,821.47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-150,631,789.80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-60,043,319.05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651,605,836.97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1,208,686,255.55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482,855,679.26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853,565,823.45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168,750,157.71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355,120,432.10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-65,729,821.32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341,253,607.74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-119.26%</w:t>
            </w:r>
          </w:p>
        </w:tc>
      </w:tr>
    </w:tbl>
    <w:p>
      <w:pPr>
        <w:pStyle w:val="Style29"/>
        <w:keepNext w:val="0"/>
        <w:keepLines w:val="0"/>
        <w:widowControl w:val="0"/>
        <w:shd w:val="clear" w:color="auto" w:fill="auto"/>
        <w:bidi w:val="0"/>
        <w:spacing w:before="0" w:after="120" w:line="326"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44" w:val="left"/>
        </w:tabs>
        <w:bidi w:val="0"/>
        <w:spacing w:before="0" w:after="0" w:line="322" w:lineRule="exact"/>
        <w:ind w:left="0" w:right="0" w:firstLine="0"/>
        <w:jc w:val="left"/>
      </w:pPr>
      <w:bookmarkStart w:id="110" w:name="bookmark110"/>
      <w:r>
        <w:rPr>
          <w:rFonts w:ascii="Times New Roman" w:eastAsia="Times New Roman" w:hAnsi="Times New Roman" w:cs="Times New Roman"/>
          <w:color w:val="000000"/>
          <w:spacing w:val="0"/>
          <w:w w:val="100"/>
          <w:position w:val="0"/>
          <w:sz w:val="18"/>
          <w:szCs w:val="18"/>
        </w:rPr>
        <w:t>1</w:t>
      </w:r>
      <w:bookmarkEnd w:id="110"/>
      <w:r>
        <w:rPr>
          <w:color w:val="000000"/>
          <w:spacing w:val="0"/>
          <w:w w:val="100"/>
          <w:position w:val="0"/>
        </w:rPr>
        <w:t>、</w:t>
        <w:tab/>
        <w:t>经营活动现金流出小计比上年同期增长</w:t>
      </w:r>
      <w:r>
        <w:rPr>
          <w:rFonts w:ascii="Times New Roman" w:eastAsia="Times New Roman" w:hAnsi="Times New Roman" w:cs="Times New Roman"/>
          <w:color w:val="000000"/>
          <w:spacing w:val="0"/>
          <w:w w:val="100"/>
          <w:position w:val="0"/>
          <w:sz w:val="18"/>
          <w:szCs w:val="18"/>
        </w:rPr>
        <w:t>34.99%</w:t>
      </w:r>
      <w:r>
        <w:rPr>
          <w:color w:val="000000"/>
          <w:spacing w:val="0"/>
          <w:w w:val="100"/>
          <w:position w:val="0"/>
        </w:rPr>
        <w:t>,主要系备货增加、职工工资提高引起的购买商品及支付给职工现金增加 所致。</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111" w:name="bookmark111"/>
      <w:r>
        <w:rPr>
          <w:rFonts w:ascii="Times New Roman" w:eastAsia="Times New Roman" w:hAnsi="Times New Roman" w:cs="Times New Roman"/>
          <w:color w:val="000000"/>
          <w:spacing w:val="0"/>
          <w:w w:val="100"/>
          <w:position w:val="0"/>
          <w:sz w:val="18"/>
          <w:szCs w:val="18"/>
        </w:rPr>
        <w:t>2</w:t>
      </w:r>
      <w:bookmarkEnd w:id="111"/>
      <w:r>
        <w:rPr>
          <w:color w:val="000000"/>
          <w:spacing w:val="0"/>
          <w:w w:val="100"/>
          <w:position w:val="0"/>
        </w:rPr>
        <w:t>、</w:t>
        <w:tab/>
        <w:t>经营活动产生的现金流量净额比上年同期下降</w:t>
      </w:r>
      <w:r>
        <w:rPr>
          <w:rFonts w:ascii="Times New Roman" w:eastAsia="Times New Roman" w:hAnsi="Times New Roman" w:cs="Times New Roman"/>
          <w:color w:val="000000"/>
          <w:spacing w:val="0"/>
          <w:w w:val="100"/>
          <w:position w:val="0"/>
          <w:sz w:val="18"/>
          <w:szCs w:val="18"/>
        </w:rPr>
        <w:t>281.58%</w:t>
      </w:r>
      <w:r>
        <w:rPr>
          <w:color w:val="000000"/>
          <w:spacing w:val="0"/>
          <w:w w:val="100"/>
          <w:position w:val="0"/>
        </w:rPr>
        <w:t>，主要系备货增加、职工工资提高引起的购买商品及支付给职工 现金增加所致；</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112" w:name="bookmark112"/>
      <w:r>
        <w:rPr>
          <w:rFonts w:ascii="Times New Roman" w:eastAsia="Times New Roman" w:hAnsi="Times New Roman" w:cs="Times New Roman"/>
          <w:color w:val="000000"/>
          <w:spacing w:val="0"/>
          <w:w w:val="100"/>
          <w:position w:val="0"/>
          <w:sz w:val="18"/>
          <w:szCs w:val="18"/>
        </w:rPr>
        <w:t>3</w:t>
      </w:r>
      <w:bookmarkEnd w:id="112"/>
      <w:r>
        <w:rPr>
          <w:color w:val="000000"/>
          <w:spacing w:val="0"/>
          <w:w w:val="100"/>
          <w:position w:val="0"/>
        </w:rPr>
        <w:t>、</w:t>
        <w:tab/>
        <w:t>投资活动现金流出小计比上年同期增长</w:t>
      </w:r>
      <w:r>
        <w:rPr>
          <w:rFonts w:ascii="Times New Roman" w:eastAsia="Times New Roman" w:hAnsi="Times New Roman" w:cs="Times New Roman"/>
          <w:color w:val="000000"/>
          <w:spacing w:val="0"/>
          <w:w w:val="100"/>
          <w:position w:val="0"/>
          <w:sz w:val="18"/>
          <w:szCs w:val="18"/>
        </w:rPr>
        <w:t>150.18%</w:t>
      </w:r>
      <w:r>
        <w:rPr>
          <w:color w:val="000000"/>
          <w:spacing w:val="0"/>
          <w:w w:val="100"/>
          <w:position w:val="0"/>
        </w:rPr>
        <w:t>，主要原因系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月份增发项目实施所致；</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113" w:name="bookmark113"/>
      <w:r>
        <w:rPr>
          <w:rFonts w:ascii="Times New Roman" w:eastAsia="Times New Roman" w:hAnsi="Times New Roman" w:cs="Times New Roman"/>
          <w:color w:val="000000"/>
          <w:spacing w:val="0"/>
          <w:w w:val="100"/>
          <w:position w:val="0"/>
          <w:sz w:val="18"/>
          <w:szCs w:val="18"/>
        </w:rPr>
        <w:t>4</w:t>
      </w:r>
      <w:bookmarkEnd w:id="113"/>
      <w:r>
        <w:rPr>
          <w:color w:val="000000"/>
          <w:spacing w:val="0"/>
          <w:w w:val="100"/>
          <w:position w:val="0"/>
        </w:rPr>
        <w:t>、</w:t>
        <w:tab/>
        <w:t>投资活动产生的现金流量净额比上年同期增长</w:t>
      </w:r>
      <w:r>
        <w:rPr>
          <w:rFonts w:ascii="Times New Roman" w:eastAsia="Times New Roman" w:hAnsi="Times New Roman" w:cs="Times New Roman"/>
          <w:color w:val="000000"/>
          <w:spacing w:val="0"/>
          <w:w w:val="100"/>
          <w:position w:val="0"/>
          <w:sz w:val="18"/>
          <w:szCs w:val="18"/>
        </w:rPr>
        <w:t>150.87%</w:t>
      </w:r>
      <w:r>
        <w:rPr>
          <w:color w:val="000000"/>
          <w:spacing w:val="0"/>
          <w:w w:val="100"/>
          <w:position w:val="0"/>
        </w:rPr>
        <w:t>，主要原因系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月份增发项目实施所致；</w:t>
      </w:r>
    </w:p>
    <w:p>
      <w:pPr>
        <w:pStyle w:val="Style29"/>
        <w:keepNext w:val="0"/>
        <w:keepLines w:val="0"/>
        <w:widowControl w:val="0"/>
        <w:shd w:val="clear" w:color="auto" w:fill="auto"/>
        <w:tabs>
          <w:tab w:pos="354" w:val="left"/>
        </w:tabs>
        <w:bidi w:val="0"/>
        <w:spacing w:before="0" w:after="0" w:line="326" w:lineRule="exact"/>
        <w:ind w:left="0" w:right="0" w:firstLine="0"/>
        <w:jc w:val="left"/>
      </w:pPr>
      <w:bookmarkStart w:id="114" w:name="bookmark114"/>
      <w:r>
        <w:rPr>
          <w:rFonts w:ascii="Times New Roman" w:eastAsia="Times New Roman" w:hAnsi="Times New Roman" w:cs="Times New Roman"/>
          <w:color w:val="000000"/>
          <w:spacing w:val="0"/>
          <w:w w:val="100"/>
          <w:position w:val="0"/>
          <w:sz w:val="18"/>
          <w:szCs w:val="18"/>
        </w:rPr>
        <w:t>5</w:t>
      </w:r>
      <w:bookmarkEnd w:id="114"/>
      <w:r>
        <w:rPr>
          <w:color w:val="000000"/>
          <w:spacing w:val="0"/>
          <w:w w:val="100"/>
          <w:position w:val="0"/>
        </w:rPr>
        <w:t>、</w:t>
        <w:tab/>
        <w:t>筹集活动产生的现金流量净额比上年同期下降</w:t>
      </w:r>
      <w:r>
        <w:rPr>
          <w:rFonts w:ascii="Times New Roman" w:eastAsia="Times New Roman" w:hAnsi="Times New Roman" w:cs="Times New Roman"/>
          <w:color w:val="000000"/>
          <w:spacing w:val="0"/>
          <w:w w:val="100"/>
          <w:position w:val="0"/>
          <w:sz w:val="18"/>
          <w:szCs w:val="18"/>
        </w:rPr>
        <w:t>52.48%</w:t>
      </w:r>
      <w:r>
        <w:rPr>
          <w:color w:val="000000"/>
          <w:spacing w:val="0"/>
          <w:w w:val="100"/>
          <w:position w:val="0"/>
        </w:rPr>
        <w:t>，主要原因系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月份增发收到款所致；</w:t>
      </w:r>
    </w:p>
    <w:p>
      <w:pPr>
        <w:pStyle w:val="Style29"/>
        <w:keepNext w:val="0"/>
        <w:keepLines w:val="0"/>
        <w:widowControl w:val="0"/>
        <w:shd w:val="clear" w:color="auto" w:fill="auto"/>
        <w:tabs>
          <w:tab w:pos="354" w:val="left"/>
        </w:tabs>
        <w:bidi w:val="0"/>
        <w:spacing w:before="0" w:after="340" w:line="326" w:lineRule="exact"/>
        <w:ind w:left="0" w:right="0" w:firstLine="0"/>
        <w:jc w:val="left"/>
      </w:pPr>
      <w:bookmarkStart w:id="115" w:name="bookmark115"/>
      <w:r>
        <w:rPr>
          <w:rFonts w:ascii="Times New Roman" w:eastAsia="Times New Roman" w:hAnsi="Times New Roman" w:cs="Times New Roman"/>
          <w:color w:val="000000"/>
          <w:spacing w:val="0"/>
          <w:w w:val="100"/>
          <w:position w:val="0"/>
          <w:sz w:val="18"/>
          <w:szCs w:val="18"/>
        </w:rPr>
        <w:t>6</w:t>
      </w:r>
      <w:bookmarkEnd w:id="115"/>
      <w:r>
        <w:rPr>
          <w:color w:val="000000"/>
          <w:spacing w:val="0"/>
          <w:w w:val="100"/>
          <w:position w:val="0"/>
        </w:rPr>
        <w:t>、</w:t>
        <w:tab/>
        <w:t>现金及现金等价物净增加额比上年同期下降</w:t>
      </w:r>
      <w:r>
        <w:rPr>
          <w:rFonts w:ascii="Times New Roman" w:eastAsia="Times New Roman" w:hAnsi="Times New Roman" w:cs="Times New Roman"/>
          <w:color w:val="000000"/>
          <w:spacing w:val="0"/>
          <w:w w:val="100"/>
          <w:position w:val="0"/>
          <w:sz w:val="18"/>
          <w:szCs w:val="18"/>
        </w:rPr>
        <w:t>119.26%</w:t>
      </w:r>
      <w:r>
        <w:rPr>
          <w:color w:val="000000"/>
          <w:spacing w:val="0"/>
          <w:w w:val="100"/>
          <w:position w:val="0"/>
        </w:rPr>
        <w:t>，主要原因系备货增加、职工工资提高引起的购买商品及支付给职 工现金增加，同时，上年收到增发款及本期增发项目实施资金支出增加所致。</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60" w:line="326"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200" w:line="312" w:lineRule="exact"/>
        <w:ind w:left="0" w:right="0" w:firstLine="0"/>
        <w:jc w:val="left"/>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099" w:right="1031" w:bottom="1182" w:left="1001" w:header="0" w:footer="3" w:gutter="0"/>
          <w:cols w:space="720"/>
          <w:noEndnote/>
          <w:titlePg/>
          <w:rtlGutter w:val="0"/>
          <w:docGrid w:linePitch="360"/>
        </w:sectPr>
      </w:pPr>
      <w:r>
        <w:rPr>
          <w:color w:val="000000"/>
          <w:spacing w:val="0"/>
          <w:w w:val="100"/>
          <w:position w:val="0"/>
        </w:rPr>
        <w:t>报告期内公司的经营活动的现金净流量为</w:t>
      </w:r>
      <w:r>
        <w:rPr>
          <w:rFonts w:ascii="Times New Roman" w:eastAsia="Times New Roman" w:hAnsi="Times New Roman" w:cs="Times New Roman"/>
          <w:color w:val="000000"/>
          <w:spacing w:val="0"/>
          <w:w w:val="100"/>
          <w:position w:val="0"/>
          <w:sz w:val="18"/>
          <w:szCs w:val="18"/>
        </w:rPr>
        <w:t>-8,384.8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281.58%</w:t>
      </w:r>
      <w:r>
        <w:rPr>
          <w:color w:val="000000"/>
          <w:spacing w:val="0"/>
          <w:w w:val="100"/>
          <w:position w:val="0"/>
        </w:rPr>
        <w:t>；公司净利润为</w:t>
      </w:r>
      <w:r>
        <w:rPr>
          <w:rFonts w:ascii="Times New Roman" w:eastAsia="Times New Roman" w:hAnsi="Times New Roman" w:cs="Times New Roman"/>
          <w:color w:val="000000"/>
          <w:spacing w:val="0"/>
          <w:w w:val="100"/>
          <w:position w:val="0"/>
          <w:sz w:val="18"/>
          <w:szCs w:val="18"/>
        </w:rPr>
        <w:t>8,755.95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7.25%</w:t>
      </w:r>
      <w:r>
        <w:rPr>
          <w:color w:val="000000"/>
          <w:spacing w:val="0"/>
          <w:w w:val="100"/>
          <w:position w:val="0"/>
        </w:rPr>
        <w:t>。 经营活动的现金净流量与净利润存在重大差异的主要原因是：应收账款增长和备货增加，导致经营活动现金净流量与本期净 利润差异。</w:t>
      </w:r>
    </w:p>
    <w:p>
      <w:pPr>
        <w:pStyle w:val="Style25"/>
        <w:keepNext/>
        <w:keepLines/>
        <w:widowControl w:val="0"/>
        <w:shd w:val="clear" w:color="auto" w:fill="auto"/>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sz w:val="24"/>
          <w:szCs w:val="24"/>
        </w:rPr>
        <w:t>三</w:t>
      </w:r>
      <w:bookmarkEnd w:id="118"/>
      <w:r>
        <w:rPr>
          <w:color w:val="000000"/>
          <w:spacing w:val="0"/>
          <w:w w:val="100"/>
          <w:position w:val="0"/>
          <w:sz w:val="24"/>
          <w:szCs w:val="24"/>
        </w:rPr>
        <w:t>、主营业务构成情况</w:t>
      </w:r>
      <w:bookmarkEnd w:id="116"/>
      <w:bookmarkEnd w:id="117"/>
      <w:bookmarkEnd w:id="1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电器机械及器材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894,799,011.67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531,157,969.98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高、低压成套开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630,397,721.86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395,586,388.95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169,841,022.02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86,757,069.43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84,673,224.20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44,632,800.07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1,100,720.50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770,985.76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8,786,323.09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3,410,725.77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255,943,425.53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148,779,211.58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557,345,686.08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333,837,295.25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9,644,240.32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5,664,431.39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20,492,945.52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12,566,379.46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25,021,194.61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14,846,264.22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22,073,038.55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13,033,121.29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4,278,481.06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2,431,266.79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sz w:val="24"/>
          <w:szCs w:val="24"/>
        </w:rPr>
        <w:t>四</w:t>
      </w:r>
      <w:bookmarkEnd w:id="122"/>
      <w:r>
        <w:rPr>
          <w:color w:val="000000"/>
          <w:spacing w:val="0"/>
          <w:w w:val="100"/>
          <w:position w:val="0"/>
          <w:sz w:val="24"/>
          <w:szCs w:val="24"/>
        </w:rPr>
        <w:t>、资产、负债状况分析</w:t>
      </w:r>
      <w:bookmarkEnd w:id="120"/>
      <w:bookmarkEnd w:id="121"/>
      <w:bookmarkEnd w:id="123"/>
    </w:p>
    <w:p>
      <w:pPr>
        <w:pStyle w:val="Style34"/>
        <w:keepNext/>
        <w:keepLines/>
        <w:widowControl w:val="0"/>
        <w:shd w:val="clear" w:color="auto" w:fill="auto"/>
        <w:bidi w:val="0"/>
        <w:spacing w:before="0" w:after="36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1</w:t>
      </w:r>
      <w:bookmarkEnd w:id="126"/>
      <w:r>
        <w:rPr>
          <w:color w:val="000000"/>
          <w:spacing w:val="0"/>
          <w:w w:val="100"/>
          <w:position w:val="0"/>
        </w:rPr>
        <w:t>、资产项目重大变动情况</w:t>
      </w:r>
      <w:bookmarkEnd w:id="124"/>
      <w:bookmarkEnd w:id="125"/>
      <w:bookmarkEnd w:id="12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438,726,413.2</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506,001,074.97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主要系非公开增发项目实施资金支 出所致</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687,642,459.3</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632,493,016.11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主要系宏观环境从紧，导致部分客户 资金状况紧张，付款节奏变慢，应收</w:t>
            </w:r>
          </w:p>
        </w:tc>
      </w:tr>
    </w:tbl>
    <w:p>
      <w:pPr>
        <w:spacing w:lineRule="exact" w:line="1"/>
        <w:rPr>
          <w:sz w:val="2"/>
          <w:szCs w:val="2"/>
        </w:rPr>
      </w:pPr>
      <w:r>
        <w:br w:type="page"/>
      </w:r>
    </w:p>
    <w:tbl>
      <w:tblPr>
        <w:tblOverlap w:val="never"/>
        <w:jc w:val="center"/>
        <w:tblLayout w:type="fixed"/>
      </w:tblPr>
      <w:tblGrid>
        <w:gridCol w:w="1378"/>
        <w:gridCol w:w="1162"/>
        <w:gridCol w:w="1066"/>
        <w:gridCol w:w="1190"/>
        <w:gridCol w:w="1066"/>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账款小幅上升</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519,424,692.1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421,323,545.31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未履行完毕合同增长导致原材料备 料、在产品和产成品相应增长所致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33,111,207.44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39,467,709.45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本期对外投资的联营企业尚在开拓 市场期间，费用较大，亏损较多所致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302,584,336.2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234,434,189.87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本期部分募投项目完工转入固定资 产所致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59,598,987.48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13,522,191.15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加大募投项目建设所致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83,798,338.95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59,190,578.47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回款中票据较多所致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22,172,698.53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34,882,189.40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本期预付材料款下降所致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87,771,838.95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46,084,057.12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本期购入土地使用权所致</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11,356,224.47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5,276,650.02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本期计提减值准备增加及收到与资 产相关的政府补助较多所致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2</w:t>
      </w:r>
      <w:bookmarkEnd w:id="130"/>
      <w:r>
        <w:rPr>
          <w:color w:val="000000"/>
          <w:spacing w:val="0"/>
          <w:w w:val="100"/>
          <w:position w:val="0"/>
        </w:rPr>
        <w:t>、负债项目重大变动情况</w:t>
      </w:r>
      <w:bookmarkEnd w:id="128"/>
      <w:bookmarkEnd w:id="129"/>
      <w:bookmarkEnd w:id="13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期末流动资金需求增长，向银行借款 增加所致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到期偿还所致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198,230,000.0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250,274,000.00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应付票据到期兑付所致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148,251,284.1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114,858,239.36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应付募投项目工程设备款项增加所 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7,182,280.58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4,173,617.07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计提本年绩效工资所致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16,776,973.18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24,858,374.17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期末应交增值税、所得税减少所致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、以公允价值计量的资产和负债</w:t>
      </w:r>
      <w:bookmarkEnd w:id="132"/>
      <w:bookmarkEnd w:id="133"/>
      <w:bookmarkEnd w:id="13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1205"/>
        <w:gridCol w:w="1200"/>
        <w:gridCol w:w="1195"/>
        <w:gridCol w:w="1195"/>
        <w:gridCol w:w="1195"/>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五</w:t>
      </w:r>
      <w:bookmarkEnd w:id="138"/>
      <w:r>
        <w:rPr>
          <w:color w:val="000000"/>
          <w:spacing w:val="0"/>
          <w:w w:val="100"/>
          <w:position w:val="0"/>
          <w:sz w:val="24"/>
          <w:szCs w:val="24"/>
        </w:rPr>
        <w:t>、核心竞争力分析</w:t>
      </w:r>
      <w:bookmarkEnd w:id="136"/>
      <w:bookmarkEnd w:id="137"/>
      <w:bookmarkEnd w:id="139"/>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公司致力于输配电及控制设备产品制造业，经过多年企业经营，在竞争过程中形成了自身一定的营销优势、技术优势、 品牌优势等，具有优质的客户群及良好的信誉度，同时，公司聚集了业内优秀的管理人才、技术人才、营销人才，建立了可 持续创新的管理团队，为公司搭建了可持续发展平台。公司主要核心竞争优势包括：</w:t>
      </w:r>
    </w:p>
    <w:p>
      <w:pPr>
        <w:pStyle w:val="Style29"/>
        <w:keepNext w:val="0"/>
        <w:keepLines w:val="0"/>
        <w:widowControl w:val="0"/>
        <w:shd w:val="clear" w:color="auto" w:fill="auto"/>
        <w:tabs>
          <w:tab w:pos="658" w:val="left"/>
        </w:tabs>
        <w:bidi w:val="0"/>
        <w:spacing w:before="0" w:after="0" w:line="360" w:lineRule="auto"/>
        <w:ind w:left="0" w:right="0" w:firstLine="380"/>
        <w:jc w:val="left"/>
      </w:pPr>
      <w:bookmarkStart w:id="140" w:name="bookmark140"/>
      <w:r>
        <w:rPr>
          <w:rFonts w:ascii="Times New Roman" w:eastAsia="Times New Roman" w:hAnsi="Times New Roman" w:cs="Times New Roman"/>
          <w:color w:val="000000"/>
          <w:spacing w:val="0"/>
          <w:w w:val="100"/>
          <w:position w:val="0"/>
          <w:sz w:val="18"/>
          <w:szCs w:val="18"/>
        </w:rPr>
        <w:t>1</w:t>
      </w:r>
      <w:bookmarkEnd w:id="140"/>
      <w:r>
        <w:rPr>
          <w:color w:val="000000"/>
          <w:spacing w:val="0"/>
          <w:w w:val="100"/>
          <w:position w:val="0"/>
        </w:rPr>
        <w:t>、</w:t>
        <w:tab/>
        <w:t>市场营销优势</w:t>
      </w:r>
    </w:p>
    <w:p>
      <w:pPr>
        <w:pStyle w:val="Style29"/>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 xml:space="preserve">在营销中心的建设上，公司有了自身独特的市场定位，在重点市场北京地区建立了北方公司，并在上海、浙江、天津、 南京、合肥等地区设立了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个办事处，作为营销中心的派出机构。近年来，公司产品己广泛使用于北京</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奥运场馆、北京 奥林匹克公园、中央电视台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 CTV</w:t>
      </w:r>
      <w:r>
        <w:rPr>
          <w:color w:val="000000"/>
          <w:spacing w:val="0"/>
          <w:w w:val="100"/>
          <w:position w:val="0"/>
        </w:rPr>
        <w:t>）新台址、中国国际展览中心、中国银行信息中心、首都机场、禄口机场、昆明机场、 虹桥机场、中国建材工业对外经济技术合作公司、北京大学体育馆、马钢股份有限公司、铜陵有色集团公司、奇瑞汽车以及 北京地铁（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号线）、大连地铁、宁安城际铁路、广珠城轨、石德、合宁、石太、武广、郑西、温福、福厦、 沪杭、广深港、海南东环、京沪、宁杭、京石武、向莆等近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多条高速铁路客运专线。目前公司产品己销售至马来西亚、印 尼、巴基斯坦、刚果、越南、苏丹、莫桑比克、摩洛哥等十多个国家和地区。</w:t>
      </w:r>
    </w:p>
    <w:p>
      <w:pPr>
        <w:pStyle w:val="Style29"/>
        <w:keepNext w:val="0"/>
        <w:keepLines w:val="0"/>
        <w:widowControl w:val="0"/>
        <w:shd w:val="clear" w:color="auto" w:fill="auto"/>
        <w:tabs>
          <w:tab w:pos="674" w:val="left"/>
        </w:tabs>
        <w:bidi w:val="0"/>
        <w:spacing w:before="0" w:after="0" w:line="360" w:lineRule="auto"/>
        <w:ind w:left="0" w:right="0" w:firstLine="380"/>
        <w:jc w:val="both"/>
      </w:pPr>
      <w:bookmarkStart w:id="141" w:name="bookmark141"/>
      <w:r>
        <w:rPr>
          <w:rFonts w:ascii="Times New Roman" w:eastAsia="Times New Roman" w:hAnsi="Times New Roman" w:cs="Times New Roman"/>
          <w:color w:val="000000"/>
          <w:spacing w:val="0"/>
          <w:w w:val="100"/>
          <w:position w:val="0"/>
          <w:sz w:val="18"/>
          <w:szCs w:val="18"/>
        </w:rPr>
        <w:t>2</w:t>
      </w:r>
      <w:bookmarkEnd w:id="141"/>
      <w:r>
        <w:rPr>
          <w:color w:val="000000"/>
          <w:spacing w:val="0"/>
          <w:w w:val="100"/>
          <w:position w:val="0"/>
        </w:rPr>
        <w:t>、</w:t>
        <w:tab/>
        <w:t>技术优势</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截止报告期末，公司共获得</w:t>
      </w:r>
      <w:r>
        <w:rPr>
          <w:rFonts w:ascii="Times New Roman" w:eastAsia="Times New Roman" w:hAnsi="Times New Roman" w:cs="Times New Roman"/>
          <w:color w:val="000000"/>
          <w:spacing w:val="0"/>
          <w:w w:val="100"/>
          <w:position w:val="0"/>
          <w:sz w:val="18"/>
          <w:szCs w:val="18"/>
        </w:rPr>
        <w:t>411</w:t>
      </w:r>
      <w:r>
        <w:rPr>
          <w:color w:val="000000"/>
          <w:spacing w:val="0"/>
          <w:w w:val="100"/>
          <w:position w:val="0"/>
        </w:rPr>
        <w:t>项专利，其中：</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项实用新型、</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件外观设计。公司持续注重专利技 术的开发与获得，并通过专利申请、专利权利维护等构建公司知识产权保护体系。</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近年来，公司自主研发的多项产品，达到国际国内先进水平，多次获得国家重点新产品、安徽省高新技术产品等荣誉。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年度，公司产品获得国家级荣誉：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、公司《高效节能数字式软启动装置产业化项目》被国家发展和改革委员会认定为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年第四批资源节约和环境保护项目。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、公司新产品《</w:t>
      </w:r>
      <w:r>
        <w:rPr>
          <w:rFonts w:ascii="Times New Roman" w:eastAsia="Times New Roman" w:hAnsi="Times New Roman" w:cs="Times New Roman"/>
          <w:color w:val="000000"/>
          <w:spacing w:val="0"/>
          <w:w w:val="100"/>
          <w:position w:val="0"/>
          <w:sz w:val="18"/>
          <w:szCs w:val="18"/>
        </w:rPr>
        <w:t>AXQ3</w:t>
      </w:r>
      <w:r>
        <w:rPr>
          <w:color w:val="000000"/>
          <w:spacing w:val="0"/>
          <w:w w:val="100"/>
          <w:position w:val="0"/>
        </w:rPr>
        <w:t>自动转换开关》被科技部认定为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年度国家级重点新产 品计划项目。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、公司被国家知识产权局认定为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国家级知识产权优势企业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公司产品获得省级荣誉：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DMX300</w:t>
      </w:r>
      <w:r>
        <w:rPr>
          <w:color w:val="000000"/>
          <w:spacing w:val="0"/>
          <w:w w:val="100"/>
          <w:position w:val="0"/>
        </w:rPr>
        <w:t>系列多功能测控装置及其在智能电网中的应用》项目被评为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年安徽省 科学技术一等奖；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中低压输配电设备工程技术研究中心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被省科技厅认定为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年省工程技术研究中心；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 被安徽省知识产权局认定为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知识产权贯标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试点单位；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、公司发明专利《一种电力多功能仪表系统及测量方法》 被安徽省知识产权局评为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年安徽省第二届专利优秀奖；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、公司《可编程分段式电流控制装置核心专利产业化项目》荣 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年安徽省核心专利产业化项目奖；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、公司《轨道交通（高铁）信号可靠性供电保障系统关键技术的开发及产业化》 项目被安徽省创新办、安徽省财政厅认定为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年安徽省自主创新专项项目；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ACS3</w:t>
      </w:r>
      <w:r>
        <w:rPr>
          <w:color w:val="000000"/>
          <w:spacing w:val="0"/>
          <w:w w:val="100"/>
          <w:position w:val="0"/>
        </w:rPr>
        <w:t>软起动控制器》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VA</w:t>
      </w:r>
      <w:r>
        <w:rPr>
          <w:color w:val="000000"/>
          <w:spacing w:val="0"/>
          <w:w w:val="100"/>
          <w:position w:val="0"/>
        </w:rPr>
        <w:t>型户内 交流高原型高压真空断路器（固封极柱）》《智能有源电力滤波装置》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DPX100P</w:t>
      </w:r>
      <w:r>
        <w:rPr>
          <w:color w:val="000000"/>
          <w:spacing w:val="0"/>
          <w:w w:val="100"/>
          <w:position w:val="0"/>
        </w:rPr>
        <w:t>综合保护装置》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项新产品被认定为安徽 省高新技术产品。</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公司产品获得市级荣誉：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、公司《电力自动化系统关键技术开发及其在智能电网中的应用》项目被评为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年芜湖市 科学技术二等奖；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年度公司分别荣获芜湖市政府质量奖，鸠江区政府质量奖；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、公司员工张辉煌、叶斌、殷长风、 杨振四位同志被中共芜湖市委组织部认定为芜湖市产业振兴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千名人才计划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人才，并获奖励。</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公司作为国家火炬计划重点高新技术企业，建有安徽省检测技术与节能装置实验室、安徽省电器设备电磁兼容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 xml:space="preserve">） </w:t>
      </w:r>
      <w:r>
        <w:rPr>
          <w:color w:val="000000"/>
          <w:spacing w:val="0"/>
          <w:w w:val="100"/>
          <w:position w:val="0"/>
        </w:rPr>
        <w:t>实验室和博士后科研工作站，</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年认定为第四批全国知识产权试点单位，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年认定为第二批省创新型企业，</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年认定 为省知识产权优势培育优秀企业，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月，公司被认定为第十九批享受优惠政策的国家级企业技术中心；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公司被认定为国家创新型试点企业。报告期内，公司被授予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企业科技创新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荣誉称号。</w:t>
      </w:r>
    </w:p>
    <w:p>
      <w:pPr>
        <w:pStyle w:val="Style29"/>
        <w:keepNext w:val="0"/>
        <w:keepLines w:val="0"/>
        <w:widowControl w:val="0"/>
        <w:shd w:val="clear" w:color="auto" w:fill="auto"/>
        <w:tabs>
          <w:tab w:pos="674" w:val="left"/>
        </w:tabs>
        <w:bidi w:val="0"/>
        <w:spacing w:before="0" w:after="0" w:line="360" w:lineRule="auto"/>
        <w:ind w:left="0" w:right="0" w:firstLine="380"/>
        <w:jc w:val="both"/>
      </w:pPr>
      <w:bookmarkStart w:id="142" w:name="bookmark142"/>
      <w:r>
        <w:rPr>
          <w:rFonts w:ascii="Times New Roman" w:eastAsia="Times New Roman" w:hAnsi="Times New Roman" w:cs="Times New Roman"/>
          <w:color w:val="000000"/>
          <w:spacing w:val="0"/>
          <w:w w:val="100"/>
          <w:position w:val="0"/>
          <w:sz w:val="18"/>
          <w:szCs w:val="18"/>
        </w:rPr>
        <w:t>3</w:t>
      </w:r>
      <w:bookmarkEnd w:id="142"/>
      <w:r>
        <w:rPr>
          <w:color w:val="000000"/>
          <w:spacing w:val="0"/>
          <w:w w:val="100"/>
          <w:position w:val="0"/>
        </w:rPr>
        <w:t>、</w:t>
        <w:tab/>
        <w:t>品牌优势</w:t>
      </w:r>
    </w:p>
    <w:p>
      <w:pPr>
        <w:pStyle w:val="Style29"/>
        <w:keepNext w:val="0"/>
        <w:keepLines w:val="0"/>
        <w:widowControl w:val="0"/>
        <w:shd w:val="clear" w:color="auto" w:fill="auto"/>
        <w:bidi w:val="0"/>
        <w:spacing w:before="0" w:after="180" w:line="312" w:lineRule="exact"/>
        <w:ind w:left="0" w:right="0" w:firstLine="380"/>
        <w:jc w:val="both"/>
      </w:pPr>
      <w:r>
        <w:rPr>
          <w:color w:val="000000"/>
          <w:spacing w:val="0"/>
          <w:w w:val="100"/>
          <w:position w:val="0"/>
        </w:rPr>
        <w:t>通过多年的努力，公司己具备了较为突出的品牌优势，近年来获得了多项荣誉称号，为公司品牌形象的树立与推广起到 了良好的促进作用。由于输配电及控制设备对电网安全运行至关重要，客户对品牌和质量的认可往往决定了其购买行为，在 建立信任关系后不易改变对品牌的忠诚度，因此公司一直将品牌建设列入企业战略目标，实行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重质量、创品牌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的经营方针。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鑫龙牌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图形商标于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月被评定为安徽省著名商标，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鑫龙牌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高低压系列开关柜于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产品质量国家免检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w:t>
      </w:r>
    </w:p>
    <w:p>
      <w:pPr>
        <w:pStyle w:val="Style38"/>
        <w:keepNext w:val="0"/>
        <w:keepLines w:val="0"/>
        <w:widowControl w:val="0"/>
        <w:shd w:val="clear" w:color="auto" w:fill="auto"/>
        <w:bidi w:val="0"/>
        <w:spacing w:before="0" w:after="100" w:line="240" w:lineRule="auto"/>
        <w:ind w:left="0" w:right="0" w:firstLine="0"/>
        <w:jc w:val="left"/>
        <w:rPr>
          <w:sz w:val="17"/>
          <w:szCs w:val="17"/>
        </w:rPr>
      </w:pPr>
      <w:r>
        <w:rPr>
          <w:spacing w:val="0"/>
          <w:w w:val="100"/>
          <w:position w:val="0"/>
          <w:sz w:val="36"/>
          <w:szCs w:val="36"/>
        </w:rPr>
        <w:t xml:space="preserve">cnii </w:t>
      </w:r>
      <w:r>
        <w:rPr>
          <w:color w:val="646464"/>
          <w:spacing w:val="0"/>
          <w:w w:val="100"/>
          <w:position w:val="0"/>
          <w:sz w:val="36"/>
          <w:szCs w:val="36"/>
          <w:vertAlign w:val="subscript"/>
        </w:rPr>
        <w:t>18</w:t>
      </w:r>
      <w:r>
        <w:rPr>
          <w:color w:val="646464"/>
          <w:spacing w:val="0"/>
          <w:w w:val="100"/>
          <w:position w:val="0"/>
          <w:sz w:val="36"/>
          <w:szCs w:val="36"/>
        </w:rPr>
        <w:t xml:space="preserve"> </w:t>
      </w:r>
      <w:r>
        <w:rPr>
          <w:rStyle w:val="CharStyle30"/>
          <w:b w:val="0"/>
          <w:bCs w:val="0"/>
        </w:rPr>
        <w:t>号，并连续四届获安徽省名牌产品称号。公司先后荣获</w:t>
      </w:r>
      <w:r>
        <w:rPr>
          <w:rStyle w:val="CharStyle30"/>
          <w:rFonts w:ascii="Times New Roman" w:eastAsia="Times New Roman" w:hAnsi="Times New Roman" w:cs="Times New Roman"/>
          <w:b w:val="0"/>
          <w:bCs w:val="0"/>
          <w:sz w:val="18"/>
          <w:szCs w:val="18"/>
        </w:rPr>
        <w:t>“</w:t>
      </w:r>
      <w:r>
        <w:rPr>
          <w:rStyle w:val="CharStyle30"/>
          <w:b w:val="0"/>
          <w:bCs w:val="0"/>
        </w:rPr>
        <w:t>安徽省劳动保障诚信示范单位</w:t>
      </w:r>
      <w:r>
        <w:rPr>
          <w:rStyle w:val="CharStyle30"/>
          <w:rFonts w:ascii="Times New Roman" w:eastAsia="Times New Roman" w:hAnsi="Times New Roman" w:cs="Times New Roman"/>
          <w:b w:val="0"/>
          <w:bCs w:val="0"/>
          <w:sz w:val="18"/>
          <w:szCs w:val="18"/>
        </w:rPr>
        <w:t>”</w:t>
      </w:r>
      <w:r>
        <w:rPr>
          <w:rStyle w:val="CharStyle30"/>
          <w:b w:val="0"/>
          <w:bCs w:val="0"/>
        </w:rPr>
        <w:t>称号、</w:t>
      </w:r>
      <w:r>
        <w:rPr>
          <w:rStyle w:val="CharStyle30"/>
          <w:rFonts w:ascii="Times New Roman" w:eastAsia="Times New Roman" w:hAnsi="Times New Roman" w:cs="Times New Roman"/>
          <w:b w:val="0"/>
          <w:bCs w:val="0"/>
          <w:sz w:val="18"/>
          <w:szCs w:val="18"/>
        </w:rPr>
        <w:t>“</w:t>
      </w:r>
      <w:r>
        <w:rPr>
          <w:rStyle w:val="CharStyle30"/>
          <w:b w:val="0"/>
          <w:bCs w:val="0"/>
        </w:rPr>
        <w:t>十强企业</w:t>
      </w:r>
      <w:r>
        <w:rPr>
          <w:rStyle w:val="CharStyle30"/>
          <w:rFonts w:ascii="Times New Roman" w:eastAsia="Times New Roman" w:hAnsi="Times New Roman" w:cs="Times New Roman"/>
          <w:b w:val="0"/>
          <w:bCs w:val="0"/>
          <w:sz w:val="18"/>
          <w:szCs w:val="18"/>
        </w:rPr>
        <w:t>”</w:t>
      </w:r>
      <w:r>
        <w:rPr>
          <w:rStyle w:val="CharStyle30"/>
          <w:b w:val="0"/>
          <w:bCs w:val="0"/>
        </w:rPr>
        <w:t>以及</w:t>
      </w:r>
      <w:r>
        <w:rPr>
          <w:rStyle w:val="CharStyle30"/>
          <w:rFonts w:ascii="Times New Roman" w:eastAsia="Times New Roman" w:hAnsi="Times New Roman" w:cs="Times New Roman"/>
          <w:b w:val="0"/>
          <w:bCs w:val="0"/>
          <w:sz w:val="18"/>
          <w:szCs w:val="18"/>
        </w:rPr>
        <w:t>“2012</w:t>
      </w:r>
      <w:r>
        <w:rPr>
          <w:rStyle w:val="CharStyle30"/>
          <w:b w:val="0"/>
          <w:bCs w:val="0"/>
        </w:rPr>
        <w:t>年度优 秀民营企业</w:t>
      </w:r>
      <w:r>
        <w:rPr>
          <w:rStyle w:val="CharStyle30"/>
          <w:rFonts w:ascii="Times New Roman" w:eastAsia="Times New Roman" w:hAnsi="Times New Roman" w:cs="Times New Roman"/>
          <w:b w:val="0"/>
          <w:bCs w:val="0"/>
          <w:sz w:val="18"/>
          <w:szCs w:val="18"/>
        </w:rPr>
        <w:t>”</w:t>
      </w:r>
      <w:r>
        <w:rPr>
          <w:rStyle w:val="CharStyle30"/>
          <w:b w:val="0"/>
          <w:bCs w:val="0"/>
        </w:rPr>
        <w:t>、国家级</w:t>
      </w:r>
      <w:r>
        <w:rPr>
          <w:rStyle w:val="CharStyle30"/>
          <w:rFonts w:ascii="Times New Roman" w:eastAsia="Times New Roman" w:hAnsi="Times New Roman" w:cs="Times New Roman"/>
          <w:b w:val="0"/>
          <w:bCs w:val="0"/>
          <w:sz w:val="18"/>
          <w:szCs w:val="18"/>
        </w:rPr>
        <w:t>“</w:t>
      </w:r>
      <w:r>
        <w:rPr>
          <w:rStyle w:val="CharStyle30"/>
          <w:b w:val="0"/>
          <w:bCs w:val="0"/>
        </w:rPr>
        <w:t>守合同、重信用企业</w:t>
      </w:r>
      <w:r>
        <w:rPr>
          <w:rStyle w:val="CharStyle30"/>
          <w:rFonts w:ascii="Times New Roman" w:eastAsia="Times New Roman" w:hAnsi="Times New Roman" w:cs="Times New Roman"/>
          <w:b w:val="0"/>
          <w:bCs w:val="0"/>
          <w:sz w:val="18"/>
          <w:szCs w:val="18"/>
        </w:rPr>
        <w:t>”</w:t>
      </w:r>
      <w:r>
        <w:rPr>
          <w:rStyle w:val="CharStyle30"/>
          <w:b w:val="0"/>
          <w:bCs w:val="0"/>
        </w:rPr>
        <w:t>等荣誉称号。</w:t>
      </w:r>
    </w:p>
    <w:p>
      <w:pPr>
        <w:pStyle w:val="Style29"/>
        <w:keepNext w:val="0"/>
        <w:keepLines w:val="0"/>
        <w:widowControl w:val="0"/>
        <w:shd w:val="clear" w:color="auto" w:fill="auto"/>
        <w:bidi w:val="0"/>
        <w:spacing w:before="0" w:after="0" w:line="360" w:lineRule="auto"/>
        <w:ind w:left="0" w:right="0" w:firstLine="380"/>
        <w:jc w:val="both"/>
      </w:pPr>
      <w:bookmarkStart w:id="143" w:name="bookmark143"/>
      <w:r>
        <w:rPr>
          <w:rFonts w:ascii="Times New Roman" w:eastAsia="Times New Roman" w:hAnsi="Times New Roman" w:cs="Times New Roman"/>
          <w:color w:val="000000"/>
          <w:spacing w:val="0"/>
          <w:w w:val="100"/>
          <w:position w:val="0"/>
          <w:sz w:val="18"/>
          <w:szCs w:val="18"/>
        </w:rPr>
        <w:t>4</w:t>
      </w:r>
      <w:bookmarkEnd w:id="143"/>
      <w:r>
        <w:rPr>
          <w:color w:val="000000"/>
          <w:spacing w:val="0"/>
          <w:w w:val="100"/>
          <w:position w:val="0"/>
        </w:rPr>
        <w:t>、人才优势</w:t>
      </w:r>
    </w:p>
    <w:p>
      <w:pPr>
        <w:pStyle w:val="Style29"/>
        <w:keepNext w:val="0"/>
        <w:keepLines w:val="0"/>
        <w:widowControl w:val="0"/>
        <w:shd w:val="clear" w:color="auto" w:fill="auto"/>
        <w:bidi w:val="0"/>
        <w:spacing w:before="0" w:after="340" w:line="314" w:lineRule="exact"/>
        <w:ind w:left="0" w:right="0" w:firstLine="380"/>
        <w:jc w:val="both"/>
      </w:pPr>
      <w:r>
        <w:rPr>
          <w:color w:val="000000"/>
          <w:spacing w:val="0"/>
          <w:w w:val="100"/>
          <w:position w:val="0"/>
        </w:rPr>
        <w:t>公司自成立以来，一直注重技术人才、管理人才和营销人才的选拔、培养和重用，坚持知识化、年轻化、科技化。公司 在长期从事高低压成套开关设备及元器件的生产过程中，积累了丰富的科研和实践经验，形成了以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名享受国务院津贴的专 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名机械工业青年科技专家和</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位高级职称专家以及</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位中级职称专家为核心的科研队伍，同时还聘请了行业知名专家 作为公司技术委员会成员。公司还一直吸引优秀的管理人才和营销人才加盟，管理层行业经验和企业管理经验丰富，营销人 员市场开拓意识较强。目前，公司已经形成了一支精通管理、熟悉行业、技术全面、结构合理、素质优秀的人才队伍，为公 司迅速成长做出了突出的贡献。</w:t>
      </w:r>
    </w:p>
    <w:p>
      <w:pPr>
        <w:pStyle w:val="Style25"/>
        <w:keepNext/>
        <w:keepLines/>
        <w:widowControl w:val="0"/>
        <w:shd w:val="clear" w:color="auto" w:fill="auto"/>
        <w:bidi w:val="0"/>
        <w:spacing w:before="0" w:after="34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六</w:t>
      </w:r>
      <w:bookmarkEnd w:id="146"/>
      <w:r>
        <w:rPr>
          <w:color w:val="000000"/>
          <w:spacing w:val="0"/>
          <w:w w:val="100"/>
          <w:position w:val="0"/>
          <w:sz w:val="24"/>
          <w:szCs w:val="24"/>
        </w:rPr>
        <w:t>、投资状况分析</w:t>
      </w:r>
      <w:bookmarkEnd w:id="144"/>
      <w:bookmarkEnd w:id="145"/>
      <w:bookmarkEnd w:id="147"/>
    </w:p>
    <w:p>
      <w:pPr>
        <w:pStyle w:val="Style34"/>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、对外股权投资情况</w:t>
      </w:r>
      <w:bookmarkEnd w:id="148"/>
      <w:bookmarkEnd w:id="149"/>
      <w:bookmarkEnd w:id="151"/>
    </w:p>
    <w:p>
      <w:pPr>
        <w:pStyle w:val="Style34"/>
        <w:keepNext/>
        <w:keepLines/>
        <w:widowControl w:val="0"/>
        <w:shd w:val="clear" w:color="auto" w:fill="auto"/>
        <w:bidi w:val="0"/>
        <w:spacing w:before="0" w:line="240" w:lineRule="auto"/>
        <w:ind w:left="0" w:right="0" w:firstLine="140"/>
        <w:jc w:val="left"/>
      </w:pPr>
      <w:bookmarkStart w:id="148" w:name="bookmark148"/>
      <w:bookmarkStart w:id="149" w:name="bookmark149"/>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8"/>
      <w:bookmarkEnd w:id="149"/>
      <w:bookmarkEnd w:id="153"/>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湖北祥华鑫龙电力发展股份有限公司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电力设备、电线电缆、照明节能灯具的 研发、销售，新能源、新材料、智能电 网的研发、应用，电缆工程设计、技术 咨询。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3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亳州鑫龙电气有限公司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电气机械及器材制造、工业过程控制及 监控系统、计算机应用服务与综合信息 网络工程、电子声像工程、电力电子、 新能源、各种智能化系统和技术防范工 程设计、制造、施工、安装、维修、调 试、销售及技术服务；经营本企业自产 产品及相关技术的出口和科研所需的原 辅材料、仪器仪表、机械设备、零配件 及相关技术的进出口（国家限定经营或 禁止进出口的商品除外），进料加工和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三来一补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14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w:t>
      </w:r>
      <w:bookmarkEnd w:id="156"/>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54"/>
      <w:bookmarkEnd w:id="155"/>
      <w:bookmarkEnd w:id="157"/>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股份来源</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芜湖扬子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265,123,30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长期股权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现金购买</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099" w:right="1031" w:bottom="1182" w:left="1001" w:header="0" w:footer="3" w:gutter="0"/>
          <w:cols w:space="720"/>
          <w:noEndnote/>
          <w:titlePg/>
          <w:rtlGutter w:val="0"/>
          <w:docGrid w:linePitch="360"/>
        </w:sectPr>
      </w:pPr>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农村商业 银行股份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1,460,000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265,123,30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、募集资金使用情况</w:t>
      </w:r>
      <w:bookmarkEnd w:id="158"/>
      <w:bookmarkEnd w:id="159"/>
      <w:bookmarkEnd w:id="161"/>
    </w:p>
    <w:p>
      <w:pPr>
        <w:pStyle w:val="Style34"/>
        <w:keepNext/>
        <w:keepLines/>
        <w:widowControl w:val="0"/>
        <w:numPr>
          <w:ilvl w:val="0"/>
          <w:numId w:val="3"/>
        </w:numPr>
        <w:shd w:val="clear" w:color="auto" w:fill="auto"/>
        <w:bidi w:val="0"/>
        <w:spacing w:before="0" w:line="240" w:lineRule="auto"/>
        <w:ind w:left="0" w:right="0" w:firstLine="0"/>
        <w:jc w:val="left"/>
      </w:pPr>
      <w:bookmarkStart w:id="158" w:name="bookmark158"/>
      <w:bookmarkStart w:id="159" w:name="bookmark159"/>
      <w:bookmarkStart w:id="162" w:name="bookmark162"/>
      <w:bookmarkStart w:id="163" w:name="bookmark163"/>
      <w:bookmarkEnd w:id="162"/>
      <w:r>
        <w:rPr>
          <w:color w:val="000000"/>
          <w:spacing w:val="0"/>
          <w:w w:val="100"/>
          <w:position w:val="0"/>
        </w:rPr>
        <w:t>募集资金总体使用情况</w:t>
      </w:r>
      <w:bookmarkEnd w:id="158"/>
      <w:bookmarkEnd w:id="159"/>
      <w:bookmarkEnd w:id="1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51,551.06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4"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本次非公开发行募集资金分别使用于年产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万台</w:t>
            </w:r>
            <w:r>
              <w:rPr>
                <w:rFonts w:ascii="Times New Roman" w:eastAsia="Times New Roman" w:hAnsi="Times New Roman" w:cs="Times New Roman"/>
                <w:color w:val="000000"/>
                <w:spacing w:val="0"/>
                <w:w w:val="100"/>
                <w:position w:val="0"/>
                <w:sz w:val="18"/>
                <w:szCs w:val="18"/>
              </w:rPr>
              <w:t>VA-12</w:t>
            </w:r>
            <w:r>
              <w:rPr>
                <w:color w:val="000000"/>
                <w:spacing w:val="0"/>
                <w:w w:val="100"/>
                <w:position w:val="0"/>
                <w:sz w:val="17"/>
                <w:szCs w:val="17"/>
              </w:rPr>
              <w:t>智能化固封极柱式高压真空断路器项目、年产</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万台智能型电力 电器元件产品生产线项目、智能型高分断低压断路器生产线建设项目和高、低压开关柜及元件技术研究中心建设项目。本 公司在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年度募投项目共计使用募集资金</w:t>
            </w:r>
            <w:r>
              <w:rPr>
                <w:rFonts w:ascii="Times New Roman" w:eastAsia="Times New Roman" w:hAnsi="Times New Roman" w:cs="Times New Roman"/>
                <w:color w:val="000000"/>
                <w:spacing w:val="0"/>
                <w:w w:val="100"/>
                <w:position w:val="0"/>
                <w:sz w:val="18"/>
                <w:szCs w:val="18"/>
              </w:rPr>
              <w:t>77,502,843.70</w:t>
            </w:r>
            <w:r>
              <w:rPr>
                <w:color w:val="000000"/>
                <w:spacing w:val="0"/>
                <w:w w:val="100"/>
                <w:position w:val="0"/>
                <w:sz w:val="17"/>
                <w:szCs w:val="17"/>
              </w:rPr>
              <w:t>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日止募集资金累计已使用</w:t>
            </w:r>
            <w:r>
              <w:rPr>
                <w:rFonts w:ascii="Times New Roman" w:eastAsia="Times New Roman" w:hAnsi="Times New Roman" w:cs="Times New Roman"/>
                <w:color w:val="000000"/>
                <w:spacing w:val="0"/>
                <w:w w:val="100"/>
                <w:position w:val="0"/>
                <w:sz w:val="18"/>
                <w:szCs w:val="18"/>
              </w:rPr>
              <w:t>92,011,383.92 .7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o</w:t>
            </w:r>
          </w:p>
        </w:tc>
      </w:tr>
    </w:tbl>
    <w:p>
      <w:pPr>
        <w:widowControl w:val="0"/>
        <w:spacing w:after="339" w:line="1" w:lineRule="exact"/>
      </w:pPr>
    </w:p>
    <w:p>
      <w:pPr>
        <w:pStyle w:val="Style34"/>
        <w:keepNext/>
        <w:keepLines/>
        <w:widowControl w:val="0"/>
        <w:numPr>
          <w:ilvl w:val="0"/>
          <w:numId w:val="3"/>
        </w:numPr>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募集资金承诺项目情况</w:t>
      </w:r>
      <w:bookmarkEnd w:id="164"/>
      <w:bookmarkEnd w:id="165"/>
      <w:bookmarkEnd w:id="1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1"/>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 累计投入</w:t>
            </w:r>
          </w:p>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0" w:line="36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项目达到 预定可使 用状态日</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 实现的效</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1"/>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VA-12</w:t>
            </w:r>
            <w:r>
              <w:rPr>
                <w:color w:val="000000"/>
                <w:spacing w:val="0"/>
                <w:w w:val="100"/>
                <w:position w:val="0"/>
              </w:rPr>
              <w:t>智 能化固封极柱式高压 真空断路器项目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万台智能型电 力电器元件产品生产 线项目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智能型高分断低压断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路器生产线建设项目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高、低压开关柜及元件 技术研究中心建设项 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9,201.14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9,201.14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539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高、低压开关柜及元件技术研究中心建设项目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延期的原因：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月该项目 的实施地点发生变更，使得项目基础建设的破土动工时间推迟；</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 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企业技术中心的认定，管理层在原投资规划框架内对该项目建设提出了更细致的要求，包括选择 玻璃幕墙作为外墙材料，从而增加了基建工期；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由于输配电及控制设备制造面临电网智能化革 新，技术升级较快，公司需要结合不断发展的行业技术环境考虑购置相关试验、检测设备，否则容 易产生设备淘汰率高，投资效益低下的情况，因此也会延长达到预定效果所需时间；</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 司集合资源优先建设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智能型高分断低压断路器生产线建设项目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，使其能够提前约半年时间投产， 对其他项目延期也存在一定的影响。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智能型电力电器元件产品生产线项目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延期的原因：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月该项目的实施地点发生变更，使得该项目基础建设的开工时间晚于预期；</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由于 位置相邻，公司聘请同一家建筑施工单位负责该项目和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高、低压开关柜及元件技术研究中心建设项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的基础建设。基于施工便利等方面的考虑，该单位在施工顺序上优先建设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高、低压开关柜及元 件技术研究中心建设项目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，造成该项目的建设进度较原计划有所延迟；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受宏观经济形势的影响， 工业客户的投资需求有所减缓，使得公司电力自动化产品销售增速未达预期，现有产能短期内利用 率水平不高。虽然公司管理层判断随着电网智能化改革的持续推进，电力自动化市场存在较大的业 务拓展空间，但是如果目前加快投入资金迅速扩大生产规模，会造成该项目的前阶段产能过剩、资 金浪费，且后续产生的折旧费用、管理费用等会对公司的经营产生较大的影响，故而公司对该项目 的建设进度有所放缓。</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年第一次临时股东大会审议决定，终止实施募投项目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智能化固 封极柱式高压真空断路器项目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并使用剩余募集资金（含利息）永久补充流动资金。</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万台智能型电力电器元件产品生产线项目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的实施地点，原实施地点为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安徽省 芜湖市经济技术开发区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，变更后该项目的实施地点为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芜湖市鸠江经济开发区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 型高分断低压断路器生产线建设项目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的实施地点，原实施地点为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安徽省芜湖市经济技术开发区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变更后该项目的实施地点为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芜湖市鸠江经济开发区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高、低压开关柜及元件技术研 究中心建设项目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的实施地点，原实施地点为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安徽省芜湖市经济技术开发区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，变更后该项目的实施 地点为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芜湖市鸠江经济开发区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781"/>
        <w:gridCol w:w="7805"/>
      </w:tblGrid>
      <w:tr>
        <w:trPr>
          <w:trHeight w:val="1339"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年第一次临时股东大会审议通过了《关于继续使用部分闲置募集资金暂时补充流动资金的 议案》，同意公司继续使用不超过</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万元人民币的闲置募集资金暂时补充流动资金，使用期限 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日止）。上述资金已于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日全额 归还募集资金专用账户。</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存放于募集资金专户余额为</w:t>
            </w:r>
            <w:r>
              <w:rPr>
                <w:rFonts w:ascii="Times New Roman" w:eastAsia="Times New Roman" w:hAnsi="Times New Roman" w:cs="Times New Roman"/>
                <w:color w:val="000000"/>
                <w:spacing w:val="0"/>
                <w:w w:val="100"/>
                <w:position w:val="0"/>
                <w:sz w:val="18"/>
                <w:szCs w:val="18"/>
              </w:rPr>
              <w:t>6,628,297.90</w:t>
            </w:r>
            <w:r>
              <w:rPr>
                <w:color w:val="000000"/>
                <w:spacing w:val="0"/>
                <w:w w:val="100"/>
                <w:position w:val="0"/>
              </w:rPr>
              <w:t>元、募集资金定期存单余额为</w:t>
            </w:r>
            <w:r>
              <w:rPr>
                <w:rFonts w:ascii="Times New Roman" w:eastAsia="Times New Roman" w:hAnsi="Times New Roman" w:cs="Times New Roman"/>
                <w:color w:val="000000"/>
                <w:spacing w:val="0"/>
                <w:w w:val="100"/>
                <w:position w:val="0"/>
                <w:sz w:val="18"/>
                <w:szCs w:val="18"/>
              </w:rPr>
              <w:t>172,425,074.32</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、主要子公司、参股公司分析</w:t>
      </w:r>
      <w:bookmarkEnd w:id="168"/>
      <w:bookmarkEnd w:id="169"/>
      <w:bookmarkEnd w:id="17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或服务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 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输配电及 控制设备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主营高、低 压电器元 器件，开关 配件设计、 制造、销售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480,915,73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331,977,18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108,224,18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2,961,780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3,701,528.08</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 低压电器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 控制设备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主营低压 电器设备， 元件及附 件的设计、 制造、销售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80,457,696.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65,593,992.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46,703,548.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2,365,402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2,159,531.50</w:t>
            </w:r>
          </w:p>
        </w:tc>
      </w:tr>
      <w:tr>
        <w:trPr>
          <w:trHeight w:val="442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 自动化有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 控制设备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主营变电 站微机综 合自动化 系统，数控 直流电源 柜及部件， 全数字软 启动器及 装置，智能 型全数字 晶闸调功 器，全数字 交直流供 调速系统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100,476,38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65,276,039.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103,901,09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10,236,95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9,125,196.03</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099" w:right="1031" w:bottom="1182" w:left="1001" w:header="0" w:footer="3" w:gutter="0"/>
          <w:cols w:space="720"/>
          <w:noEndnote/>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及装置，工 业生产过 程自动化 控制系统，</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DCS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PLC </w:t>
            </w:r>
            <w:r>
              <w:rPr>
                <w:color w:val="000000"/>
                <w:spacing w:val="0"/>
                <w:w w:val="100"/>
                <w:position w:val="0"/>
              </w:rPr>
              <w:t>控，智能化 数字仪表 设计、生 产，安全防 范技术工 程设计、施 工、维修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 变压器有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 控制设备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主营油浸 式变压器 和干式变 压器生产、 销售和维 修（涉及国 家有关审 批项目，按 国家有关 规定办 理），预装 式变电站 的设计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9,043,283.5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7,027,837.4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9,827,629.0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598,294.67</w:t>
            </w:r>
          </w:p>
        </w:tc>
      </w:tr>
      <w:tr>
        <w:trPr>
          <w:trHeight w:val="59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 电力工程 安装有限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 控制设备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主营电气 设备（含发 电、输电、 配电、电气 传动、自动 化仪表、通 讯工业电 视），工业 过程控制 及监控系 统，计算机 应用服务 与综合信 息网络工 程，电子声 像工程，职 能化系统 和技术防 范工程安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30,777,878.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30,327,539.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1,213,787.5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-74,735.84</w:t>
            </w:r>
          </w:p>
        </w:tc>
      </w:tr>
    </w:tbl>
    <w:p>
      <w:pPr>
        <w:spacing w:lineRule="exact" w:line="1"/>
        <w:rPr>
          <w:sz w:val="2"/>
          <w:szCs w:val="2"/>
        </w:rPr>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装、调试、 维护（凡涉 及专项审 批的凭许 可证经营）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 电器元件 销售有限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 控制设备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主营高低 压元器元 件、工控元 器件、智能 化仪器仪 表、变压 器、电线电 缆销售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10,508,646.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7,060,665.9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-10,721.39</w:t>
            </w:r>
          </w:p>
        </w:tc>
      </w:tr>
      <w:tr>
        <w:trPr>
          <w:trHeight w:val="47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安徽佑赛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 控制设备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电能质量 治理设备、 电力节能 设备、电网 监测系统、 新能源系 统和装置 的研发、制 造和销售</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（上述经 营范围涉 及许可资 质的，凭许 可资质经 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44,746,278.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31,932,564.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30,550,841.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2,494,090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1,725,849.11</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安徽鑫东 投资管理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科技项目</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投资及实</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业投资、管</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26,848,777.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26,848,777.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-7,081,84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-7,074,583.30</w:t>
            </w:r>
          </w:p>
        </w:tc>
      </w:tr>
      <w:tr>
        <w:trPr>
          <w:trHeight w:val="34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安徽美能 储能系统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储能和电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源控制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设计、制 造、销售先 进的储能 和电源控 制技术系 列产品；将 先进的储 能和电源 控制技术 系列产品 与其他技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1362.58520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64,836,952.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57,824,664.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602,918.56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-15,375,613.5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spacing w:lineRule="exact" w:line="1"/>
        <w:rPr>
          <w:sz w:val="2"/>
          <w:szCs w:val="2"/>
        </w:rPr>
      </w:pPr>
      <w:r>
        <w:br w:type="page"/>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术整合；产 品的开发、 维修与服 务（上述经 营范围涉 及国家限 制、禁止类 项目除外， 涉及生物 能源中生 物燃料等 须经安全 生产监督 管理部门 审批后开 展经营，涉 及供电经 营的须经 电力管理 部门审批 后开展经 营，涉及专 项许可的 凭许可证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亳州鑫龙 电气有限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输配电及 控制设备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电气机械 及器材制 造、工业过 程控制及 监控系统、 计算机应 用服务与 综合信息 网络工程、 电子声像 工程、电力 电子、新能 源、各种智 能化系统 和技术防 范工程设 计、制造、 施工、安 装、维修、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bl>
    <w:p>
      <w:p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099" w:right="1031" w:bottom="1182" w:left="1001" w:header="0" w:footer="3" w:gutter="0"/>
          <w:cols w:space="720"/>
          <w:noEndnote/>
          <w:rtlGutter w:val="0"/>
          <w:docGrid w:linePitch="360"/>
        </w:sectPr>
      </w:pPr>
    </w:p>
    <w:p>
      <w:pPr>
        <w:widowControl w:val="0"/>
        <w:spacing w:after="319" w:line="1" w:lineRule="exact"/>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69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调试、销售 及技术服 务；经营本 企业自产 产品及相 关技术的 出口和科 研所需的 原辅材料、 仪器仪表、 机械设备、 零配件及 相关技术 的进出口</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（国家限 定经营或 禁止进出 口的商品 除外），进 料加工和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三来一 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26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七</w:t>
      </w:r>
      <w:bookmarkEnd w:id="174"/>
      <w:r>
        <w:rPr>
          <w:color w:val="000000"/>
          <w:spacing w:val="0"/>
          <w:w w:val="100"/>
          <w:position w:val="0"/>
          <w:sz w:val="24"/>
          <w:szCs w:val="24"/>
        </w:rPr>
        <w:t>、</w:t>
        <w:tab/>
        <w:t>公司控制的特殊目的主体情况</w:t>
      </w:r>
      <w:bookmarkEnd w:id="172"/>
      <w:bookmarkEnd w:id="173"/>
      <w:bookmarkEnd w:id="175"/>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公司无控制的特殊目的主体。</w:t>
      </w:r>
    </w:p>
    <w:p>
      <w:pPr>
        <w:pStyle w:val="Style25"/>
        <w:keepNext/>
        <w:keepLines/>
        <w:widowControl w:val="0"/>
        <w:shd w:val="clear" w:color="auto" w:fill="auto"/>
        <w:tabs>
          <w:tab w:pos="522" w:val="left"/>
        </w:tabs>
        <w:bidi w:val="0"/>
        <w:spacing w:before="0" w:after="26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八</w:t>
      </w:r>
      <w:bookmarkEnd w:id="178"/>
      <w:r>
        <w:rPr>
          <w:color w:val="000000"/>
          <w:spacing w:val="0"/>
          <w:w w:val="100"/>
          <w:position w:val="0"/>
          <w:sz w:val="24"/>
          <w:szCs w:val="24"/>
        </w:rPr>
        <w:t>、</w:t>
        <w:tab/>
        <w:t>公司未来发展的展望</w:t>
      </w:r>
      <w:bookmarkEnd w:id="176"/>
      <w:bookmarkEnd w:id="177"/>
      <w:bookmarkEnd w:id="179"/>
    </w:p>
    <w:p>
      <w:pPr>
        <w:pStyle w:val="Style29"/>
        <w:keepNext w:val="0"/>
        <w:keepLines w:val="0"/>
        <w:widowControl w:val="0"/>
        <w:shd w:val="clear" w:color="auto" w:fill="auto"/>
        <w:tabs>
          <w:tab w:pos="531" w:val="left"/>
        </w:tabs>
        <w:bidi w:val="0"/>
        <w:spacing w:before="0" w:after="0" w:line="313" w:lineRule="exact"/>
        <w:ind w:left="0" w:right="0" w:firstLine="0"/>
        <w:jc w:val="left"/>
      </w:pPr>
      <w:bookmarkStart w:id="180" w:name="bookmark180"/>
      <w:r>
        <w:rPr>
          <w:color w:val="000000"/>
          <w:spacing w:val="0"/>
          <w:w w:val="100"/>
          <w:position w:val="0"/>
        </w:rPr>
        <w:t>（</w:t>
      </w:r>
      <w:bookmarkEnd w:id="180"/>
      <w:r>
        <w:rPr>
          <w:color w:val="000000"/>
          <w:spacing w:val="0"/>
          <w:w w:val="100"/>
          <w:position w:val="0"/>
        </w:rPr>
        <w:t>一）</w:t>
        <w:tab/>
        <w:t>公司所处行业的发展趋势</w:t>
      </w:r>
    </w:p>
    <w:p>
      <w:pPr>
        <w:pStyle w:val="Style29"/>
        <w:keepNext w:val="0"/>
        <w:keepLines w:val="0"/>
        <w:widowControl w:val="0"/>
        <w:shd w:val="clear" w:color="auto" w:fill="auto"/>
        <w:bidi w:val="0"/>
        <w:spacing w:before="0" w:after="0" w:line="313" w:lineRule="exact"/>
        <w:ind w:left="0" w:right="0" w:firstLine="2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时期，经济全球化将继续深入发展，世界经济将在调整中逐步恢复增长，同时，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时期依然是中国经济 发展重要战略机遇期。电力行业所处经济环境有望持续改善。电力是现代工业的命脉，国民经济的发展和人民生活的改善均 离不开电力工业的发展，故发展电力工业一直是我国的长期发展战略；而输配电及控制设备制造业承担着电能传输、变换、 分配的重任，是实现国民经济可持续发展的重要保障手段。目前，我国输配电及控制设备制造业的行业集中度不高，且随着 电压等级的降低，这种特征体现得更为明显。随着社会的进步和技术的发展，提高输配电及控制设备产品的安全性和稳定性， 成为行业发展的关键，故行业内的优秀企业将利用其较高的技术研发能力和专业的设备资源为客户提供高技术附加值的产品 从而引导市场需求和抢占市场份额，并获得更高的盈利空间。</w:t>
      </w:r>
    </w:p>
    <w:p>
      <w:pPr>
        <w:pStyle w:val="Style29"/>
        <w:keepNext w:val="0"/>
        <w:keepLines w:val="0"/>
        <w:widowControl w:val="0"/>
        <w:shd w:val="clear" w:color="auto" w:fill="auto"/>
        <w:tabs>
          <w:tab w:pos="531" w:val="left"/>
        </w:tabs>
        <w:bidi w:val="0"/>
        <w:spacing w:before="0" w:after="0" w:line="313" w:lineRule="exact"/>
        <w:ind w:left="0" w:right="0" w:firstLine="0"/>
        <w:jc w:val="left"/>
      </w:pPr>
      <w:bookmarkStart w:id="181" w:name="bookmark181"/>
      <w:r>
        <w:rPr>
          <w:color w:val="000000"/>
          <w:spacing w:val="0"/>
          <w:w w:val="100"/>
          <w:position w:val="0"/>
        </w:rPr>
        <w:t>（</w:t>
      </w:r>
      <w:bookmarkEnd w:id="181"/>
      <w:r>
        <w:rPr>
          <w:color w:val="000000"/>
          <w:spacing w:val="0"/>
          <w:w w:val="100"/>
          <w:position w:val="0"/>
        </w:rPr>
        <w:t>二）</w:t>
        <w:tab/>
        <w:t>公司发展战略及规划</w:t>
      </w:r>
    </w:p>
    <w:p>
      <w:pPr>
        <w:pStyle w:val="Style29"/>
        <w:keepNext w:val="0"/>
        <w:keepLines w:val="0"/>
        <w:widowControl w:val="0"/>
        <w:shd w:val="clear" w:color="auto" w:fill="auto"/>
        <w:bidi w:val="0"/>
        <w:spacing w:before="0" w:after="0" w:line="313"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年，面对经济增长放缓，市场竞争激烈，固定资产投资增速减缓的市场环境，公司将坚持改革创新、突破发展，紧 密与市场接轨，科学构建管理体系，强化企业绩效管理、新产品研发力度，推动公司科学发展，促进公司竞争力提升。</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电力行业作为国家经济发展的支柱行业，随着国内和国外经济形势的发展，电力工业进入快速发展期。输配电及控制设 </w:t>
      </w:r>
      <w:r>
        <w:rPr>
          <w:color w:val="000000"/>
          <w:spacing w:val="0"/>
          <w:w w:val="100"/>
          <w:position w:val="0"/>
        </w:rPr>
        <w:t>备作为电力工业发电和用电之间的桥梁，其重要性毋庸置疑。公司必须抓住机遇，理顺总体发展思路，以市场为导向，以科 技为依托，以发展为主题，以调整结构为主线，以新型工业化为目标，以创新为动力，以经济效益为中心，实现资本多元化 和经营专业化，深挖企业内部潜能和市场潜力，加大企业管理和技术创新力度，提高技术含量，从而满足用户现实的和潜在 的需求，引领市场和行业发展，同时优化整个产业链，实现以高低压成套电气为平台，以高低压元器件、自动化元器件和电 力电子为核心，努力经营，带动公司发展。</w:t>
      </w:r>
    </w:p>
    <w:p>
      <w:pPr>
        <w:pStyle w:val="Style29"/>
        <w:keepNext w:val="0"/>
        <w:keepLines w:val="0"/>
        <w:widowControl w:val="0"/>
        <w:shd w:val="clear" w:color="auto" w:fill="auto"/>
        <w:tabs>
          <w:tab w:pos="471" w:val="left"/>
        </w:tabs>
        <w:bidi w:val="0"/>
        <w:spacing w:before="0" w:after="100" w:line="313" w:lineRule="exact"/>
        <w:ind w:left="0" w:right="0" w:firstLine="0"/>
        <w:jc w:val="both"/>
      </w:pPr>
      <w:bookmarkStart w:id="182" w:name="bookmark182"/>
      <w:r>
        <w:rPr>
          <w:color w:val="000000"/>
          <w:spacing w:val="0"/>
          <w:w w:val="100"/>
          <w:position w:val="0"/>
        </w:rPr>
        <w:t>（</w:t>
      </w:r>
      <w:bookmarkEnd w:id="182"/>
      <w:r>
        <w:rPr>
          <w:color w:val="000000"/>
          <w:spacing w:val="0"/>
          <w:w w:val="100"/>
          <w:position w:val="0"/>
        </w:rPr>
        <w:t>三）</w:t>
        <w:tab/>
        <w:t>可能面对的风险因素</w:t>
      </w:r>
    </w:p>
    <w:p>
      <w:pPr>
        <w:pStyle w:val="Style29"/>
        <w:keepNext w:val="0"/>
        <w:keepLines w:val="0"/>
        <w:widowControl w:val="0"/>
        <w:shd w:val="clear" w:color="auto" w:fill="auto"/>
        <w:tabs>
          <w:tab w:pos="274" w:val="left"/>
        </w:tabs>
        <w:bidi w:val="0"/>
        <w:spacing w:before="0" w:after="0" w:line="360" w:lineRule="auto"/>
        <w:ind w:left="0" w:right="0" w:firstLine="0"/>
        <w:jc w:val="both"/>
      </w:pPr>
      <w:bookmarkStart w:id="183" w:name="bookmark183"/>
      <w:r>
        <w:rPr>
          <w:rFonts w:ascii="Times New Roman" w:eastAsia="Times New Roman" w:hAnsi="Times New Roman" w:cs="Times New Roman"/>
          <w:color w:val="000000"/>
          <w:spacing w:val="0"/>
          <w:w w:val="100"/>
          <w:position w:val="0"/>
          <w:sz w:val="18"/>
          <w:szCs w:val="18"/>
        </w:rPr>
        <w:t>1</w:t>
      </w:r>
      <w:bookmarkEnd w:id="183"/>
      <w:r>
        <w:rPr>
          <w:color w:val="000000"/>
          <w:spacing w:val="0"/>
          <w:w w:val="100"/>
          <w:position w:val="0"/>
        </w:rPr>
        <w:t>、</w:t>
        <w:tab/>
        <w:t>行业竞争风险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经过多年发展，我国输配电及控制设备制造业已形成了国有企业、民营企业和外资企业并存的市场竞争格局。在高低压 领域，输配电及控制设备产品的生产厂家众多，行业集中度较低，市场竞争激烈，产品的价格、质量、技术含量和售后服务 受到越来越多的关注。虽然公司主导产品已在</w:t>
      </w:r>
      <w:r>
        <w:rPr>
          <w:rFonts w:ascii="Times New Roman" w:eastAsia="Times New Roman" w:hAnsi="Times New Roman" w:cs="Times New Roman"/>
          <w:color w:val="000000"/>
          <w:spacing w:val="0"/>
          <w:w w:val="100"/>
          <w:position w:val="0"/>
          <w:sz w:val="18"/>
          <w:szCs w:val="18"/>
        </w:rPr>
        <w:t>12</w:t>
      </w:r>
      <w:r>
        <w:rPr>
          <w:rFonts w:ascii="Arial Unicode MS" w:eastAsia="Arial Unicode MS" w:hAnsi="Arial Unicode MS" w:cs="Arial Unicode MS"/>
          <w:color w:val="000000"/>
          <w:spacing w:val="0"/>
          <w:w w:val="100"/>
          <w:position w:val="0"/>
          <w:sz w:val="14"/>
          <w:szCs w:val="14"/>
        </w:rPr>
        <w:t>〜</w:t>
      </w:r>
      <w:r>
        <w:rPr>
          <w:rFonts w:ascii="Times New Roman" w:eastAsia="Times New Roman" w:hAnsi="Times New Roman" w:cs="Times New Roman"/>
          <w:color w:val="000000"/>
          <w:spacing w:val="0"/>
          <w:w w:val="100"/>
          <w:position w:val="0"/>
          <w:sz w:val="18"/>
          <w:szCs w:val="18"/>
        </w:rPr>
        <w:t>40.5k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高低压成套开关设备及元器件市场初步建立了自己的竞争优势，但 公司仍将在各产品线面临着来自国内外知名企业持续的市场竞争。</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应对措施：一是加快规划项目的建设，占领行业规模制高点；二是稳定并大力开拓终端客户，保证市场的稳定；三是进 一步加强精细化管理，有效降低采购成本、物料消耗和期间费用等。</w:t>
      </w:r>
    </w:p>
    <w:p>
      <w:pPr>
        <w:pStyle w:val="Style29"/>
        <w:keepNext w:val="0"/>
        <w:keepLines w:val="0"/>
        <w:widowControl w:val="0"/>
        <w:shd w:val="clear" w:color="auto" w:fill="auto"/>
        <w:tabs>
          <w:tab w:pos="294" w:val="left"/>
        </w:tabs>
        <w:bidi w:val="0"/>
        <w:spacing w:before="0" w:after="0" w:line="360" w:lineRule="auto"/>
        <w:ind w:left="0" w:right="0" w:firstLine="0"/>
        <w:jc w:val="left"/>
      </w:pPr>
      <w:bookmarkStart w:id="184" w:name="bookmark184"/>
      <w:r>
        <w:rPr>
          <w:rFonts w:ascii="Times New Roman" w:eastAsia="Times New Roman" w:hAnsi="Times New Roman" w:cs="Times New Roman"/>
          <w:color w:val="000000"/>
          <w:spacing w:val="0"/>
          <w:w w:val="100"/>
          <w:position w:val="0"/>
          <w:sz w:val="18"/>
          <w:szCs w:val="18"/>
        </w:rPr>
        <w:t>2</w:t>
      </w:r>
      <w:bookmarkEnd w:id="184"/>
      <w:r>
        <w:rPr>
          <w:color w:val="000000"/>
          <w:spacing w:val="0"/>
          <w:w w:val="100"/>
          <w:position w:val="0"/>
        </w:rPr>
        <w:t>、</w:t>
        <w:tab/>
        <w:t>产品质量风险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公司的产品主要应用于输配电及控制系统，产品质量相当关键，一旦出现故障，有可能造成用户电力系统严重事故，甚 至危及电网的安全，给公司信誉带来重大损害，影响公司产品的销售；同时，公司产品出厂后，如果在用户安装检验过程中 发现质量问题，不能达到设计要求，无论返工或退货，都将会直接影响公司的经济效益。</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应对措施：公司继续坚持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以质取胜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，在保证质量的前提下完成及时交付。公司积极提倡合理资源调配，合理安排原材 料供应及采购成本管理，在保障材料成本及供应及时性的前提下，着重关注品质，在降低成本的条件下有效的保证原材料的 供给。质量管理部门严格按照</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质量管理体系的标准对产品进行把关，保证所有出厂产品的合格率。</w:t>
      </w:r>
    </w:p>
    <w:p>
      <w:pPr>
        <w:pStyle w:val="Style29"/>
        <w:keepNext w:val="0"/>
        <w:keepLines w:val="0"/>
        <w:widowControl w:val="0"/>
        <w:shd w:val="clear" w:color="auto" w:fill="auto"/>
        <w:tabs>
          <w:tab w:pos="294" w:val="left"/>
        </w:tabs>
        <w:bidi w:val="0"/>
        <w:spacing w:before="0" w:after="0" w:line="360" w:lineRule="auto"/>
        <w:ind w:left="0" w:right="0" w:firstLine="0"/>
        <w:jc w:val="left"/>
      </w:pPr>
      <w:bookmarkStart w:id="185" w:name="bookmark185"/>
      <w:r>
        <w:rPr>
          <w:rFonts w:ascii="Times New Roman" w:eastAsia="Times New Roman" w:hAnsi="Times New Roman" w:cs="Times New Roman"/>
          <w:color w:val="000000"/>
          <w:spacing w:val="0"/>
          <w:w w:val="100"/>
          <w:position w:val="0"/>
          <w:sz w:val="18"/>
          <w:szCs w:val="18"/>
        </w:rPr>
        <w:t>3</w:t>
      </w:r>
      <w:bookmarkEnd w:id="185"/>
      <w:r>
        <w:rPr>
          <w:color w:val="000000"/>
          <w:spacing w:val="0"/>
          <w:w w:val="100"/>
          <w:position w:val="0"/>
        </w:rPr>
        <w:t>、</w:t>
        <w:tab/>
        <w:t>募集资金投资项目无法产生预期收益的风险</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公司本次发行募集资金投资项目的可行性分析是基于当前市场环境、技术发展趋势等因素做出的，投资项目虽然经过了 慎重、充分的可行性研究论证，但仍可能存在无法产生预期收益。</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应对措施：公司将积极推动募投项目的进展，加强募集资金项目的管理工作。继续加强销售网络建设，提高市场推广和 服务能力。如遇国家或行业发展等特殊原因，但仍存在无法产生预期收益。</w:t>
      </w:r>
    </w:p>
    <w:p>
      <w:pPr>
        <w:pStyle w:val="Style29"/>
        <w:keepNext w:val="0"/>
        <w:keepLines w:val="0"/>
        <w:widowControl w:val="0"/>
        <w:shd w:val="clear" w:color="auto" w:fill="auto"/>
        <w:tabs>
          <w:tab w:pos="471" w:val="left"/>
        </w:tabs>
        <w:bidi w:val="0"/>
        <w:spacing w:before="0" w:after="60" w:line="313" w:lineRule="exact"/>
        <w:ind w:left="0" w:right="0" w:firstLine="0"/>
        <w:jc w:val="left"/>
      </w:pPr>
      <w:bookmarkStart w:id="186" w:name="bookmark186"/>
      <w:r>
        <w:rPr>
          <w:color w:val="000000"/>
          <w:spacing w:val="0"/>
          <w:w w:val="100"/>
          <w:position w:val="0"/>
        </w:rPr>
        <w:t>（</w:t>
      </w:r>
      <w:bookmarkEnd w:id="186"/>
      <w:r>
        <w:rPr>
          <w:color w:val="000000"/>
          <w:spacing w:val="0"/>
          <w:w w:val="100"/>
          <w:position w:val="0"/>
        </w:rPr>
        <w:t>四）</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年公司经营计划</w:t>
      </w:r>
    </w:p>
    <w:p>
      <w:pPr>
        <w:pStyle w:val="Style29"/>
        <w:keepNext w:val="0"/>
        <w:keepLines w:val="0"/>
        <w:widowControl w:val="0"/>
        <w:shd w:val="clear" w:color="auto" w:fill="auto"/>
        <w:bidi w:val="0"/>
        <w:spacing w:before="0" w:after="60" w:line="317" w:lineRule="exact"/>
        <w:ind w:left="0" w:right="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年，公司将继续抓住行业和市场发展的重大机遇，充分借助逐步积累的品牌和资本效应，努力探求出一条内涵式增 长与外延式扩张相结合的发展道路来，实现生产和经营规模的迅速扩大。</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年，将重点做好以下工作：</w:t>
      </w:r>
    </w:p>
    <w:p>
      <w:pPr>
        <w:pStyle w:val="Style29"/>
        <w:keepNext w:val="0"/>
        <w:keepLines w:val="0"/>
        <w:widowControl w:val="0"/>
        <w:shd w:val="clear" w:color="auto" w:fill="auto"/>
        <w:tabs>
          <w:tab w:pos="649" w:val="left"/>
        </w:tabs>
        <w:bidi w:val="0"/>
        <w:spacing w:before="0" w:after="60" w:line="312" w:lineRule="exact"/>
        <w:ind w:left="0" w:right="0"/>
        <w:jc w:val="left"/>
      </w:pPr>
      <w:bookmarkStart w:id="187" w:name="bookmark187"/>
      <w:r>
        <w:rPr>
          <w:rFonts w:ascii="Times New Roman" w:eastAsia="Times New Roman" w:hAnsi="Times New Roman" w:cs="Times New Roman"/>
          <w:color w:val="000000"/>
          <w:spacing w:val="0"/>
          <w:w w:val="100"/>
          <w:position w:val="0"/>
          <w:sz w:val="18"/>
          <w:szCs w:val="18"/>
        </w:rPr>
        <w:t>1</w:t>
      </w:r>
      <w:bookmarkEnd w:id="187"/>
      <w:r>
        <w:rPr>
          <w:color w:val="000000"/>
          <w:spacing w:val="0"/>
          <w:w w:val="100"/>
          <w:position w:val="0"/>
        </w:rPr>
        <w:t>、</w:t>
        <w:tab/>
        <w:t>继续加大研发投入，提升公司研发创新水平。公司将继续以技术持续创新为基础，以技术适宜应用为重点，优化研 发资源配置，进一步实行资源管理制与项目管理制相结合的管理模式，加快各种研发项目的推进速度；完善研发人员的考核 机制，调整研发团队的梯队结构，激发研发人员的创新活力；进一步提升新产品的质量，提高开发产品的一次成功率，通过 研发和设计的深化实现现有产品的升级换代，加强可靠性和降低成本工作，建立梯次化的产品体系，形成差异化的竞争优势， 为发展其他延伸产品打下坚实的基础。</w:t>
      </w:r>
    </w:p>
    <w:p>
      <w:pPr>
        <w:pStyle w:val="Style29"/>
        <w:keepNext w:val="0"/>
        <w:keepLines w:val="0"/>
        <w:widowControl w:val="0"/>
        <w:shd w:val="clear" w:color="auto" w:fill="auto"/>
        <w:tabs>
          <w:tab w:pos="644" w:val="left"/>
        </w:tabs>
        <w:bidi w:val="0"/>
        <w:spacing w:before="0" w:after="160" w:line="314" w:lineRule="exact"/>
        <w:ind w:left="0" w:right="0"/>
        <w:jc w:val="left"/>
      </w:pPr>
      <w:bookmarkStart w:id="188" w:name="bookmark188"/>
      <w:r>
        <w:rPr>
          <w:rFonts w:ascii="Times New Roman" w:eastAsia="Times New Roman" w:hAnsi="Times New Roman" w:cs="Times New Roman"/>
          <w:color w:val="000000"/>
          <w:spacing w:val="0"/>
          <w:w w:val="100"/>
          <w:position w:val="0"/>
          <w:sz w:val="18"/>
          <w:szCs w:val="18"/>
        </w:rPr>
        <w:t>2</w:t>
      </w:r>
      <w:bookmarkEnd w:id="188"/>
      <w:r>
        <w:rPr>
          <w:color w:val="000000"/>
          <w:spacing w:val="0"/>
          <w:w w:val="100"/>
          <w:position w:val="0"/>
        </w:rPr>
        <w:t>、</w:t>
        <w:tab/>
        <w:t>加强内控建设管理，公司继续完善治理结构和内控管理体系，全面提高公司规范运作水平，从生产经营、财务、人 力资源等多方面齐抓共管，统一管理，通过透明化管理来提高企业综合管理水平，控制企业决策风险，提升企业运作效率和 管理水平，深挖内部潜力，实现持久的全体股东利益最大化。</w:t>
      </w:r>
    </w:p>
    <w:p>
      <w:pPr>
        <w:pStyle w:val="Style29"/>
        <w:keepNext w:val="0"/>
        <w:keepLines w:val="0"/>
        <w:widowControl w:val="0"/>
        <w:shd w:val="clear" w:color="auto" w:fill="auto"/>
        <w:tabs>
          <w:tab w:pos="628" w:val="left"/>
        </w:tabs>
        <w:bidi w:val="0"/>
        <w:spacing w:before="0" w:after="0" w:line="360" w:lineRule="auto"/>
        <w:ind w:left="0" w:right="0" w:firstLine="320"/>
        <w:jc w:val="left"/>
      </w:pPr>
      <w:bookmarkStart w:id="189" w:name="bookmark189"/>
      <w:r>
        <w:rPr>
          <w:rFonts w:ascii="Times New Roman" w:eastAsia="Times New Roman" w:hAnsi="Times New Roman" w:cs="Times New Roman"/>
          <w:color w:val="000000"/>
          <w:spacing w:val="0"/>
          <w:w w:val="100"/>
          <w:position w:val="0"/>
          <w:sz w:val="18"/>
          <w:szCs w:val="18"/>
        </w:rPr>
        <w:t>3</w:t>
      </w:r>
      <w:bookmarkEnd w:id="189"/>
      <w:r>
        <w:rPr>
          <w:color w:val="000000"/>
          <w:spacing w:val="0"/>
          <w:w w:val="100"/>
          <w:position w:val="0"/>
        </w:rPr>
        <w:t>、</w:t>
        <w:tab/>
        <w:t>切实加强募集资金项目管理。公司将积极推动募投项目的进展，加强募集资金项目的管理工作。</w:t>
      </w:r>
    </w:p>
    <w:p>
      <w:pPr>
        <w:pStyle w:val="Style29"/>
        <w:keepNext w:val="0"/>
        <w:keepLines w:val="0"/>
        <w:widowControl w:val="0"/>
        <w:shd w:val="clear" w:color="auto" w:fill="auto"/>
        <w:tabs>
          <w:tab w:pos="649" w:val="left"/>
        </w:tabs>
        <w:bidi w:val="0"/>
        <w:spacing w:before="0" w:after="160" w:line="316" w:lineRule="exact"/>
        <w:ind w:left="0" w:right="0"/>
        <w:jc w:val="both"/>
      </w:pPr>
      <w:bookmarkStart w:id="190" w:name="bookmark190"/>
      <w:r>
        <w:rPr>
          <w:rFonts w:ascii="Times New Roman" w:eastAsia="Times New Roman" w:hAnsi="Times New Roman" w:cs="Times New Roman"/>
          <w:color w:val="000000"/>
          <w:spacing w:val="0"/>
          <w:w w:val="100"/>
          <w:position w:val="0"/>
          <w:sz w:val="18"/>
          <w:szCs w:val="18"/>
        </w:rPr>
        <w:t>4</w:t>
      </w:r>
      <w:bookmarkEnd w:id="190"/>
      <w:r>
        <w:rPr>
          <w:color w:val="000000"/>
          <w:spacing w:val="0"/>
          <w:w w:val="100"/>
          <w:position w:val="0"/>
        </w:rPr>
        <w:t>、</w:t>
        <w:tab/>
        <w:t>加强对各全资、控股等子公司的管理。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年受宏观经济的影响，公司各子公司虽取得一定成效，但行业整体竞争 激烈。公司为发挥规模效益，提升原有产能，对部分子公司的产能扩充将有所减缓，特别是对亳州鑫龙电气有限公司、湖北 祥华鑫龙电力发展股份有限公司的新建厂房、新购设备以及见效缓慢的公司，将缓步投资及实施，避免固定资产投资过大， 减少利润及占用资金。安徽鑫东投资管理有限公司参股的安徽美能储能系统有限公司目前只实现了小批量发货，电池产品尚 在不断调试中，调试完成后尚需送国网检测，预计安徽美能储能系统有限公司在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年将继续加大电池产品研发及产品市场 推广力度。</w:t>
      </w:r>
    </w:p>
    <w:p>
      <w:pPr>
        <w:pStyle w:val="Style29"/>
        <w:keepNext w:val="0"/>
        <w:keepLines w:val="0"/>
        <w:widowControl w:val="0"/>
        <w:shd w:val="clear" w:color="auto" w:fill="auto"/>
        <w:tabs>
          <w:tab w:pos="294" w:val="left"/>
        </w:tabs>
        <w:bidi w:val="0"/>
        <w:spacing w:before="0" w:line="360" w:lineRule="auto"/>
        <w:ind w:left="0" w:right="0"/>
        <w:jc w:val="both"/>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142" w:right="907" w:bottom="1451" w:left="99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市场开发规划。公司将继续加大营销及品牌推广力度，同时将进一步补充、完善高素质的销售团乱</w:t>
      </w:r>
      <w:r>
        <w:rPr>
          <w:color w:val="000000"/>
          <w:spacing w:val="0"/>
          <w:w w:val="100"/>
          <w:position w:val="0"/>
        </w:rPr>
        <w:t>•</w:t>
      </w:r>
      <w:r>
        <w:rPr>
          <w:color w:val="000000"/>
          <w:spacing w:val="0"/>
          <w:w w:val="100"/>
          <w:position w:val="0"/>
        </w:rPr>
        <w:t xml:space="preserve">建立符合公司 </w:t>
      </w:r>
    </w:p>
    <w:p>
      <w:pPr>
        <w:pStyle w:val="Style29"/>
        <w:keepNext w:val="0"/>
        <w:keepLines w:val="0"/>
        <w:widowControl w:val="0"/>
        <w:shd w:val="clear" w:color="auto" w:fill="auto"/>
        <w:tabs>
          <w:tab w:pos="294" w:val="left"/>
        </w:tabs>
        <w:bidi w:val="0"/>
        <w:spacing w:before="0" w:line="360" w:lineRule="auto"/>
        <w:ind w:left="0" w:right="0" w:firstLine="0"/>
        <w:jc w:val="both"/>
      </w:pPr>
      <w:bookmarkStart w:id="191" w:name="bookmark191"/>
      <w:bookmarkEnd w:id="191"/>
      <w:r>
        <w:rPr>
          <w:color w:val="000000"/>
          <w:spacing w:val="0"/>
          <w:w w:val="100"/>
          <w:position w:val="0"/>
        </w:rPr>
        <w:t>高速发展的、符合技术营销和品牌营销理念的销售管理制度和激励机制；公司将完善现有的营销渠道，配合销售的需要，加 大推广力度，建立起既能推动现阶段产品销售、又能树立品牌长期形象的品牌推广策略。</w:t>
      </w:r>
    </w:p>
    <w:p>
      <w:pPr>
        <w:pStyle w:val="Style29"/>
        <w:keepNext w:val="0"/>
        <w:keepLines w:val="0"/>
        <w:widowControl w:val="0"/>
        <w:shd w:val="clear" w:color="auto" w:fill="auto"/>
        <w:bidi w:val="0"/>
        <w:spacing w:before="0" w:line="314" w:lineRule="exact"/>
        <w:ind w:left="0" w:right="0" w:firstLine="400"/>
        <w:jc w:val="left"/>
      </w:pPr>
      <w:bookmarkStart w:id="192" w:name="bookmark192"/>
      <w:r>
        <w:rPr>
          <w:rFonts w:ascii="Times New Roman" w:eastAsia="Times New Roman" w:hAnsi="Times New Roman" w:cs="Times New Roman"/>
          <w:color w:val="000000"/>
          <w:spacing w:val="0"/>
          <w:w w:val="100"/>
          <w:position w:val="0"/>
          <w:sz w:val="18"/>
          <w:szCs w:val="18"/>
        </w:rPr>
        <w:t>6</w:t>
      </w:r>
      <w:bookmarkEnd w:id="192"/>
      <w:r>
        <w:rPr>
          <w:color w:val="000000"/>
          <w:spacing w:val="0"/>
          <w:w w:val="100"/>
          <w:position w:val="0"/>
        </w:rPr>
        <w:t>、 人力资源发展计划。人才战略是公司保持可持续发展的源泉。公司自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年以来建立以市场为龙头的流程性组织图， 岗位设立明确，人才的选聘机制也具有灵活性，除了吸收外部高素质的技术人才、营销人才和管理人才外，还加强内部人才 竞选上岗制，以及内部员工推荐制度。同时，公司秉承人才阶梯战略，完善公司内部人力资源体系的建设，推出了涵盖内部 核心人员和销售骨干在内的股权激励计划，强化员工的培训与提升，形成内部人才的机制，使员工成为企业的核心竞争力。</w:t>
      </w:r>
    </w:p>
    <w:p>
      <w:pPr>
        <w:pStyle w:val="Style29"/>
        <w:keepNext w:val="0"/>
        <w:keepLines w:val="0"/>
        <w:widowControl w:val="0"/>
        <w:shd w:val="clear" w:color="auto" w:fill="auto"/>
        <w:tabs>
          <w:tab w:pos="704" w:val="left"/>
        </w:tabs>
        <w:bidi w:val="0"/>
        <w:spacing w:before="0" w:line="317" w:lineRule="exact"/>
        <w:ind w:left="0" w:right="0" w:firstLine="400"/>
        <w:jc w:val="left"/>
      </w:pPr>
      <w:bookmarkStart w:id="193" w:name="bookmark193"/>
      <w:r>
        <w:rPr>
          <w:rFonts w:ascii="Times New Roman" w:eastAsia="Times New Roman" w:hAnsi="Times New Roman" w:cs="Times New Roman"/>
          <w:color w:val="000000"/>
          <w:spacing w:val="0"/>
          <w:w w:val="100"/>
          <w:position w:val="0"/>
          <w:sz w:val="18"/>
          <w:szCs w:val="18"/>
        </w:rPr>
        <w:t>7</w:t>
      </w:r>
      <w:bookmarkEnd w:id="193"/>
      <w:r>
        <w:rPr>
          <w:color w:val="000000"/>
          <w:spacing w:val="0"/>
          <w:w w:val="100"/>
          <w:position w:val="0"/>
        </w:rPr>
        <w:t>、</w:t>
        <w:tab/>
        <w:t>加强财务管理核心地位。围绕增收节支、提高效率、降低成本的目标，合理规划资金的使用，加强回款管理，充分 提高企业闲置资金流的使用效率。</w:t>
      </w:r>
    </w:p>
    <w:p>
      <w:pPr>
        <w:pStyle w:val="Style29"/>
        <w:keepNext w:val="0"/>
        <w:keepLines w:val="0"/>
        <w:widowControl w:val="0"/>
        <w:shd w:val="clear" w:color="auto" w:fill="auto"/>
        <w:tabs>
          <w:tab w:pos="709" w:val="left"/>
        </w:tabs>
        <w:bidi w:val="0"/>
        <w:spacing w:before="0" w:after="360" w:line="317" w:lineRule="exact"/>
        <w:ind w:left="0" w:right="0" w:firstLine="400"/>
        <w:jc w:val="left"/>
      </w:pPr>
      <w:bookmarkStart w:id="194" w:name="bookmark194"/>
      <w:r>
        <w:rPr>
          <w:rFonts w:ascii="Times New Roman" w:eastAsia="Times New Roman" w:hAnsi="Times New Roman" w:cs="Times New Roman"/>
          <w:color w:val="000000"/>
          <w:spacing w:val="0"/>
          <w:w w:val="100"/>
          <w:position w:val="0"/>
          <w:sz w:val="18"/>
          <w:szCs w:val="18"/>
        </w:rPr>
        <w:t>8</w:t>
      </w:r>
      <w:bookmarkEnd w:id="194"/>
      <w:r>
        <w:rPr>
          <w:color w:val="000000"/>
          <w:spacing w:val="0"/>
          <w:w w:val="100"/>
          <w:position w:val="0"/>
        </w:rPr>
        <w:t>、</w:t>
        <w:tab/>
        <w:t>加强对外并购。公司将围绕现在所居行业的上下游进行收购或参股以及合作，扩大公司在行业的地位及产业链的延 伸。</w:t>
      </w:r>
    </w:p>
    <w:p>
      <w:pPr>
        <w:pStyle w:val="Style25"/>
        <w:keepNext/>
        <w:keepLines/>
        <w:widowControl w:val="0"/>
        <w:shd w:val="clear" w:color="auto" w:fill="auto"/>
        <w:bidi w:val="0"/>
        <w:spacing w:before="0" w:after="26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九</w:t>
      </w:r>
      <w:bookmarkEnd w:id="197"/>
      <w:r>
        <w:rPr>
          <w:color w:val="000000"/>
          <w:spacing w:val="0"/>
          <w:w w:val="100"/>
          <w:position w:val="0"/>
          <w:sz w:val="24"/>
          <w:szCs w:val="24"/>
        </w:rPr>
        <w:t>、董事会、监事会对会计师事务所本报告期“非标准审计报告”的说明</w:t>
      </w:r>
      <w:bookmarkEnd w:id="195"/>
      <w:bookmarkEnd w:id="196"/>
      <w:bookmarkEnd w:id="198"/>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报告期内，会计师事务所所出具的审计报告为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标准无保留意见的审计报告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after="260" w:line="240" w:lineRule="auto"/>
        <w:ind w:left="0" w:right="0" w:firstLine="0"/>
        <w:jc w:val="left"/>
      </w:pPr>
      <w:bookmarkStart w:id="199" w:name="bookmark199"/>
      <w:bookmarkStart w:id="200" w:name="bookmark200"/>
      <w:bookmarkStart w:id="201" w:name="bookmark201"/>
      <w:r>
        <w:rPr>
          <w:color w:val="000000"/>
          <w:spacing w:val="0"/>
          <w:w w:val="100"/>
          <w:position w:val="0"/>
          <w:sz w:val="24"/>
          <w:szCs w:val="24"/>
        </w:rPr>
        <w:t>十、与上年度财务报告相比，会计政策、会计估计和核算方法发生变化的情况说明</w:t>
      </w:r>
      <w:bookmarkEnd w:id="199"/>
      <w:bookmarkEnd w:id="200"/>
      <w:bookmarkEnd w:id="201"/>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报告期内，公司与上年度财务报告相比，未发生会计政策、会计估计和核算方法发生变化的情况。</w:t>
      </w:r>
    </w:p>
    <w:p>
      <w:pPr>
        <w:pStyle w:val="Style25"/>
        <w:keepNext/>
        <w:keepLines/>
        <w:widowControl w:val="0"/>
        <w:shd w:val="clear" w:color="auto" w:fill="auto"/>
        <w:bidi w:val="0"/>
        <w:spacing w:before="0" w:after="260" w:line="240" w:lineRule="auto"/>
        <w:ind w:left="0" w:right="0" w:firstLine="0"/>
        <w:jc w:val="left"/>
      </w:pPr>
      <w:bookmarkStart w:id="202" w:name="bookmark202"/>
      <w:bookmarkStart w:id="203" w:name="bookmark203"/>
      <w:bookmarkStart w:id="204" w:name="bookmark204"/>
      <w:r>
        <w:rPr>
          <w:color w:val="000000"/>
          <w:spacing w:val="0"/>
          <w:w w:val="100"/>
          <w:position w:val="0"/>
          <w:sz w:val="24"/>
          <w:szCs w:val="24"/>
        </w:rPr>
        <w:t>十一、报告期内发生重大会计差错更正需追溯重述的情况说明</w:t>
      </w:r>
      <w:bookmarkEnd w:id="202"/>
      <w:bookmarkEnd w:id="203"/>
      <w:bookmarkEnd w:id="204"/>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报告期内，未发生重大会计差错更正事项。</w:t>
      </w:r>
    </w:p>
    <w:p>
      <w:pPr>
        <w:pStyle w:val="Style25"/>
        <w:keepNext/>
        <w:keepLines/>
        <w:widowControl w:val="0"/>
        <w:shd w:val="clear" w:color="auto" w:fill="auto"/>
        <w:bidi w:val="0"/>
        <w:spacing w:before="0" w:after="260" w:line="240" w:lineRule="auto"/>
        <w:ind w:left="0" w:right="0" w:firstLine="0"/>
        <w:jc w:val="left"/>
      </w:pPr>
      <w:bookmarkStart w:id="205" w:name="bookmark205"/>
      <w:bookmarkStart w:id="206" w:name="bookmark206"/>
      <w:bookmarkStart w:id="207" w:name="bookmark207"/>
      <w:r>
        <w:rPr>
          <w:color w:val="000000"/>
          <w:spacing w:val="0"/>
          <w:w w:val="100"/>
          <w:position w:val="0"/>
          <w:sz w:val="24"/>
          <w:szCs w:val="24"/>
        </w:rPr>
        <w:t>十二、与上年度财务报告相比，合并报表范围发生变化的情况说明</w:t>
      </w:r>
      <w:bookmarkEnd w:id="205"/>
      <w:bookmarkEnd w:id="206"/>
      <w:bookmarkEnd w:id="207"/>
    </w:p>
    <w:p>
      <w:pPr>
        <w:pStyle w:val="Style29"/>
        <w:keepNext w:val="0"/>
        <w:keepLines w:val="0"/>
        <w:widowControl w:val="0"/>
        <w:shd w:val="clear" w:color="auto" w:fill="auto"/>
        <w:bidi w:val="0"/>
        <w:spacing w:before="0" w:after="680" w:line="302" w:lineRule="exact"/>
        <w:ind w:left="0" w:right="0" w:firstLine="0"/>
        <w:jc w:val="left"/>
      </w:pPr>
      <w:r>
        <w:rPr>
          <w:color w:val="000000"/>
          <w:spacing w:val="0"/>
          <w:w w:val="100"/>
          <w:position w:val="0"/>
        </w:rPr>
        <w:t>与上年相比本年新增合并单位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家。鑫龙电器公司第五届董事会第三十一次会议决定设立亳州鑫龙电气有限公司，公司以货 币出资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，享有表决权比例为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，故本期将其纳入合并范围。</w:t>
      </w:r>
    </w:p>
    <w:p>
      <w:pPr>
        <w:pStyle w:val="Style25"/>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r>
        <w:rPr>
          <w:color w:val="000000"/>
          <w:spacing w:val="0"/>
          <w:w w:val="100"/>
          <w:position w:val="0"/>
          <w:sz w:val="24"/>
          <w:szCs w:val="24"/>
        </w:rPr>
        <w:t>十三、公司利润分配及分红派息情况</w:t>
      </w:r>
      <w:bookmarkEnd w:id="208"/>
      <w:bookmarkEnd w:id="209"/>
      <w:bookmarkEnd w:id="21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line="312" w:lineRule="exact"/>
        <w:ind w:left="0" w:right="0" w:firstLine="220"/>
        <w:jc w:val="both"/>
      </w:pPr>
      <w:r>
        <w:rPr>
          <w:color w:val="000000"/>
          <w:spacing w:val="0"/>
          <w:w w:val="100"/>
          <w:position w:val="0"/>
        </w:rPr>
        <w:t>报告期内，公司严格执行了己制定的现金分红政策，积极通过实施包括现金分红在内的权益分派方案来回报投资者，保护 中小投资者的合法权益。报告期内，未对公司利润分配政策特别是现金分红政策进行调整。</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258"/>
        <w:gridCol w:w="544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29"/>
        <w:keepNext w:val="0"/>
        <w:keepLines w:val="0"/>
        <w:widowControl w:val="0"/>
        <w:shd w:val="clear" w:color="auto" w:fill="auto"/>
        <w:tabs>
          <w:tab w:pos="706" w:val="left"/>
        </w:tabs>
        <w:bidi w:val="0"/>
        <w:spacing w:before="0" w:after="0" w:line="312" w:lineRule="exact"/>
        <w:ind w:left="0" w:right="0" w:firstLine="380"/>
        <w:jc w:val="both"/>
      </w:pPr>
      <w:bookmarkStart w:id="211" w:name="bookmark211"/>
      <w:r>
        <w:rPr>
          <w:rFonts w:ascii="Times New Roman" w:eastAsia="Times New Roman" w:hAnsi="Times New Roman" w:cs="Times New Roman"/>
          <w:color w:val="000000"/>
          <w:spacing w:val="0"/>
          <w:w w:val="100"/>
          <w:position w:val="0"/>
          <w:sz w:val="18"/>
          <w:szCs w:val="18"/>
        </w:rPr>
        <w:t>（</w:t>
      </w:r>
      <w:bookmarkEnd w:id="21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公司拟定的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413,848,300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sz w:val="18"/>
          <w:szCs w:val="18"/>
        </w:rPr>
        <w:t>14,484,690.5</w:t>
      </w:r>
      <w:r>
        <w:rPr>
          <w:color w:val="000000"/>
          <w:spacing w:val="0"/>
          <w:w w:val="100"/>
          <w:position w:val="0"/>
        </w:rPr>
        <w:t>元</w:t>
      </w:r>
      <w:r>
        <w:rPr>
          <w:color w:val="000000"/>
          <w:spacing w:val="0"/>
          <w:w w:val="100"/>
          <w:position w:val="0"/>
          <w:sz w:val="18"/>
          <w:szCs w:val="18"/>
        </w:rPr>
        <w:t>，</w:t>
      </w:r>
      <w:r>
        <w:rPr>
          <w:color w:val="000000"/>
          <w:spacing w:val="0"/>
          <w:w w:val="100"/>
          <w:position w:val="0"/>
        </w:rPr>
        <w:t>不送红股，不以公积金转增股本。（该议案尚需提交公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年度股东大会审议）。</w:t>
      </w:r>
    </w:p>
    <w:p>
      <w:pPr>
        <w:pStyle w:val="Style29"/>
        <w:keepNext w:val="0"/>
        <w:keepLines w:val="0"/>
        <w:widowControl w:val="0"/>
        <w:shd w:val="clear" w:color="auto" w:fill="auto"/>
        <w:tabs>
          <w:tab w:pos="711" w:val="left"/>
        </w:tabs>
        <w:bidi w:val="0"/>
        <w:spacing w:before="0" w:after="0" w:line="312" w:lineRule="exact"/>
        <w:ind w:left="0" w:right="0" w:firstLine="380"/>
        <w:jc w:val="both"/>
      </w:pPr>
      <w:bookmarkStart w:id="212" w:name="bookmark212"/>
      <w:r>
        <w:rPr>
          <w:rFonts w:ascii="Times New Roman" w:eastAsia="Times New Roman" w:hAnsi="Times New Roman" w:cs="Times New Roman"/>
          <w:color w:val="000000"/>
          <w:spacing w:val="0"/>
          <w:w w:val="100"/>
          <w:position w:val="0"/>
          <w:sz w:val="18"/>
          <w:szCs w:val="18"/>
        </w:rPr>
        <w:t>（</w:t>
      </w:r>
      <w:bookmarkEnd w:id="212"/>
      <w:r>
        <w:rPr>
          <w:rFonts w:ascii="Times New Roman" w:eastAsia="Times New Roman" w:hAnsi="Times New Roman" w:cs="Times New Roman"/>
          <w:color w:val="000000"/>
          <w:spacing w:val="0"/>
          <w:w w:val="100"/>
          <w:position w:val="0"/>
          <w:sz w:val="18"/>
          <w:szCs w:val="18"/>
        </w:rPr>
        <w:t>2）</w:t>
        <w:tab/>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年度利润分配的预案》，</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年度分配预案为：以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408,869,000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8,177,380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年度不派送红股、不进行公积金转增股本。因公司股权激励第一期第一次行权增加股份</w:t>
      </w:r>
      <w:r>
        <w:rPr>
          <w:rFonts w:ascii="Times New Roman" w:eastAsia="Times New Roman" w:hAnsi="Times New Roman" w:cs="Times New Roman"/>
          <w:color w:val="000000"/>
          <w:spacing w:val="0"/>
          <w:w w:val="100"/>
          <w:position w:val="0"/>
          <w:sz w:val="18"/>
          <w:szCs w:val="18"/>
        </w:rPr>
        <w:t>4,979,300</w:t>
      </w:r>
      <w:r>
        <w:rPr>
          <w:color w:val="000000"/>
          <w:spacing w:val="0"/>
          <w:w w:val="100"/>
          <w:position w:val="0"/>
        </w:rPr>
        <w:t>股己于</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经中国证券登记结算有限责任公司深圳分公司核准登记，公司总股本己变更为</w:t>
      </w:r>
      <w:r>
        <w:rPr>
          <w:rFonts w:ascii="Times New Roman" w:eastAsia="Times New Roman" w:hAnsi="Times New Roman" w:cs="Times New Roman"/>
          <w:color w:val="000000"/>
          <w:spacing w:val="0"/>
          <w:w w:val="100"/>
          <w:position w:val="0"/>
          <w:sz w:val="18"/>
          <w:szCs w:val="18"/>
        </w:rPr>
        <w:t>413,848,300</w:t>
      </w:r>
      <w:r>
        <w:rPr>
          <w:color w:val="000000"/>
          <w:spacing w:val="0"/>
          <w:w w:val="100"/>
          <w:position w:val="0"/>
        </w:rPr>
        <w:t>股。根据深圳交易所中小企业板信 息披露业务备忘录第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号第十三条的规定，按照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现金分红金额、送红股金额、转增股本金额固定不变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的原则，故派发现金 </w:t>
      </w:r>
      <w:r>
        <w:rPr>
          <w:rFonts w:ascii="Times New Roman" w:eastAsia="Times New Roman" w:hAnsi="Times New Roman" w:cs="Times New Roman"/>
          <w:color w:val="000000"/>
          <w:spacing w:val="0"/>
          <w:w w:val="100"/>
          <w:position w:val="0"/>
          <w:sz w:val="18"/>
          <w:szCs w:val="18"/>
        </w:rPr>
        <w:t>8,177,380</w:t>
      </w:r>
      <w:r>
        <w:rPr>
          <w:color w:val="000000"/>
          <w:spacing w:val="0"/>
          <w:w w:val="100"/>
          <w:position w:val="0"/>
        </w:rPr>
        <w:t>元不变，所以公司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年度权益分派方案变化为：以公司现有总股本</w:t>
      </w:r>
      <w:r>
        <w:rPr>
          <w:rFonts w:ascii="Times New Roman" w:eastAsia="Times New Roman" w:hAnsi="Times New Roman" w:cs="Times New Roman"/>
          <w:color w:val="000000"/>
          <w:spacing w:val="0"/>
          <w:w w:val="100"/>
          <w:position w:val="0"/>
          <w:sz w:val="18"/>
          <w:szCs w:val="18"/>
        </w:rPr>
        <w:t>413,848,300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18"/>
          <w:szCs w:val="18"/>
        </w:rPr>
        <w:t>0.197593</w:t>
      </w:r>
      <w:r>
        <w:rPr>
          <w:color w:val="000000"/>
          <w:spacing w:val="0"/>
          <w:w w:val="100"/>
          <w:position w:val="0"/>
        </w:rPr>
        <w:t>元人民币现金（含税）。</w:t>
      </w:r>
    </w:p>
    <w:p>
      <w:pPr>
        <w:pStyle w:val="Style29"/>
        <w:keepNext w:val="0"/>
        <w:keepLines w:val="0"/>
        <w:widowControl w:val="0"/>
        <w:shd w:val="clear" w:color="auto" w:fill="auto"/>
        <w:tabs>
          <w:tab w:pos="711" w:val="left"/>
        </w:tabs>
        <w:bidi w:val="0"/>
        <w:spacing w:before="0" w:after="0" w:line="312" w:lineRule="exact"/>
        <w:ind w:left="0" w:right="0" w:firstLine="380"/>
        <w:jc w:val="both"/>
      </w:pPr>
      <w:bookmarkStart w:id="213" w:name="bookmark213"/>
      <w:r>
        <w:rPr>
          <w:rFonts w:ascii="Times New Roman" w:eastAsia="Times New Roman" w:hAnsi="Times New Roman" w:cs="Times New Roman"/>
          <w:color w:val="000000"/>
          <w:spacing w:val="0"/>
          <w:w w:val="100"/>
          <w:position w:val="0"/>
          <w:sz w:val="18"/>
          <w:szCs w:val="18"/>
        </w:rPr>
        <w:t>（</w:t>
      </w:r>
      <w:bookmarkEnd w:id="213"/>
      <w:r>
        <w:rPr>
          <w:rFonts w:ascii="Times New Roman" w:eastAsia="Times New Roman" w:hAnsi="Times New Roman" w:cs="Times New Roman"/>
          <w:color w:val="000000"/>
          <w:spacing w:val="0"/>
          <w:w w:val="100"/>
          <w:position w:val="0"/>
          <w:sz w:val="18"/>
          <w:szCs w:val="18"/>
        </w:rPr>
        <w:t>3）</w:t>
        <w:tab/>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年度利润分配的预案》</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年度利润分配方案为：以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165,000,000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股，共计增加</w:t>
      </w:r>
      <w:r>
        <w:rPr>
          <w:rFonts w:ascii="Times New Roman" w:eastAsia="Times New Roman" w:hAnsi="Times New Roman" w:cs="Times New Roman"/>
          <w:color w:val="000000"/>
          <w:spacing w:val="0"/>
          <w:w w:val="100"/>
          <w:position w:val="0"/>
          <w:sz w:val="18"/>
          <w:szCs w:val="18"/>
        </w:rPr>
        <w:t>33,000,000</w:t>
      </w:r>
      <w:r>
        <w:rPr>
          <w:color w:val="000000"/>
          <w:spacing w:val="0"/>
          <w:w w:val="100"/>
          <w:position w:val="0"/>
        </w:rPr>
        <w:t>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利人民币</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4,125,000</w:t>
      </w:r>
      <w:r>
        <w:rPr>
          <w:color w:val="000000"/>
          <w:spacing w:val="0"/>
          <w:w w:val="100"/>
          <w:position w:val="0"/>
        </w:rPr>
        <w:t>元。以资本公积金向全体股东每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股，共计增加</w:t>
      </w:r>
      <w:r>
        <w:rPr>
          <w:rFonts w:ascii="Times New Roman" w:eastAsia="Times New Roman" w:hAnsi="Times New Roman" w:cs="Times New Roman"/>
          <w:color w:val="000000"/>
          <w:spacing w:val="0"/>
          <w:w w:val="100"/>
          <w:position w:val="0"/>
          <w:sz w:val="18"/>
          <w:szCs w:val="18"/>
        </w:rPr>
        <w:t xml:space="preserve">132,000,000 </w:t>
      </w:r>
      <w:r>
        <w:rPr>
          <w:color w:val="000000"/>
          <w:spacing w:val="0"/>
          <w:w w:val="100"/>
          <w:position w:val="0"/>
        </w:rPr>
        <w:t>股。本次送转后，公司总股本将增加至</w:t>
      </w:r>
      <w:r>
        <w:rPr>
          <w:rFonts w:ascii="Times New Roman" w:eastAsia="Times New Roman" w:hAnsi="Times New Roman" w:cs="Times New Roman"/>
          <w:color w:val="000000"/>
          <w:spacing w:val="0"/>
          <w:w w:val="100"/>
          <w:position w:val="0"/>
          <w:sz w:val="18"/>
          <w:szCs w:val="18"/>
        </w:rPr>
        <w:t>330,000,000</w:t>
      </w:r>
      <w:r>
        <w:rPr>
          <w:color w:val="000000"/>
          <w:spacing w:val="0"/>
          <w:w w:val="100"/>
          <w:position w:val="0"/>
        </w:rPr>
        <w:t>股。</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14,484,690.50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87,486,738.75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8,177,380.00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95,341,859.82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4,125,000.00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72,702,903.49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bl>
    <w:p>
      <w:pPr>
        <w:pStyle w:val="Style2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214" w:name="bookmark214"/>
      <w:bookmarkStart w:id="215" w:name="bookmark215"/>
      <w:bookmarkStart w:id="216" w:name="bookmark216"/>
      <w:r>
        <w:rPr>
          <w:color w:val="000000"/>
          <w:spacing w:val="0"/>
          <w:w w:val="100"/>
          <w:position w:val="0"/>
          <w:sz w:val="24"/>
          <w:szCs w:val="24"/>
        </w:rPr>
        <w:t>十四、本报告期利润分配及资本公积金转增股本预案</w:t>
      </w:r>
      <w:bookmarkEnd w:id="214"/>
      <w:bookmarkEnd w:id="215"/>
      <w:bookmarkEnd w:id="216"/>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413,848,300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14,484,690.50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306,639,964.47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0"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经大华会计师事务所（特殊普通合伙）审计，公司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年度实现归属于母公司股东的净利润</w:t>
            </w:r>
            <w:r>
              <w:rPr>
                <w:rFonts w:ascii="Times New Roman" w:eastAsia="Times New Roman" w:hAnsi="Times New Roman" w:cs="Times New Roman"/>
                <w:color w:val="000000"/>
                <w:spacing w:val="0"/>
                <w:w w:val="100"/>
                <w:position w:val="0"/>
                <w:sz w:val="18"/>
                <w:szCs w:val="18"/>
              </w:rPr>
              <w:t>87,486,738.75</w:t>
            </w:r>
            <w:r>
              <w:rPr>
                <w:color w:val="000000"/>
                <w:spacing w:val="0"/>
                <w:w w:val="100"/>
                <w:position w:val="0"/>
              </w:rPr>
              <w:t>元，根据</w:t>
            </w:r>
          </w:p>
        </w:tc>
      </w:tr>
    </w:tbl>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both"/>
        <w:rPr>
          <w:sz w:val="17"/>
          <w:szCs w:val="17"/>
        </w:rPr>
      </w:pPr>
      <w:r>
        <w:rPr>
          <w:rFonts w:ascii="SimSun" w:eastAsia="SimSun" w:hAnsi="SimSun" w:cs="SimSun"/>
          <w:color w:val="000000"/>
          <w:spacing w:val="0"/>
          <w:w w:val="100"/>
          <w:position w:val="0"/>
          <w:sz w:val="17"/>
          <w:szCs w:val="17"/>
        </w:rPr>
        <w:t>《公司章程》的有关规定，按母公司实现的净利润</w:t>
      </w:r>
      <w:r>
        <w:rPr>
          <w:color w:val="000000"/>
          <w:spacing w:val="0"/>
          <w:w w:val="100"/>
          <w:position w:val="0"/>
          <w:sz w:val="18"/>
          <w:szCs w:val="18"/>
        </w:rPr>
        <w:t>77,212,669.74</w:t>
      </w:r>
      <w:r>
        <w:rPr>
          <w:rFonts w:ascii="SimSun" w:eastAsia="SimSun" w:hAnsi="SimSun" w:cs="SimSun"/>
          <w:color w:val="000000"/>
          <w:spacing w:val="0"/>
          <w:w w:val="100"/>
          <w:position w:val="0"/>
          <w:sz w:val="17"/>
          <w:szCs w:val="17"/>
        </w:rPr>
        <w:t>元提取</w:t>
      </w:r>
      <w:r>
        <w:rPr>
          <w:color w:val="000000"/>
          <w:spacing w:val="0"/>
          <w:w w:val="100"/>
          <w:position w:val="0"/>
          <w:sz w:val="18"/>
          <w:szCs w:val="18"/>
        </w:rPr>
        <w:t>10%</w:t>
      </w:r>
      <w:r>
        <w:rPr>
          <w:rFonts w:ascii="SimSun" w:eastAsia="SimSun" w:hAnsi="SimSun" w:cs="SimSun"/>
          <w:color w:val="000000"/>
          <w:spacing w:val="0"/>
          <w:w w:val="100"/>
          <w:position w:val="0"/>
          <w:sz w:val="17"/>
          <w:szCs w:val="17"/>
        </w:rPr>
        <w:t>法定盈余公积</w:t>
      </w:r>
      <w:r>
        <w:rPr>
          <w:color w:val="000000"/>
          <w:spacing w:val="0"/>
          <w:w w:val="100"/>
          <w:position w:val="0"/>
          <w:sz w:val="18"/>
          <w:szCs w:val="18"/>
        </w:rPr>
        <w:t>7,721,266.97</w:t>
      </w:r>
      <w:r>
        <w:rPr>
          <w:rFonts w:ascii="SimSun" w:eastAsia="SimSun" w:hAnsi="SimSun" w:cs="SimSun"/>
          <w:color w:val="000000"/>
          <w:spacing w:val="0"/>
          <w:w w:val="100"/>
          <w:position w:val="0"/>
          <w:sz w:val="17"/>
          <w:szCs w:val="17"/>
        </w:rPr>
        <w:t>元，加上年初未分 配利润</w:t>
      </w:r>
      <w:r>
        <w:rPr>
          <w:color w:val="000000"/>
          <w:spacing w:val="0"/>
          <w:w w:val="100"/>
          <w:position w:val="0"/>
          <w:sz w:val="18"/>
          <w:szCs w:val="18"/>
        </w:rPr>
        <w:t>235,051,872.69</w:t>
      </w:r>
      <w:r>
        <w:rPr>
          <w:rFonts w:ascii="SimSun" w:eastAsia="SimSun" w:hAnsi="SimSun" w:cs="SimSun"/>
          <w:color w:val="000000"/>
          <w:spacing w:val="0"/>
          <w:w w:val="100"/>
          <w:position w:val="0"/>
          <w:sz w:val="17"/>
          <w:szCs w:val="17"/>
        </w:rPr>
        <w:t>元，扣除</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年度现金股利分配</w:t>
      </w:r>
      <w:r>
        <w:rPr>
          <w:color w:val="000000"/>
          <w:spacing w:val="0"/>
          <w:w w:val="100"/>
          <w:position w:val="0"/>
          <w:sz w:val="18"/>
          <w:szCs w:val="18"/>
        </w:rPr>
        <w:t>8,177,380.00</w:t>
      </w:r>
      <w:r>
        <w:rPr>
          <w:rFonts w:ascii="SimSun" w:eastAsia="SimSun" w:hAnsi="SimSun" w:cs="SimSun"/>
          <w:color w:val="000000"/>
          <w:spacing w:val="0"/>
          <w:w w:val="100"/>
          <w:position w:val="0"/>
          <w:sz w:val="17"/>
          <w:szCs w:val="17"/>
        </w:rPr>
        <w:t>元，截止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年度实现可供 股东分配利润为</w:t>
      </w:r>
      <w:r>
        <w:rPr>
          <w:color w:val="000000"/>
          <w:spacing w:val="0"/>
          <w:w w:val="100"/>
          <w:position w:val="0"/>
          <w:sz w:val="18"/>
          <w:szCs w:val="18"/>
        </w:rPr>
        <w:t>306,639,964.47</w:t>
      </w:r>
      <w:r>
        <w:rPr>
          <w:rFonts w:ascii="SimSun" w:eastAsia="SimSun" w:hAnsi="SimSun" w:cs="SimSun"/>
          <w:color w:val="000000"/>
          <w:spacing w:val="0"/>
          <w:w w:val="100"/>
          <w:position w:val="0"/>
          <w:sz w:val="17"/>
          <w:szCs w:val="17"/>
        </w:rPr>
        <w:t>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22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年度分配预案为：以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413,848,300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股派送现金股利</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 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股，不以公积金转增股本，合计派发现金股利</w:t>
      </w:r>
      <w:r>
        <w:rPr>
          <w:rFonts w:ascii="Times New Roman" w:eastAsia="Times New Roman" w:hAnsi="Times New Roman" w:cs="Times New Roman"/>
          <w:color w:val="000000"/>
          <w:spacing w:val="0"/>
          <w:w w:val="100"/>
          <w:position w:val="0"/>
          <w:sz w:val="18"/>
          <w:szCs w:val="18"/>
        </w:rPr>
        <w:t>14,484,690.5</w:t>
      </w:r>
      <w:r>
        <w:rPr>
          <w:color w:val="000000"/>
          <w:spacing w:val="0"/>
          <w:w w:val="100"/>
          <w:position w:val="0"/>
        </w:rPr>
        <w:t>元。剩余未分配利润留待以后年度分配。</w:t>
      </w:r>
    </w:p>
    <w:p>
      <w:pPr>
        <w:pStyle w:val="Style25"/>
        <w:keepNext/>
        <w:keepLines/>
        <w:widowControl w:val="0"/>
        <w:shd w:val="clear" w:color="auto" w:fill="auto"/>
        <w:bidi w:val="0"/>
        <w:spacing w:before="0" w:after="260" w:line="240" w:lineRule="auto"/>
        <w:ind w:left="0" w:right="0" w:firstLine="0"/>
        <w:jc w:val="both"/>
      </w:pPr>
      <w:bookmarkStart w:id="217" w:name="bookmark217"/>
      <w:bookmarkStart w:id="218" w:name="bookmark218"/>
      <w:bookmarkStart w:id="219" w:name="bookmark219"/>
      <w:r>
        <w:rPr>
          <w:color w:val="000000"/>
          <w:spacing w:val="0"/>
          <w:w w:val="100"/>
          <w:position w:val="0"/>
          <w:sz w:val="24"/>
          <w:szCs w:val="24"/>
        </w:rPr>
        <w:t>十五、社会责任情况</w:t>
      </w:r>
      <w:bookmarkEnd w:id="217"/>
      <w:bookmarkEnd w:id="218"/>
      <w:bookmarkEnd w:id="219"/>
    </w:p>
    <w:p>
      <w:pPr>
        <w:pStyle w:val="Style29"/>
        <w:keepNext w:val="0"/>
        <w:keepLines w:val="0"/>
        <w:widowControl w:val="0"/>
        <w:shd w:val="clear" w:color="auto" w:fill="auto"/>
        <w:bidi w:val="0"/>
        <w:spacing w:before="0" w:line="310" w:lineRule="exact"/>
        <w:ind w:left="0" w:right="0" w:firstLine="380"/>
        <w:jc w:val="both"/>
      </w:pPr>
      <w:r>
        <w:rPr>
          <w:color w:val="000000"/>
          <w:spacing w:val="0"/>
          <w:w w:val="100"/>
          <w:position w:val="0"/>
        </w:rPr>
        <w:t>报告期内，公司在实现自身发展的同时，积极履行社会责任的具体实践，充分切实做到保护广大投资者，尤其是中小投 资者的权利，以实现公司、股东、员工、客户、社会等各方利益的均衡，共同推动公司持续、稳健发展和社会的繁荣。自成 立以来，公司根据《公司法》、《证券法》等法律法规，建立了以《公司章程》为中心的内控制度体系，形成了以股东大会、 董事会和监事会为主体结构的科学性决策，切实保护了广大投资者的权益。</w:t>
      </w:r>
    </w:p>
    <w:p>
      <w:pPr>
        <w:pStyle w:val="Style29"/>
        <w:keepNext w:val="0"/>
        <w:keepLines w:val="0"/>
        <w:widowControl w:val="0"/>
        <w:shd w:val="clear" w:color="auto" w:fill="auto"/>
        <w:bidi w:val="0"/>
        <w:spacing w:before="0" w:after="140" w:line="310" w:lineRule="exact"/>
        <w:ind w:left="0" w:right="0" w:firstLine="0"/>
        <w:jc w:val="both"/>
      </w:pPr>
      <w:r>
        <w:rPr>
          <w:color w:val="000000"/>
          <w:spacing w:val="0"/>
          <w:w w:val="100"/>
          <w:position w:val="0"/>
        </w:rPr>
        <w:t>上市公司及其子公司是否属于国家环境保护部门规定的重污染行业</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10" w:lineRule="exact"/>
        <w:ind w:left="0" w:right="0" w:firstLine="0"/>
        <w:jc w:val="both"/>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9"/>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报告期内是否被行政处罚</w:t>
      </w:r>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both"/>
      </w:pPr>
      <w:bookmarkStart w:id="220" w:name="bookmark220"/>
      <w:bookmarkStart w:id="221" w:name="bookmark221"/>
      <w:bookmarkStart w:id="222" w:name="bookmark222"/>
      <w:r>
        <w:rPr>
          <w:color w:val="000000"/>
          <w:spacing w:val="0"/>
          <w:w w:val="100"/>
          <w:position w:val="0"/>
          <w:sz w:val="24"/>
          <w:szCs w:val="24"/>
        </w:rPr>
        <w:t>十六、报告期内接待调研、沟通、采访等活动登记表</w:t>
      </w:r>
      <w:bookmarkEnd w:id="220"/>
      <w:bookmarkEnd w:id="221"/>
      <w:bookmarkEnd w:id="222"/>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中邮基金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公司基本情况、发展趋势、 行业状况等</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天弘基金、广发基 金、上海汇利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公司基本情况、发展趋势、 行业状况等</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上海勤泰、鼎诺投 资、追电投资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公司基本情况、发展趋势、 行业状况等</w:t>
            </w:r>
          </w:p>
        </w:tc>
      </w:tr>
    </w:tbl>
    <w:p>
      <w:pPr>
        <w:sectPr>
          <w:headerReference w:type="default" r:id="rId65"/>
          <w:footerReference w:type="default" r:id="rId66"/>
          <w:headerReference w:type="even" r:id="rId67"/>
          <w:footerReference w:type="even" r:id="rId68"/>
          <w:footnotePr>
            <w:pos w:val="pageBottom"/>
            <w:numFmt w:val="decimal"/>
            <w:numRestart w:val="continuous"/>
          </w:footnotePr>
          <w:type w:val="continuous"/>
          <w:pgSz w:w="11900" w:h="16840"/>
          <w:pgMar w:top="1142" w:right="907" w:bottom="1451" w:left="990" w:header="0" w:footer="3" w:gutter="0"/>
          <w:cols w:space="720"/>
          <w:noEndnote/>
          <w:rtlGutter w:val="0"/>
          <w:docGrid w:linePitch="360"/>
        </w:sectPr>
      </w:pPr>
    </w:p>
    <w:p>
      <w:pPr>
        <w:pStyle w:val="Style9"/>
        <w:keepNext/>
        <w:keepLines/>
        <w:widowControl w:val="0"/>
        <w:shd w:val="clear" w:color="auto" w:fill="auto"/>
        <w:bidi w:val="0"/>
        <w:spacing w:before="0" w:line="240" w:lineRule="auto"/>
        <w:ind w:left="0" w:right="0" w:firstLine="0"/>
        <w:jc w:val="center"/>
      </w:pPr>
      <w:bookmarkStart w:id="223" w:name="bookmark223"/>
      <w:bookmarkStart w:id="224" w:name="bookmark224"/>
      <w:bookmarkStart w:id="225" w:name="bookmark225"/>
      <w:r>
        <w:rPr>
          <w:color w:val="000000"/>
          <w:spacing w:val="0"/>
          <w:w w:val="100"/>
          <w:position w:val="0"/>
        </w:rPr>
        <w:t>第五节重要事项</w:t>
      </w:r>
      <w:bookmarkEnd w:id="223"/>
      <w:bookmarkEnd w:id="224"/>
      <w:bookmarkEnd w:id="225"/>
    </w:p>
    <w:p>
      <w:pPr>
        <w:pStyle w:val="Style25"/>
        <w:keepNext/>
        <w:keepLines/>
        <w:widowControl w:val="0"/>
        <w:shd w:val="clear" w:color="auto" w:fill="auto"/>
        <w:tabs>
          <w:tab w:pos="517"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一</w:t>
      </w:r>
      <w:bookmarkEnd w:id="228"/>
      <w:r>
        <w:rPr>
          <w:color w:val="000000"/>
          <w:spacing w:val="0"/>
          <w:w w:val="100"/>
          <w:position w:val="0"/>
          <w:sz w:val="24"/>
          <w:szCs w:val="24"/>
        </w:rPr>
        <w:t>、</w:t>
        <w:tab/>
        <w:t>重大诉讼仲裁事项</w:t>
      </w:r>
      <w:bookmarkEnd w:id="226"/>
      <w:bookmarkEnd w:id="227"/>
      <w:bookmarkEnd w:id="22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二</w:t>
      </w:r>
      <w:bookmarkEnd w:id="232"/>
      <w:r>
        <w:rPr>
          <w:color w:val="000000"/>
          <w:spacing w:val="0"/>
          <w:w w:val="100"/>
          <w:position w:val="0"/>
          <w:sz w:val="24"/>
          <w:szCs w:val="24"/>
        </w:rPr>
        <w:t>、</w:t>
        <w:tab/>
        <w:t>媒体质疑情况</w:t>
      </w:r>
      <w:bookmarkEnd w:id="230"/>
      <w:bookmarkEnd w:id="231"/>
      <w:bookmarkEnd w:id="23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2" w:val="left"/>
        </w:tabs>
        <w:bidi w:val="0"/>
        <w:spacing w:before="0" w:after="2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三</w:t>
      </w:r>
      <w:bookmarkEnd w:id="236"/>
      <w:r>
        <w:rPr>
          <w:color w:val="000000"/>
          <w:spacing w:val="0"/>
          <w:w w:val="100"/>
          <w:position w:val="0"/>
          <w:sz w:val="24"/>
          <w:szCs w:val="24"/>
        </w:rPr>
        <w:t>、</w:t>
        <w:tab/>
        <w:t>破产重整相关事项</w:t>
      </w:r>
      <w:bookmarkEnd w:id="234"/>
      <w:bookmarkEnd w:id="235"/>
      <w:bookmarkEnd w:id="237"/>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报告期内，公司无破产重整相关事项。</w:t>
      </w:r>
    </w:p>
    <w:p>
      <w:pPr>
        <w:pStyle w:val="Style25"/>
        <w:keepNext/>
        <w:keepLines/>
        <w:widowControl w:val="0"/>
        <w:shd w:val="clear" w:color="auto" w:fill="auto"/>
        <w:tabs>
          <w:tab w:pos="522" w:val="left"/>
        </w:tabs>
        <w:bidi w:val="0"/>
        <w:spacing w:before="0" w:after="2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四</w:t>
      </w:r>
      <w:bookmarkEnd w:id="240"/>
      <w:r>
        <w:rPr>
          <w:color w:val="000000"/>
          <w:spacing w:val="0"/>
          <w:w w:val="100"/>
          <w:position w:val="0"/>
          <w:sz w:val="24"/>
          <w:szCs w:val="24"/>
        </w:rPr>
        <w:t>、</w:t>
        <w:tab/>
        <w:t>公司股权激励的实施情况及其影响</w:t>
      </w:r>
      <w:bookmarkEnd w:id="238"/>
      <w:bookmarkEnd w:id="239"/>
      <w:bookmarkEnd w:id="241"/>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报告期内，公司股权激励的实施情况如下：</w:t>
      </w:r>
    </w:p>
    <w:p>
      <w:pPr>
        <w:pStyle w:val="Style29"/>
        <w:keepNext w:val="0"/>
        <w:keepLines w:val="0"/>
        <w:widowControl w:val="0"/>
        <w:shd w:val="clear" w:color="auto" w:fill="auto"/>
        <w:tabs>
          <w:tab w:pos="334" w:val="left"/>
        </w:tabs>
        <w:bidi w:val="0"/>
        <w:spacing w:before="0" w:after="0" w:line="316" w:lineRule="exact"/>
        <w:ind w:left="0" w:right="0" w:firstLine="0"/>
        <w:jc w:val="left"/>
      </w:pPr>
      <w:bookmarkStart w:id="242" w:name="bookmark242"/>
      <w:r>
        <w:rPr>
          <w:rFonts w:ascii="Times New Roman" w:eastAsia="Times New Roman" w:hAnsi="Times New Roman" w:cs="Times New Roman"/>
          <w:color w:val="000000"/>
          <w:spacing w:val="0"/>
          <w:w w:val="100"/>
          <w:position w:val="0"/>
          <w:sz w:val="18"/>
          <w:szCs w:val="18"/>
        </w:rPr>
        <w:t>1</w:t>
      </w:r>
      <w:bookmarkEnd w:id="242"/>
      <w:r>
        <w:rPr>
          <w:color w:val="000000"/>
          <w:spacing w:val="0"/>
          <w:w w:val="100"/>
          <w:position w:val="0"/>
        </w:rPr>
        <w:t>、</w:t>
        <w:tab/>
        <w:t>实施股权激励计划履行的相关程序</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日，公司第五届董事会第二十九次会议审议通过《关于股票期权激励计划首次授予第一个行权期激励对象调 整的议案》、《关于股票期权激励计划首次授予第一个行权期可行权的议案》。根据公司《股票期权激励计划（修订稿）》 的相关规定，同意由</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名激励对象调整为</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名，调整后的第一个行权期可行权数量为</w:t>
      </w:r>
      <w:r>
        <w:rPr>
          <w:rFonts w:ascii="Times New Roman" w:eastAsia="Times New Roman" w:hAnsi="Times New Roman" w:cs="Times New Roman"/>
          <w:color w:val="000000"/>
          <w:spacing w:val="0"/>
          <w:w w:val="100"/>
          <w:position w:val="0"/>
          <w:sz w:val="18"/>
          <w:szCs w:val="18"/>
        </w:rPr>
        <w:t>1019.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万份。</w:t>
      </w:r>
    </w:p>
    <w:p>
      <w:pPr>
        <w:pStyle w:val="Style29"/>
        <w:keepNext w:val="0"/>
        <w:keepLines w:val="0"/>
        <w:widowControl w:val="0"/>
        <w:shd w:val="clear" w:color="auto" w:fill="auto"/>
        <w:tabs>
          <w:tab w:pos="354" w:val="left"/>
        </w:tabs>
        <w:bidi w:val="0"/>
        <w:spacing w:before="0" w:after="0" w:line="316" w:lineRule="exact"/>
        <w:ind w:left="0" w:right="0" w:firstLine="0"/>
        <w:jc w:val="left"/>
      </w:pPr>
      <w:bookmarkStart w:id="243" w:name="bookmark243"/>
      <w:r>
        <w:rPr>
          <w:rFonts w:ascii="Times New Roman" w:eastAsia="Times New Roman" w:hAnsi="Times New Roman" w:cs="Times New Roman"/>
          <w:color w:val="000000"/>
          <w:spacing w:val="0"/>
          <w:w w:val="100"/>
          <w:position w:val="0"/>
          <w:sz w:val="18"/>
          <w:szCs w:val="18"/>
        </w:rPr>
        <w:t>2</w:t>
      </w:r>
      <w:bookmarkEnd w:id="243"/>
      <w:r>
        <w:rPr>
          <w:color w:val="000000"/>
          <w:spacing w:val="0"/>
          <w:w w:val="100"/>
          <w:position w:val="0"/>
        </w:rPr>
        <w:t>、</w:t>
        <w:tab/>
        <w:t>激励对象考核情况</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日，公司第五届董事会第二十九次会议审议通过《关于股票期权激励计划首次授予第一个行权期可行权的议 案》，首次授予第一个行权期的</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名激励对象均达到考核要求，满足行权条件。</w:t>
      </w:r>
    </w:p>
    <w:p>
      <w:pPr>
        <w:pStyle w:val="Style29"/>
        <w:keepNext w:val="0"/>
        <w:keepLines w:val="0"/>
        <w:widowControl w:val="0"/>
        <w:shd w:val="clear" w:color="auto" w:fill="auto"/>
        <w:tabs>
          <w:tab w:pos="354" w:val="left"/>
        </w:tabs>
        <w:bidi w:val="0"/>
        <w:spacing w:before="0" w:after="0" w:line="316" w:lineRule="exact"/>
        <w:ind w:left="0" w:right="0" w:firstLine="0"/>
        <w:jc w:val="left"/>
      </w:pPr>
      <w:bookmarkStart w:id="244" w:name="bookmark244"/>
      <w:r>
        <w:rPr>
          <w:rFonts w:ascii="Times New Roman" w:eastAsia="Times New Roman" w:hAnsi="Times New Roman" w:cs="Times New Roman"/>
          <w:color w:val="000000"/>
          <w:spacing w:val="0"/>
          <w:w w:val="100"/>
          <w:position w:val="0"/>
          <w:sz w:val="18"/>
          <w:szCs w:val="18"/>
        </w:rPr>
        <w:t>3</w:t>
      </w:r>
      <w:bookmarkEnd w:id="244"/>
      <w:r>
        <w:rPr>
          <w:color w:val="000000"/>
          <w:spacing w:val="0"/>
          <w:w w:val="100"/>
          <w:position w:val="0"/>
        </w:rPr>
        <w:t>、</w:t>
        <w:tab/>
        <w:t>股票期权授予情况</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本报告期无股票授予情况。</w:t>
      </w:r>
    </w:p>
    <w:p>
      <w:pPr>
        <w:pStyle w:val="Style29"/>
        <w:keepNext w:val="0"/>
        <w:keepLines w:val="0"/>
        <w:widowControl w:val="0"/>
        <w:shd w:val="clear" w:color="auto" w:fill="auto"/>
        <w:tabs>
          <w:tab w:pos="354" w:val="left"/>
        </w:tabs>
        <w:bidi w:val="0"/>
        <w:spacing w:before="0" w:after="0" w:line="316" w:lineRule="exact"/>
        <w:ind w:left="0" w:right="0" w:firstLine="0"/>
        <w:jc w:val="left"/>
      </w:pPr>
      <w:bookmarkStart w:id="245" w:name="bookmark245"/>
      <w:r>
        <w:rPr>
          <w:rFonts w:ascii="Times New Roman" w:eastAsia="Times New Roman" w:hAnsi="Times New Roman" w:cs="Times New Roman"/>
          <w:color w:val="000000"/>
          <w:spacing w:val="0"/>
          <w:w w:val="100"/>
          <w:position w:val="0"/>
          <w:sz w:val="18"/>
          <w:szCs w:val="18"/>
        </w:rPr>
        <w:t>4</w:t>
      </w:r>
      <w:bookmarkEnd w:id="245"/>
      <w:r>
        <w:rPr>
          <w:color w:val="000000"/>
          <w:spacing w:val="0"/>
          <w:w w:val="100"/>
          <w:position w:val="0"/>
        </w:rPr>
        <w:t>、</w:t>
        <w:tab/>
        <w:t>股票期权行权及解锁情况</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日，公司首次授予第一个行权期第一次行权，符合行权条件的首次授予</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名激励对象中共有</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名激励对象 申请选择本次行权，行权数量为</w:t>
      </w:r>
      <w:r>
        <w:rPr>
          <w:rFonts w:ascii="Times New Roman" w:eastAsia="Times New Roman" w:hAnsi="Times New Roman" w:cs="Times New Roman"/>
          <w:color w:val="000000"/>
          <w:spacing w:val="0"/>
          <w:w w:val="100"/>
          <w:position w:val="0"/>
          <w:sz w:val="18"/>
          <w:szCs w:val="18"/>
        </w:rPr>
        <w:t>497.93</w:t>
      </w:r>
      <w:r>
        <w:rPr>
          <w:color w:val="000000"/>
          <w:spacing w:val="0"/>
          <w:w w:val="100"/>
          <w:position w:val="0"/>
        </w:rPr>
        <w:t>万股。剩余</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人未参与本次行权（第一个行权期为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止，未行权部分由公司负责注销）。</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日，中国证券登记结算有限责任公司深圳分公司完成了对我公司</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4,979,300</w:t>
      </w:r>
      <w:r>
        <w:rPr>
          <w:color w:val="000000"/>
          <w:spacing w:val="0"/>
          <w:w w:val="100"/>
          <w:position w:val="0"/>
        </w:rPr>
        <w:t>股的解除限售登记 工作。本次行权股份的上市时间为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9"/>
        <w:keepNext w:val="0"/>
        <w:keepLines w:val="0"/>
        <w:widowControl w:val="0"/>
        <w:shd w:val="clear" w:color="auto" w:fill="auto"/>
        <w:tabs>
          <w:tab w:pos="354" w:val="left"/>
        </w:tabs>
        <w:bidi w:val="0"/>
        <w:spacing w:before="0" w:after="0" w:line="316" w:lineRule="exact"/>
        <w:ind w:left="0" w:right="0" w:firstLine="0"/>
        <w:jc w:val="left"/>
      </w:pPr>
      <w:bookmarkStart w:id="246" w:name="bookmark246"/>
      <w:r>
        <w:rPr>
          <w:rFonts w:ascii="Times New Roman" w:eastAsia="Times New Roman" w:hAnsi="Times New Roman" w:cs="Times New Roman"/>
          <w:color w:val="000000"/>
          <w:spacing w:val="0"/>
          <w:w w:val="100"/>
          <w:position w:val="0"/>
          <w:sz w:val="18"/>
          <w:szCs w:val="18"/>
        </w:rPr>
        <w:t>5</w:t>
      </w:r>
      <w:bookmarkEnd w:id="246"/>
      <w:r>
        <w:rPr>
          <w:color w:val="000000"/>
          <w:spacing w:val="0"/>
          <w:w w:val="100"/>
          <w:position w:val="0"/>
        </w:rPr>
        <w:t>、</w:t>
        <w:tab/>
        <w:t>激励对象范围、股票期权行权价格及期权数量的调整情况及履行的程序</w:t>
      </w:r>
    </w:p>
    <w:p>
      <w:pPr>
        <w:pStyle w:val="Style29"/>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日，公司第五届董事会第二十九次会议审议通过了《关于公司股票期权激励计划首次授予第一个行权期激励 对象调整的议案》，本次股票期权激励计划首次授予的激励对象中有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名激励对象因工作变动，不符合第一期行权条件。经 过本次调整后，本次股票期权激励计划首次授予第一个行权期的激励对象为</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人，可行权数量为</w:t>
      </w:r>
      <w:r>
        <w:rPr>
          <w:rFonts w:ascii="Times New Roman" w:eastAsia="Times New Roman" w:hAnsi="Times New Roman" w:cs="Times New Roman"/>
          <w:color w:val="000000"/>
          <w:spacing w:val="0"/>
          <w:w w:val="100"/>
          <w:position w:val="0"/>
          <w:sz w:val="18"/>
          <w:szCs w:val="18"/>
        </w:rPr>
        <w:t>1019.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万份。</w:t>
      </w:r>
    </w:p>
    <w:p>
      <w:pPr>
        <w:pStyle w:val="Style29"/>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上述股权激励实施情况详见公司刊登于巨潮资讯网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r>
        <w:br w:type="page"/>
      </w:r>
    </w:p>
    <w:p>
      <w:pPr>
        <w:pStyle w:val="Style25"/>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五</w:t>
      </w:r>
      <w:bookmarkEnd w:id="249"/>
      <w:r>
        <w:rPr>
          <w:color w:val="000000"/>
          <w:spacing w:val="0"/>
          <w:w w:val="100"/>
          <w:position w:val="0"/>
          <w:sz w:val="24"/>
          <w:szCs w:val="24"/>
        </w:rPr>
        <w:t>、重大合同及其履行情况</w:t>
      </w:r>
      <w:bookmarkEnd w:id="247"/>
      <w:bookmarkEnd w:id="248"/>
      <w:bookmarkEnd w:id="250"/>
    </w:p>
    <w:p>
      <w:pPr>
        <w:pStyle w:val="Style34"/>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、担保情况</w:t>
      </w:r>
      <w:bookmarkEnd w:id="251"/>
      <w:bookmarkEnd w:id="252"/>
      <w:bookmarkEnd w:id="2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安徽鑫龙自动化有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7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r>
        <w:br w:type="page"/>
      </w:r>
    </w:p>
    <w:p>
      <w:pPr>
        <w:pStyle w:val="Style25"/>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六</w:t>
      </w:r>
      <w:bookmarkEnd w:id="257"/>
      <w:r>
        <w:rPr>
          <w:color w:val="000000"/>
          <w:spacing w:val="0"/>
          <w:w w:val="100"/>
          <w:position w:val="0"/>
          <w:sz w:val="24"/>
          <w:szCs w:val="24"/>
        </w:rPr>
        <w:t>、承诺事项履行情况</w:t>
      </w:r>
      <w:bookmarkEnd w:id="255"/>
      <w:bookmarkEnd w:id="256"/>
      <w:bookmarkEnd w:id="258"/>
    </w:p>
    <w:p>
      <w:pPr>
        <w:pStyle w:val="Style34"/>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59"/>
      <w:bookmarkEnd w:id="260"/>
      <w:bookmarkEnd w:id="262"/>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、在任职董事 期间每年转让 的公司股份不 超过其所持有 股份总数的百 分之二十五；在 离职后半年内， 不转让所持有 的股份。还承 诺：在任职鑫诚 科技董事期间 每年转让的鑫 诚科技股权不 超过其所持有 鑫诚科技股权 总数的百分之 二十五；在离职 后半年内，不转 让所持有的鑫 诚科技股权。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避免同业竞争、 规范和减少关 联交易承诺。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安徽鑫龙电器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、公司承诺： 不为激励对象 依据股票期权 激励计划获取 有关股票期权 贷款以及其他 任何形式的财 务资助，包括为 其贷款提供担 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、公司在 使用非公开发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、在暂 借募集资金期 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142" w:right="907" w:bottom="1451" w:left="990" w:header="0" w:footer="3" w:gutter="0"/>
          <w:cols w:space="720"/>
          <w:noEndnote/>
          <w:titlePg/>
          <w:rtlGutter w:val="0"/>
          <w:docGrid w:linePitch="360"/>
        </w:sectPr>
      </w:pPr>
    </w:p>
    <w:tbl>
      <w:tblPr>
        <w:tblOverlap w:val="never"/>
        <w:jc w:val="center"/>
        <w:tblLayout w:type="fixed"/>
      </w:tblPr>
      <w:tblGrid>
        <w:gridCol w:w="3202"/>
        <w:gridCol w:w="1277"/>
        <w:gridCol w:w="1277"/>
        <w:gridCol w:w="1277"/>
        <w:gridCol w:w="1277"/>
        <w:gridCol w:w="1277"/>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行股票部分闲 置的募集资金 暂时补充流动 资金作出承诺： 公司过去十二 个月内未进行 证券投资等风 险投资；同时， 公司还承诺在 本次使用闲置 募集资金暂时 补充流动资金 期间不进行证 券投资等风险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芜湖市鑫诚科 技投资有限公 司以及本公司 控股股东、实际 控制人束龙胜 先生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 xml:space="preserve">承诺未来连续 六个月出售的 股份将低于公 司股份总数的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七</w:t>
      </w:r>
      <w:bookmarkEnd w:id="265"/>
      <w:r>
        <w:rPr>
          <w:color w:val="000000"/>
          <w:spacing w:val="0"/>
          <w:w w:val="100"/>
          <w:position w:val="0"/>
          <w:sz w:val="24"/>
          <w:szCs w:val="24"/>
        </w:rPr>
        <w:t>、聘任、解聘会计师事务所情况</w:t>
      </w:r>
      <w:bookmarkEnd w:id="263"/>
      <w:bookmarkEnd w:id="264"/>
      <w:bookmarkEnd w:id="266"/>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吕勇军、王海涛</w:t>
            </w:r>
          </w:p>
        </w:tc>
      </w:tr>
    </w:tbl>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八</w:t>
      </w:r>
      <w:bookmarkEnd w:id="269"/>
      <w:r>
        <w:rPr>
          <w:color w:val="000000"/>
          <w:spacing w:val="0"/>
          <w:w w:val="100"/>
          <w:position w:val="0"/>
          <w:sz w:val="24"/>
          <w:szCs w:val="24"/>
        </w:rPr>
        <w:t>、公司子公司重要事项</w:t>
      </w:r>
      <w:bookmarkEnd w:id="267"/>
      <w:bookmarkEnd w:id="268"/>
      <w:bookmarkEnd w:id="270"/>
    </w:p>
    <w:p>
      <w:pPr>
        <w:pStyle w:val="Style29"/>
        <w:keepNext w:val="0"/>
        <w:keepLines w:val="0"/>
        <w:widowControl w:val="0"/>
        <w:shd w:val="clear" w:color="auto" w:fill="auto"/>
        <w:bidi w:val="0"/>
        <w:spacing w:before="0" w:after="240" w:line="310" w:lineRule="exact"/>
        <w:ind w:left="0" w:right="0" w:firstLine="380"/>
        <w:jc w:val="lef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142" w:right="907" w:bottom="1451" w:left="990" w:header="0" w:footer="3" w:gutter="0"/>
          <w:cols w:space="720"/>
          <w:noEndnote/>
          <w:rtlGutter w:val="0"/>
          <w:docGrid w:linePitch="360"/>
        </w:sectPr>
      </w:pPr>
      <w:r>
        <w:rPr>
          <w:color w:val="000000"/>
          <w:spacing w:val="0"/>
          <w:w w:val="100"/>
          <w:position w:val="0"/>
        </w:rPr>
        <w:t>为增强对子公司的控制力度，公司以自有资金人民币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万元，收购控股子公司安徽佑赛科技有限公司股东北京华腾开 元电气有限公司、自然人股东王翔先生、自然人股东潘成一先生分别持有的</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万（占注册资本的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万（占注册资本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万（占注册资本的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）的股权。并于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日公司与北京华腾开元电气有限公司、于翔、潘成一富署了</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《股权转让协议书》。</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本次转让后，本公司将持有佑赛科技</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的股权，北京华腾开元电气有限公司持有佑赛科技</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的股权，自然人王翔先 生、潘成一先生不再持有佑赛科技股权。</w:t>
      </w:r>
    </w:p>
    <w:p>
      <w:pPr>
        <w:pStyle w:val="Style47"/>
        <w:keepNext w:val="0"/>
        <w:keepLines w:val="0"/>
        <w:widowControl w:val="0"/>
        <w:shd w:val="clear" w:color="auto" w:fill="auto"/>
        <w:bidi w:val="0"/>
        <w:spacing w:before="0" w:after="360" w:line="322" w:lineRule="exact"/>
        <w:ind w:left="0" w:right="0" w:firstLine="360"/>
        <w:jc w:val="both"/>
        <w:rPr>
          <w:sz w:val="17"/>
          <w:szCs w:val="17"/>
        </w:rPr>
      </w:pPr>
      <w:r>
        <w:rPr>
          <w:rFonts w:ascii="SimSun" w:eastAsia="SimSun" w:hAnsi="SimSun" w:cs="SimSun"/>
          <w:color w:val="000000"/>
          <w:spacing w:val="0"/>
          <w:w w:val="100"/>
          <w:position w:val="0"/>
          <w:sz w:val="17"/>
          <w:szCs w:val="17"/>
        </w:rPr>
        <w:t>详细内容详见公司指定信息披露网站巨潮资讯网</w:t>
      </w:r>
      <w:r>
        <w:fldChar w:fldCharType="begin"/>
      </w:r>
      <w:r>
        <w:rPr/>
        <w:instrText> HYPERLINK "http://www.cninfo.com.cn/" </w:instrText>
      </w:r>
      <w:r>
        <w:fldChar w:fldCharType="separate"/>
      </w:r>
      <w:r>
        <w:rPr>
          <w:color w:val="000000"/>
          <w:spacing w:val="0"/>
          <w:w w:val="100"/>
          <w:position w:val="0"/>
          <w:sz w:val="18"/>
          <w:szCs w:val="18"/>
        </w:rPr>
        <w:t>（</w:t>
      </w:r>
      <w:r>
        <w:rPr>
          <w:color w:val="0000FF"/>
          <w:spacing w:val="0"/>
          <w:w w:val="100"/>
          <w:position w:val="0"/>
          <w:sz w:val="18"/>
          <w:szCs w:val="18"/>
          <w:u w:val="single"/>
        </w:rPr>
        <w:t>http://www.cninfo.com.cn</w:t>
      </w:r>
      <w:r>
        <w:rPr>
          <w:color w:val="000000"/>
          <w:spacing w:val="0"/>
          <w:w w:val="100"/>
          <w:position w:val="0"/>
          <w:sz w:val="18"/>
          <w:szCs w:val="18"/>
          <w:u w:val="single"/>
        </w:rPr>
        <w:t>）</w:t>
      </w:r>
      <w:r>
        <w:fldChar w:fldCharType="end"/>
      </w:r>
      <w:r>
        <w:rPr>
          <w:rFonts w:ascii="SimSun" w:eastAsia="SimSun" w:hAnsi="SimSun" w:cs="SimSun"/>
          <w:color w:val="000000"/>
          <w:spacing w:val="0"/>
          <w:w w:val="100"/>
          <w:position w:val="0"/>
          <w:sz w:val="17"/>
          <w:szCs w:val="17"/>
        </w:rPr>
        <w:t>。</w:t>
      </w:r>
    </w:p>
    <w:p>
      <w:pPr>
        <w:pStyle w:val="Style25"/>
        <w:keepNext/>
        <w:keepLines/>
        <w:widowControl w:val="0"/>
        <w:shd w:val="clear" w:color="auto" w:fill="auto"/>
        <w:bidi w:val="0"/>
        <w:spacing w:before="0" w:after="26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sz w:val="24"/>
          <w:szCs w:val="24"/>
        </w:rPr>
        <w:t>九</w:t>
      </w:r>
      <w:bookmarkEnd w:id="273"/>
      <w:r>
        <w:rPr>
          <w:color w:val="000000"/>
          <w:spacing w:val="0"/>
          <w:w w:val="100"/>
          <w:position w:val="0"/>
          <w:sz w:val="24"/>
          <w:szCs w:val="24"/>
        </w:rPr>
        <w:t>、公司发行公司债券的情况</w:t>
      </w:r>
      <w:bookmarkEnd w:id="271"/>
      <w:bookmarkEnd w:id="272"/>
      <w:bookmarkEnd w:id="274"/>
    </w:p>
    <w:p>
      <w:pPr>
        <w:pStyle w:val="Style29"/>
        <w:keepNext w:val="0"/>
        <w:keepLines w:val="0"/>
        <w:widowControl w:val="0"/>
        <w:shd w:val="clear" w:color="auto" w:fill="auto"/>
        <w:bidi w:val="0"/>
        <w:spacing w:before="0" w:after="0" w:line="311" w:lineRule="exact"/>
        <w:ind w:left="0" w:right="0" w:firstLine="5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年第二次临时股东大会批准公司参与发行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年芜湖市第一期中小企业集合票据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（该中小企业集合票据发 行流程跨年度，现更名为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芜湖市</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年度第一期中小企业集合票据公司于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日接到中国银行间市场 交易商协会《接受注册通知书》（中市协注</w:t>
      </w:r>
      <w:r>
        <w:rPr>
          <w:rFonts w:ascii="Times New Roman" w:eastAsia="Times New Roman" w:hAnsi="Times New Roman" w:cs="Times New Roman"/>
          <w:color w:val="000000"/>
          <w:spacing w:val="0"/>
          <w:w w:val="100"/>
          <w:position w:val="0"/>
          <w:sz w:val="18"/>
          <w:szCs w:val="18"/>
        </w:rPr>
        <w:t>[2012]SMECN18</w:t>
      </w:r>
      <w:r>
        <w:rPr>
          <w:color w:val="000000"/>
          <w:spacing w:val="0"/>
          <w:w w:val="100"/>
          <w:position w:val="0"/>
        </w:rPr>
        <w:t>号），中国银行间市场交易商协会决定接受包括本公司在内的 叁家企业的集合票据注册，此次集合票据总注册金额为人民币</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亿元，其中本公司发行金额为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w:t>
      </w:r>
    </w:p>
    <w:p>
      <w:pPr>
        <w:pStyle w:val="Style29"/>
        <w:keepNext w:val="0"/>
        <w:keepLines w:val="0"/>
        <w:widowControl w:val="0"/>
        <w:shd w:val="clear" w:color="auto" w:fill="auto"/>
        <w:bidi w:val="0"/>
        <w:spacing w:before="0" w:after="10980" w:line="311" w:lineRule="exact"/>
        <w:ind w:left="0" w:right="0"/>
        <w:jc w:val="both"/>
      </w:pPr>
      <w:r>
        <w:rPr>
          <w:color w:val="000000"/>
          <w:spacing w:val="0"/>
          <w:w w:val="100"/>
          <w:position w:val="0"/>
        </w:rPr>
        <w:t>公司与另外二家企业已于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日发行了芜湖市</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年度第一期中小企业集合票据，发行价格为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票面利率为</w:t>
      </w:r>
      <w:r>
        <w:rPr>
          <w:rFonts w:ascii="Times New Roman" w:eastAsia="Times New Roman" w:hAnsi="Times New Roman" w:cs="Times New Roman"/>
          <w:color w:val="000000"/>
          <w:spacing w:val="0"/>
          <w:w w:val="100"/>
          <w:position w:val="0"/>
          <w:sz w:val="18"/>
          <w:szCs w:val="18"/>
        </w:rPr>
        <w:t>5.35%</w:t>
      </w:r>
      <w:r>
        <w:rPr>
          <w:color w:val="000000"/>
          <w:spacing w:val="0"/>
          <w:w w:val="100"/>
          <w:position w:val="0"/>
        </w:rPr>
        <w:t>，票据期限为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年，上市流通日为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日。本次集合票据由兴业银行股份有限公司主承销。</w:t>
      </w:r>
    </w:p>
    <w:p>
      <w:pPr>
        <w:widowControl w:val="0"/>
        <w:jc w:val="center"/>
        <w:rPr>
          <w:sz w:val="2"/>
          <w:szCs w:val="2"/>
        </w:r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78" w:right="1023" w:bottom="192" w:left="1109" w:header="0" w:footer="3" w:gutter="0"/>
          <w:cols w:space="720"/>
          <w:noEndnote/>
          <w:rtlGutter w:val="0"/>
          <w:docGrid w:linePitch="360"/>
        </w:sectPr>
      </w:pPr>
      <w:r>
        <w:drawing>
          <wp:inline>
            <wp:extent cx="402590" cy="146050"/>
            <wp:docPr id="190" name="Picutre 190"/>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3"/>
                    <a:stretch/>
                  </pic:blipFill>
                  <pic:spPr>
                    <a:xfrm>
                      <a:ext cx="402590" cy="146050"/>
                    </a:xfrm>
                    <a:prstGeom prst="rect"/>
                  </pic:spPr>
                </pic:pic>
              </a:graphicData>
            </a:graphic>
          </wp:inline>
        </w:drawing>
      </w:r>
    </w:p>
    <w:p>
      <w:pPr>
        <w:pStyle w:val="Style9"/>
        <w:keepNext/>
        <w:keepLines/>
        <w:widowControl w:val="0"/>
        <w:shd w:val="clear" w:color="auto" w:fill="auto"/>
        <w:bidi w:val="0"/>
        <w:spacing w:before="580" w:line="240" w:lineRule="auto"/>
        <w:ind w:left="0" w:right="0" w:firstLine="0"/>
        <w:jc w:val="center"/>
      </w:pPr>
      <w:bookmarkStart w:id="275" w:name="bookmark275"/>
      <w:bookmarkStart w:id="276" w:name="bookmark276"/>
      <w:bookmarkStart w:id="277" w:name="bookmark277"/>
      <w:r>
        <w:rPr>
          <w:color w:val="000000"/>
          <w:spacing w:val="0"/>
          <w:w w:val="100"/>
          <w:position w:val="0"/>
        </w:rPr>
        <w:t>第六节股份变动及股东情况</w:t>
      </w:r>
      <w:bookmarkEnd w:id="275"/>
      <w:bookmarkEnd w:id="276"/>
      <w:bookmarkEnd w:id="277"/>
    </w:p>
    <w:p>
      <w:pPr>
        <w:pStyle w:val="Style25"/>
        <w:keepNext/>
        <w:keepLines/>
        <w:widowControl w:val="0"/>
        <w:shd w:val="clear" w:color="auto" w:fill="auto"/>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一</w:t>
      </w:r>
      <w:bookmarkEnd w:id="280"/>
      <w:r>
        <w:rPr>
          <w:color w:val="000000"/>
          <w:spacing w:val="0"/>
          <w:w w:val="100"/>
          <w:position w:val="0"/>
          <w:sz w:val="24"/>
          <w:szCs w:val="24"/>
        </w:rPr>
        <w:t>、股份变动情况</w:t>
      </w:r>
      <w:bookmarkEnd w:id="278"/>
      <w:bookmarkEnd w:id="279"/>
      <w:bookmarkEnd w:id="2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153,421,8</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-79,006,57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-79,006,57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74,415,23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145,421,8</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-71,006,57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-71,006,57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74,415,23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70,869,00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-70,869,00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74,552,81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74,415,23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255,447,1</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79,006,57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83,985,87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339,433,0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255,447,1</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79,006,57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83,985,87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339,433,0</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413,848,3</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80" w:line="312" w:lineRule="exact"/>
        <w:ind w:left="0" w:right="0" w:firstLine="0"/>
        <w:jc w:val="left"/>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tabs>
          <w:tab w:pos="334" w:val="left"/>
        </w:tabs>
        <w:bidi w:val="0"/>
        <w:spacing w:before="0" w:after="0" w:line="312" w:lineRule="exact"/>
        <w:ind w:left="0" w:right="0" w:firstLine="0"/>
        <w:jc w:val="left"/>
      </w:pPr>
      <w:bookmarkStart w:id="282" w:name="bookmark282"/>
      <w:r>
        <w:rPr>
          <w:rFonts w:ascii="Times New Roman" w:eastAsia="Times New Roman" w:hAnsi="Times New Roman" w:cs="Times New Roman"/>
          <w:color w:val="000000"/>
          <w:spacing w:val="0"/>
          <w:w w:val="100"/>
          <w:position w:val="0"/>
          <w:sz w:val="18"/>
          <w:szCs w:val="18"/>
        </w:rPr>
        <w:t>1</w:t>
      </w:r>
      <w:bookmarkEnd w:id="282"/>
      <w:r>
        <w:rPr>
          <w:color w:val="000000"/>
          <w:spacing w:val="0"/>
          <w:w w:val="100"/>
          <w:position w:val="0"/>
        </w:rPr>
        <w:t>、</w:t>
        <w:tab/>
        <w:t>按规定，公司董事、监事、高管人员持有本公司股份，每年年初按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283" w:name="bookmark283"/>
      <w:r>
        <w:rPr>
          <w:rFonts w:ascii="Times New Roman" w:eastAsia="Times New Roman" w:hAnsi="Times New Roman" w:cs="Times New Roman"/>
          <w:color w:val="000000"/>
          <w:spacing w:val="0"/>
          <w:w w:val="100"/>
          <w:position w:val="0"/>
          <w:sz w:val="18"/>
          <w:szCs w:val="18"/>
        </w:rPr>
        <w:t>2</w:t>
      </w:r>
      <w:bookmarkEnd w:id="283"/>
      <w:r>
        <w:rPr>
          <w:color w:val="000000"/>
          <w:spacing w:val="0"/>
          <w:w w:val="100"/>
          <w:position w:val="0"/>
        </w:rPr>
        <w:t>、</w:t>
        <w:tab/>
        <w:t>高管减持股份，相关减持情况均己对外公布。</w:t>
      </w:r>
    </w:p>
    <w:p>
      <w:pPr>
        <w:pStyle w:val="Style29"/>
        <w:keepNext w:val="0"/>
        <w:keepLines w:val="0"/>
        <w:widowControl w:val="0"/>
        <w:shd w:val="clear" w:color="auto" w:fill="auto"/>
        <w:tabs>
          <w:tab w:pos="363" w:val="left"/>
        </w:tabs>
        <w:bidi w:val="0"/>
        <w:spacing w:before="0" w:after="0" w:line="312" w:lineRule="exact"/>
        <w:ind w:left="0" w:right="0" w:firstLine="0"/>
        <w:jc w:val="left"/>
      </w:pPr>
      <w:bookmarkStart w:id="284" w:name="bookmark284"/>
      <w:r>
        <w:rPr>
          <w:rFonts w:ascii="Times New Roman" w:eastAsia="Times New Roman" w:hAnsi="Times New Roman" w:cs="Times New Roman"/>
          <w:color w:val="000000"/>
          <w:spacing w:val="0"/>
          <w:w w:val="100"/>
          <w:position w:val="0"/>
          <w:sz w:val="18"/>
          <w:szCs w:val="18"/>
        </w:rPr>
        <w:t>3</w:t>
      </w:r>
      <w:bookmarkEnd w:id="284"/>
      <w:r>
        <w:rPr>
          <w:color w:val="000000"/>
          <w:spacing w:val="0"/>
          <w:w w:val="100"/>
          <w:position w:val="0"/>
        </w:rPr>
        <w:t>、</w:t>
        <w:tab/>
        <w:t>经公司董事会申请、深圳证券交易所确认、中国证券登记结算有限责任公司深圳分公司核准登记，公司以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日为股票期权激励计划首次授予第一个行权期行权登记日，对提出申请行权的</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名激励对象的</w:t>
      </w:r>
      <w:r>
        <w:rPr>
          <w:rFonts w:ascii="Times New Roman" w:eastAsia="Times New Roman" w:hAnsi="Times New Roman" w:cs="Times New Roman"/>
          <w:color w:val="000000"/>
          <w:spacing w:val="0"/>
          <w:w w:val="100"/>
          <w:position w:val="0"/>
          <w:sz w:val="18"/>
          <w:szCs w:val="18"/>
        </w:rPr>
        <w:t>497.93</w:t>
      </w:r>
      <w:r>
        <w:rPr>
          <w:color w:val="000000"/>
          <w:spacing w:val="0"/>
          <w:w w:val="100"/>
          <w:position w:val="0"/>
        </w:rPr>
        <w:t>万份股票期权予以行 权。本次行权股份的上市时间为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日。本次行权完成后，公司注册资本也随着股份总数的增加而增加，由原来的 </w:t>
      </w:r>
      <w:r>
        <w:rPr>
          <w:rFonts w:ascii="Times New Roman" w:eastAsia="Times New Roman" w:hAnsi="Times New Roman" w:cs="Times New Roman"/>
          <w:color w:val="000000"/>
          <w:spacing w:val="0"/>
          <w:w w:val="100"/>
          <w:position w:val="0"/>
          <w:sz w:val="18"/>
          <w:szCs w:val="18"/>
        </w:rPr>
        <w:t>40,886.9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41,384.83</w:t>
      </w:r>
      <w:r>
        <w:rPr>
          <w:color w:val="000000"/>
          <w:spacing w:val="0"/>
          <w:w w:val="100"/>
          <w:position w:val="0"/>
        </w:rPr>
        <w:t>万元。</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285" w:name="bookmark285"/>
      <w:r>
        <w:rPr>
          <w:rFonts w:ascii="Times New Roman" w:eastAsia="Times New Roman" w:hAnsi="Times New Roman" w:cs="Times New Roman"/>
          <w:color w:val="000000"/>
          <w:spacing w:val="0"/>
          <w:w w:val="100"/>
          <w:position w:val="0"/>
          <w:sz w:val="18"/>
          <w:szCs w:val="18"/>
        </w:rPr>
        <w:t>4</w:t>
      </w:r>
      <w:bookmarkEnd w:id="285"/>
      <w:r>
        <w:rPr>
          <w:color w:val="000000"/>
          <w:spacing w:val="0"/>
          <w:w w:val="100"/>
          <w:position w:val="0"/>
        </w:rPr>
        <w:t>、</w:t>
        <w:tab/>
        <w:t>经中国证券监督管理委员会证监许可</w:t>
      </w:r>
      <w:r>
        <w:rPr>
          <w:rFonts w:ascii="Times New Roman" w:eastAsia="Times New Roman" w:hAnsi="Times New Roman" w:cs="Times New Roman"/>
          <w:color w:val="000000"/>
          <w:spacing w:val="0"/>
          <w:w w:val="100"/>
          <w:position w:val="0"/>
          <w:sz w:val="18"/>
          <w:szCs w:val="18"/>
        </w:rPr>
        <w:t>[2012]648</w:t>
      </w:r>
      <w:r>
        <w:rPr>
          <w:color w:val="000000"/>
          <w:spacing w:val="0"/>
          <w:w w:val="100"/>
          <w:position w:val="0"/>
        </w:rPr>
        <w:t>号文核准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公司向特定投资者非公开发行股票</w:t>
      </w:r>
      <w:r>
        <w:rPr>
          <w:rFonts w:ascii="Times New Roman" w:eastAsia="Times New Roman" w:hAnsi="Times New Roman" w:cs="Times New Roman"/>
          <w:color w:val="000000"/>
          <w:spacing w:val="0"/>
          <w:w w:val="100"/>
          <w:position w:val="0"/>
          <w:sz w:val="18"/>
          <w:szCs w:val="18"/>
        </w:rPr>
        <w:t>78,869,000</w:t>
      </w:r>
      <w:r>
        <w:rPr>
          <w:color w:val="000000"/>
          <w:spacing w:val="0"/>
          <w:w w:val="100"/>
          <w:position w:val="0"/>
        </w:rPr>
        <w:t>股，非公开发行股 票上市日为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日，发行对象承诺所购股份在发行结束之日起十二个月内不得转让。</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日，公司非公开发 行</w:t>
      </w:r>
      <w:r>
        <w:rPr>
          <w:rFonts w:ascii="Times New Roman" w:eastAsia="Times New Roman" w:hAnsi="Times New Roman" w:cs="Times New Roman"/>
          <w:color w:val="000000"/>
          <w:spacing w:val="0"/>
          <w:w w:val="100"/>
          <w:position w:val="0"/>
          <w:sz w:val="18"/>
          <w:szCs w:val="18"/>
        </w:rPr>
        <w:t>78,869,000</w:t>
      </w:r>
      <w:r>
        <w:rPr>
          <w:color w:val="000000"/>
          <w:spacing w:val="0"/>
          <w:w w:val="100"/>
          <w:position w:val="0"/>
        </w:rPr>
        <w:t>股解除限售。</w:t>
      </w:r>
    </w:p>
    <w:p>
      <w:pPr>
        <w:pStyle w:val="Style29"/>
        <w:keepNext w:val="0"/>
        <w:keepLines w:val="0"/>
        <w:widowControl w:val="0"/>
        <w:shd w:val="clear" w:color="auto" w:fill="auto"/>
        <w:tabs>
          <w:tab w:pos="354" w:val="left"/>
        </w:tabs>
        <w:bidi w:val="0"/>
        <w:spacing w:before="0" w:after="0" w:line="312" w:lineRule="exact"/>
        <w:ind w:left="0" w:right="0" w:firstLine="0"/>
        <w:jc w:val="left"/>
      </w:pPr>
      <w:bookmarkStart w:id="286" w:name="bookmark286"/>
      <w:r>
        <w:rPr>
          <w:rFonts w:ascii="Times New Roman" w:eastAsia="Times New Roman" w:hAnsi="Times New Roman" w:cs="Times New Roman"/>
          <w:color w:val="000000"/>
          <w:spacing w:val="0"/>
          <w:w w:val="100"/>
          <w:position w:val="0"/>
          <w:sz w:val="18"/>
          <w:szCs w:val="18"/>
        </w:rPr>
        <w:t>5</w:t>
      </w:r>
      <w:bookmarkEnd w:id="286"/>
      <w:r>
        <w:rPr>
          <w:color w:val="000000"/>
          <w:spacing w:val="0"/>
          <w:w w:val="100"/>
          <w:position w:val="0"/>
        </w:rPr>
        <w:t>、</w:t>
        <w:tab/>
        <w:t>公司原董事唐荣保先生离任，其所持公司股份按规定予以锁定。</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日，公司第五届董事会第二十九次会议审议通过了《关于公司股票期权激励计划首次授予第一个行权期可行权的 </w:t>
      </w:r>
      <w:r>
        <w:rPr>
          <w:color w:val="000000"/>
          <w:spacing w:val="0"/>
          <w:w w:val="100"/>
          <w:position w:val="0"/>
        </w:rPr>
        <w:t>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日，大华会计师事务所（特殊普通合伙）对本次行权出具了大华验字</w:t>
      </w:r>
      <w:r>
        <w:rPr>
          <w:rFonts w:ascii="Times New Roman" w:eastAsia="Times New Roman" w:hAnsi="Times New Roman" w:cs="Times New Roman"/>
          <w:color w:val="000000"/>
          <w:spacing w:val="0"/>
          <w:w w:val="100"/>
          <w:position w:val="0"/>
          <w:sz w:val="18"/>
          <w:szCs w:val="18"/>
        </w:rPr>
        <w:t>[2013]000152</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日，本次激励对象行权在中国证券登记结算有限责任公司深圳分公司办理了核准登记。</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股票期权行权股份在行权登记时由中国证券登记结算有限责任公司深圳分公司登记到激励对象证券账户。</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rPr>
        <w:t>V</w:t>
      </w:r>
      <w:r>
        <w:rPr>
          <w:color w:val="000000"/>
          <w:spacing w:val="0"/>
          <w:w w:val="100"/>
          <w:position w:val="0"/>
        </w:rPr>
        <w:t>适用口不适用</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本报告对基本每股收益、稀释每股收益等财务指标己按行权后的股本计算调整。</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二</w:t>
      </w:r>
      <w:bookmarkEnd w:id="289"/>
      <w:r>
        <w:rPr>
          <w:color w:val="000000"/>
          <w:spacing w:val="0"/>
          <w:w w:val="100"/>
          <w:position w:val="0"/>
          <w:sz w:val="24"/>
          <w:szCs w:val="24"/>
        </w:rPr>
        <w:t>、证券发行与上市情况</w:t>
      </w:r>
      <w:bookmarkEnd w:id="287"/>
      <w:bookmarkEnd w:id="288"/>
      <w:bookmarkEnd w:id="290"/>
    </w:p>
    <w:p>
      <w:pPr>
        <w:pStyle w:val="Style34"/>
        <w:keepNext/>
        <w:keepLines/>
        <w:widowControl w:val="0"/>
        <w:shd w:val="clear" w:color="auto" w:fill="auto"/>
        <w:bidi w:val="0"/>
        <w:spacing w:before="0" w:line="240" w:lineRule="auto"/>
        <w:ind w:left="0" w:right="0" w:firstLine="0"/>
        <w:jc w:val="both"/>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、报告期末近三年历次证券发行情况</w:t>
      </w:r>
      <w:bookmarkEnd w:id="291"/>
      <w:bookmarkEnd w:id="292"/>
      <w:bookmarkEnd w:id="294"/>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非公开发行</w:t>
            </w:r>
            <w:r>
              <w:rPr>
                <w:color w:val="000000"/>
                <w:spacing w:val="0"/>
                <w:w w:val="100"/>
                <w:position w:val="0"/>
                <w:sz w:val="16"/>
                <w:szCs w:val="16"/>
              </w:rPr>
              <w:t>A</w:t>
            </w:r>
            <w:r>
              <w:rPr>
                <w:color w:val="000000"/>
                <w:spacing w:val="0"/>
                <w:w w:val="100"/>
                <w:position w:val="0"/>
              </w:rPr>
              <w:t>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年度第一 期中小企业集合 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前三年历次证券发行情况的说明</w:t>
      </w:r>
    </w:p>
    <w:p>
      <w:pPr>
        <w:pStyle w:val="Style29"/>
        <w:keepNext w:val="0"/>
        <w:keepLines w:val="0"/>
        <w:widowControl w:val="0"/>
        <w:shd w:val="clear" w:color="auto" w:fill="auto"/>
        <w:tabs>
          <w:tab w:pos="651" w:val="left"/>
        </w:tabs>
        <w:bidi w:val="0"/>
        <w:spacing w:before="0" w:after="0" w:line="312" w:lineRule="exact"/>
        <w:ind w:left="0" w:right="0" w:firstLine="320"/>
        <w:jc w:val="both"/>
      </w:pPr>
      <w:bookmarkStart w:id="295" w:name="bookmark295"/>
      <w:r>
        <w:rPr>
          <w:rFonts w:ascii="Times New Roman" w:eastAsia="Times New Roman" w:hAnsi="Times New Roman" w:cs="Times New Roman"/>
          <w:color w:val="000000"/>
          <w:spacing w:val="0"/>
          <w:w w:val="100"/>
          <w:position w:val="0"/>
          <w:sz w:val="18"/>
          <w:szCs w:val="18"/>
        </w:rPr>
        <w:t>1</w:t>
      </w:r>
      <w:bookmarkEnd w:id="295"/>
      <w:r>
        <w:rPr>
          <w:color w:val="000000"/>
          <w:spacing w:val="0"/>
          <w:w w:val="100"/>
          <w:position w:val="0"/>
        </w:rPr>
        <w:t>、</w:t>
        <w:tab/>
        <w:t>公司经中国证券监督管理委员会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关于核准安徽鑫龙电器股份有限公司非公开发行股票的批复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[2012]648 </w:t>
      </w:r>
      <w:r>
        <w:rPr>
          <w:color w:val="000000"/>
          <w:spacing w:val="0"/>
          <w:w w:val="100"/>
          <w:position w:val="0"/>
        </w:rPr>
        <w:t>号）核准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公司获准非公开发行不超过</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日，公司向特定投资者非公开发行</w:t>
      </w:r>
      <w:r>
        <w:rPr>
          <w:rFonts w:ascii="Times New Roman" w:eastAsia="Times New Roman" w:hAnsi="Times New Roman" w:cs="Times New Roman"/>
          <w:color w:val="000000"/>
          <w:spacing w:val="0"/>
          <w:w w:val="100"/>
          <w:position w:val="0"/>
          <w:sz w:val="18"/>
          <w:szCs w:val="18"/>
        </w:rPr>
        <w:t>7,886.9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万股，发行价格为 </w:t>
      </w:r>
      <w:r>
        <w:rPr>
          <w:rFonts w:ascii="Times New Roman" w:eastAsia="Times New Roman" w:hAnsi="Times New Roman" w:cs="Times New Roman"/>
          <w:color w:val="000000"/>
          <w:spacing w:val="0"/>
          <w:w w:val="100"/>
          <w:position w:val="0"/>
          <w:sz w:val="18"/>
          <w:szCs w:val="18"/>
        </w:rPr>
        <w:t>6.72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日，大华会计师事务所出具了</w:t>
      </w:r>
      <w:r>
        <w:rPr>
          <w:rFonts w:ascii="Times New Roman" w:eastAsia="Times New Roman" w:hAnsi="Times New Roman" w:cs="Times New Roman"/>
          <w:color w:val="000000"/>
          <w:spacing w:val="0"/>
          <w:w w:val="100"/>
          <w:position w:val="0"/>
          <w:sz w:val="18"/>
          <w:szCs w:val="18"/>
        </w:rPr>
        <w:t>[2012]188</w:t>
      </w:r>
      <w:r>
        <w:rPr>
          <w:color w:val="000000"/>
          <w:spacing w:val="0"/>
          <w:w w:val="100"/>
          <w:position w:val="0"/>
        </w:rPr>
        <w:t>号《安徽鑫龙电器股份有限公司非公开发行人民币普通股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7,886.9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万股后实收股本的验资报告》。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日，公司非公开发行股票新增股份在深圳证券交易所上市。</w:t>
      </w:r>
    </w:p>
    <w:p>
      <w:pPr>
        <w:pStyle w:val="Style29"/>
        <w:keepNext w:val="0"/>
        <w:keepLines w:val="0"/>
        <w:widowControl w:val="0"/>
        <w:shd w:val="clear" w:color="auto" w:fill="auto"/>
        <w:tabs>
          <w:tab w:pos="646" w:val="left"/>
        </w:tabs>
        <w:bidi w:val="0"/>
        <w:spacing w:before="0" w:after="400" w:line="312" w:lineRule="exact"/>
        <w:ind w:left="0" w:right="0" w:firstLine="320"/>
        <w:jc w:val="both"/>
      </w:pPr>
      <w:bookmarkStart w:id="296" w:name="bookmark296"/>
      <w:r>
        <w:rPr>
          <w:rFonts w:ascii="Times New Roman" w:eastAsia="Times New Roman" w:hAnsi="Times New Roman" w:cs="Times New Roman"/>
          <w:color w:val="000000"/>
          <w:spacing w:val="0"/>
          <w:w w:val="100"/>
          <w:position w:val="0"/>
          <w:sz w:val="18"/>
          <w:szCs w:val="18"/>
        </w:rPr>
        <w:t>2</w:t>
      </w:r>
      <w:bookmarkEnd w:id="29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年第二次临时股东大会批准公司参与发行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年芜湖市第一期中小企业集合票据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（该中小企业集合票据 发行流程跨年度，现更名为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芜湖市</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年度第一期中小企业集合票据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日接到中国银行间市场交易 商协会《接受注册通知书》（中市协注</w:t>
      </w:r>
      <w:r>
        <w:rPr>
          <w:rFonts w:ascii="Times New Roman" w:eastAsia="Times New Roman" w:hAnsi="Times New Roman" w:cs="Times New Roman"/>
          <w:color w:val="000000"/>
          <w:spacing w:val="0"/>
          <w:w w:val="100"/>
          <w:position w:val="0"/>
          <w:sz w:val="18"/>
          <w:szCs w:val="18"/>
        </w:rPr>
        <w:t>[2012]SMECN18</w:t>
      </w:r>
      <w:r>
        <w:rPr>
          <w:color w:val="000000"/>
          <w:spacing w:val="0"/>
          <w:w w:val="100"/>
          <w:position w:val="0"/>
        </w:rPr>
        <w:t>号）</w:t>
      </w:r>
      <w:r>
        <w:rPr>
          <w:i/>
          <w:iCs/>
          <w:color w:val="000000"/>
          <w:spacing w:val="0"/>
          <w:w w:val="100"/>
          <w:position w:val="0"/>
        </w:rPr>
        <w:t>，</w:t>
      </w:r>
      <w:r>
        <w:rPr>
          <w:color w:val="000000"/>
          <w:spacing w:val="0"/>
          <w:w w:val="100"/>
          <w:position w:val="0"/>
        </w:rPr>
        <w:t>决定接受包括本公司在内的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家企业的集合票据注册，此次集 合票据总注册金额为人民币</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亿元，其中本公司发行金额为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亿元，公司与另外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家企业于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日发行芜湖市</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年度第一期中小企业集合票据，上市流通日为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日。本次集合票据由兴业银行股份有限公司主承销。</w:t>
      </w:r>
    </w:p>
    <w:p>
      <w:pPr>
        <w:pStyle w:val="Style34"/>
        <w:keepNext/>
        <w:keepLines/>
        <w:widowControl w:val="0"/>
        <w:shd w:val="clear" w:color="auto" w:fill="auto"/>
        <w:bidi w:val="0"/>
        <w:spacing w:before="0" w:after="260" w:line="240" w:lineRule="auto"/>
        <w:ind w:left="0" w:right="0" w:firstLine="0"/>
        <w:jc w:val="both"/>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、公司股份总数及股东结构的变动、公司资产和负债结构的变动情况说明</w:t>
      </w:r>
      <w:bookmarkEnd w:id="297"/>
      <w:bookmarkEnd w:id="298"/>
      <w:bookmarkEnd w:id="300"/>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报告期内公司由于实施股票期权激励计划首次授予第一个行权期行权，使得公司股份总数发生变化。</w:t>
      </w:r>
    </w:p>
    <w:p>
      <w:pPr>
        <w:pStyle w:val="Style29"/>
        <w:keepNext w:val="0"/>
        <w:keepLines w:val="0"/>
        <w:widowControl w:val="0"/>
        <w:shd w:val="clear" w:color="auto" w:fill="auto"/>
        <w:bidi w:val="0"/>
        <w:spacing w:before="0" w:after="0" w:line="312" w:lineRule="exact"/>
        <w:ind w:left="0" w:right="0" w:firstLine="380"/>
        <w:jc w:val="both"/>
        <w:sectPr>
          <w:footnotePr>
            <w:pos w:val="pageBottom"/>
            <w:numFmt w:val="decimal"/>
            <w:numRestart w:val="continuous"/>
          </w:footnotePr>
          <w:pgSz w:w="11900" w:h="16840"/>
          <w:pgMar w:top="1381" w:right="916" w:bottom="1453" w:left="986" w:header="0" w:footer="3" w:gutter="0"/>
          <w:cols w:space="720"/>
          <w:noEndnote/>
          <w:rtlGutter w:val="0"/>
          <w:docGrid w:linePitch="360"/>
        </w:sectPr>
      </w:pPr>
      <w:r>
        <w:rPr>
          <w:color w:val="000000"/>
          <w:spacing w:val="0"/>
          <w:w w:val="100"/>
          <w:position w:val="0"/>
        </w:rPr>
        <w:t>报告期内公司由于非公开发行股份解除限售以及公司原董事离任，使得公司股份结构发生了变化。</w:t>
      </w:r>
    </w:p>
    <w:p>
      <w:pPr>
        <w:pStyle w:val="Style34"/>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3</w:t>
      </w:r>
      <w:bookmarkEnd w:id="303"/>
      <w:r>
        <w:rPr>
          <w:color w:val="000000"/>
          <w:spacing w:val="0"/>
          <w:w w:val="100"/>
          <w:position w:val="0"/>
        </w:rPr>
        <w:t>、现存的内部职工股情况</w:t>
      </w:r>
      <w:bookmarkEnd w:id="301"/>
      <w:bookmarkEnd w:id="302"/>
      <w:bookmarkEnd w:id="304"/>
    </w:p>
    <w:tbl>
      <w:tblPr>
        <w:tblOverlap w:val="never"/>
        <w:jc w:val="center"/>
        <w:tblLayout w:type="fixed"/>
      </w:tblPr>
      <w:tblGrid>
        <w:gridCol w:w="2539"/>
        <w:gridCol w:w="3845"/>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现存的内部职工股情况的说明</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公司无内部职工股</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三</w:t>
      </w:r>
      <w:bookmarkEnd w:id="307"/>
      <w:r>
        <w:rPr>
          <w:color w:val="000000"/>
          <w:spacing w:val="0"/>
          <w:w w:val="100"/>
          <w:position w:val="0"/>
          <w:sz w:val="24"/>
          <w:szCs w:val="24"/>
        </w:rPr>
        <w:t>、股东和实际控制人情况</w:t>
      </w:r>
      <w:bookmarkEnd w:id="305"/>
      <w:bookmarkEnd w:id="306"/>
      <w:bookmarkEnd w:id="308"/>
    </w:p>
    <w:p>
      <w:pPr>
        <w:pStyle w:val="Style34"/>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、公司股东数量及持股情况</w:t>
      </w:r>
      <w:bookmarkEnd w:id="309"/>
      <w:bookmarkEnd w:id="310"/>
      <w:bookmarkEnd w:id="3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28,410</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tabs>
                <w:tab w:pos="4618"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29,863</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持股比例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束龙胜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85,467,34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73,100,50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芜湖市鑫诚科技 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29,320,93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国元证券股份有 限公司约定购回 专用账户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15,309,40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芜湖市建设投资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13,540,51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安徽省国有资产 运营有限公司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12,497,48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合肥世纪创新投 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10,226,33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-22,366,9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安徽鑫科新材料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-2,481,20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中广核财务有限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7,999,900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海通证券股份有 限公司约定购回 专用账户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中国工商银行一 浦银安盛价值成 长股票型证券投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中广核财务有限责任公司为公司非公开发行股票配售新股成为公司前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w:t>
            </w:r>
            <w:r>
              <w:rPr>
                <w:rFonts w:ascii="Times New Roman" w:eastAsia="Times New Roman" w:hAnsi="Times New Roman" w:cs="Times New Roman"/>
                <w:color w:val="000000"/>
                <w:spacing w:val="0"/>
                <w:w w:val="100"/>
                <w:position w:val="0"/>
                <w:sz w:val="18"/>
                <w:szCs w:val="18"/>
              </w:rPr>
              <w:t>2013</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3"/>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日锁定期满解禁。</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束龙胜为芜湖市鑫诚科技投资有限公司一致行动人，束龙胜持有本公司</w:t>
            </w:r>
            <w:r>
              <w:rPr>
                <w:rFonts w:ascii="Times New Roman" w:eastAsia="Times New Roman" w:hAnsi="Times New Roman" w:cs="Times New Roman"/>
                <w:color w:val="000000"/>
                <w:spacing w:val="0"/>
                <w:w w:val="100"/>
                <w:position w:val="0"/>
                <w:sz w:val="18"/>
                <w:szCs w:val="18"/>
              </w:rPr>
              <w:t>20.65%</w:t>
            </w:r>
            <w:r>
              <w:rPr>
                <w:color w:val="000000"/>
                <w:spacing w:val="0"/>
                <w:w w:val="100"/>
                <w:position w:val="0"/>
              </w:rPr>
              <w:t>的股份， 通过持有芜湖市鑫诚科技投资有限公司</w:t>
            </w:r>
            <w:r>
              <w:rPr>
                <w:rFonts w:ascii="Times New Roman" w:eastAsia="Times New Roman" w:hAnsi="Times New Roman" w:cs="Times New Roman"/>
                <w:color w:val="000000"/>
                <w:spacing w:val="0"/>
                <w:w w:val="100"/>
                <w:position w:val="0"/>
                <w:sz w:val="18"/>
                <w:szCs w:val="18"/>
              </w:rPr>
              <w:t>99.88</w:t>
            </w:r>
            <w:r>
              <w:rPr>
                <w:color w:val="000000"/>
                <w:spacing w:val="0"/>
                <w:w w:val="100"/>
                <w:position w:val="0"/>
              </w:rPr>
              <w:t>%的股份间接持有本公司</w:t>
            </w:r>
            <w:r>
              <w:rPr>
                <w:rFonts w:ascii="Times New Roman" w:eastAsia="Times New Roman" w:hAnsi="Times New Roman" w:cs="Times New Roman"/>
                <w:color w:val="000000"/>
                <w:spacing w:val="0"/>
                <w:w w:val="100"/>
                <w:position w:val="0"/>
                <w:sz w:val="18"/>
                <w:szCs w:val="18"/>
              </w:rPr>
              <w:t>7.08%</w:t>
            </w:r>
            <w:r>
              <w:rPr>
                <w:color w:val="000000"/>
                <w:spacing w:val="0"/>
                <w:w w:val="100"/>
                <w:position w:val="0"/>
              </w:rPr>
              <w:t>的股份， 合并持有本公司</w:t>
            </w:r>
            <w:r>
              <w:rPr>
                <w:rFonts w:ascii="Times New Roman" w:eastAsia="Times New Roman" w:hAnsi="Times New Roman" w:cs="Times New Roman"/>
                <w:color w:val="000000"/>
                <w:spacing w:val="0"/>
                <w:w w:val="100"/>
                <w:position w:val="0"/>
                <w:sz w:val="18"/>
                <w:szCs w:val="18"/>
              </w:rPr>
              <w:t>27.73%</w:t>
            </w:r>
            <w:r>
              <w:rPr>
                <w:color w:val="000000"/>
                <w:spacing w:val="0"/>
                <w:w w:val="100"/>
                <w:position w:val="0"/>
              </w:rPr>
              <w:t>的股份，为公司第一大股东和实际控制人。未知公司上述其他 股东之间是否存在关联关系及是否属于《上市公司股东持股变动信息披露管理办法》中 规定的一致行动人。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芜湖市鑫诚科技投资有限公司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29,320,936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29,320,936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国元证券股份有限公司约定购回 专用账户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15,309,400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15,309,400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芜湖市建设投资有限公司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13,540,512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安徽省国有资产运营有限公司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12,497,486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12,497,486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束龙胜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12,366,837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合肥世纪创新投资有限公司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10,226,336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安徽鑫科新材料股份有限公司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9,437,196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中广核财务有限责任公司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7,999,900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海通证券股份有限公司约定购回 专用账户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中国工商银行一浦银安盛价值成 长股票型证券投资基金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1,399,930</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束龙胜为芜湖市鑫诚科技投资有限公司一致行动人，束龙胜持有本公司</w:t>
            </w:r>
            <w:r>
              <w:rPr>
                <w:rFonts w:ascii="Times New Roman" w:eastAsia="Times New Roman" w:hAnsi="Times New Roman" w:cs="Times New Roman"/>
                <w:color w:val="000000"/>
                <w:spacing w:val="0"/>
                <w:w w:val="100"/>
                <w:position w:val="0"/>
                <w:sz w:val="18"/>
                <w:szCs w:val="18"/>
              </w:rPr>
              <w:t>20.65%</w:t>
            </w:r>
            <w:r>
              <w:rPr>
                <w:color w:val="000000"/>
                <w:spacing w:val="0"/>
                <w:w w:val="100"/>
                <w:position w:val="0"/>
              </w:rPr>
              <w:t>的股份， 通过持有芜湖市鑫诚科技投资有限公司</w:t>
            </w:r>
            <w:r>
              <w:rPr>
                <w:rFonts w:ascii="Times New Roman" w:eastAsia="Times New Roman" w:hAnsi="Times New Roman" w:cs="Times New Roman"/>
                <w:color w:val="000000"/>
                <w:spacing w:val="0"/>
                <w:w w:val="100"/>
                <w:position w:val="0"/>
                <w:sz w:val="18"/>
                <w:szCs w:val="18"/>
              </w:rPr>
              <w:t>99.88</w:t>
            </w:r>
            <w:r>
              <w:rPr>
                <w:color w:val="000000"/>
                <w:spacing w:val="0"/>
                <w:w w:val="100"/>
                <w:position w:val="0"/>
              </w:rPr>
              <w:t>%的股份间接持有本公司</w:t>
            </w:r>
            <w:r>
              <w:rPr>
                <w:rFonts w:ascii="Times New Roman" w:eastAsia="Times New Roman" w:hAnsi="Times New Roman" w:cs="Times New Roman"/>
                <w:color w:val="000000"/>
                <w:spacing w:val="0"/>
                <w:w w:val="100"/>
                <w:position w:val="0"/>
                <w:sz w:val="18"/>
                <w:szCs w:val="18"/>
              </w:rPr>
              <w:t>7.08%</w:t>
            </w:r>
            <w:r>
              <w:rPr>
                <w:color w:val="000000"/>
                <w:spacing w:val="0"/>
                <w:w w:val="100"/>
                <w:position w:val="0"/>
              </w:rPr>
              <w:t>的股份， 合并持有本公司</w:t>
            </w:r>
            <w:r>
              <w:rPr>
                <w:rFonts w:ascii="Times New Roman" w:eastAsia="Times New Roman" w:hAnsi="Times New Roman" w:cs="Times New Roman"/>
                <w:color w:val="000000"/>
                <w:spacing w:val="0"/>
                <w:w w:val="100"/>
                <w:position w:val="0"/>
                <w:sz w:val="18"/>
                <w:szCs w:val="18"/>
              </w:rPr>
              <w:t>27.73%</w:t>
            </w:r>
            <w:r>
              <w:rPr>
                <w:color w:val="000000"/>
                <w:spacing w:val="0"/>
                <w:w w:val="100"/>
                <w:position w:val="0"/>
              </w:rPr>
              <w:t>的股份，为公司第一大股东和实际控制人。未知公司上述其他 股东之间是否存在关联关系及是否属于《上市公司股东持股变动信息披露管理办法》中 规定的一致行动人。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是口否</w:t>
      </w:r>
    </w:p>
    <w:tbl>
      <w:tblPr>
        <w:tblOverlap w:val="never"/>
        <w:jc w:val="center"/>
        <w:tblLayout w:type="fixed"/>
      </w:tblPr>
      <w:tblGrid>
        <w:gridCol w:w="629"/>
        <w:gridCol w:w="3523"/>
        <w:gridCol w:w="2798"/>
        <w:gridCol w:w="1704"/>
        <w:gridCol w:w="1128"/>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证券公司约定购回专用帐户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股东证券帐户名称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约定购回股份数量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国元证券股份有限公司约定购回专用账户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芜湖市鸠江建设投资有限公司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15309400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海通证券股份有限公司约定购回专用账户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芜湖市鑫诚科技投资有限公司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381" w:right="916" w:bottom="1453" w:left="986"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、公司控股股东情况</w:t>
      </w:r>
      <w:bookmarkEnd w:id="313"/>
      <w:bookmarkEnd w:id="314"/>
      <w:bookmarkEnd w:id="316"/>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安徽鑫龙电器股份有限公司董事长</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、公司实际控制人情况</w:t>
      </w:r>
      <w:bookmarkEnd w:id="317"/>
      <w:bookmarkEnd w:id="318"/>
      <w:bookmarkEnd w:id="320"/>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安徽鑫龙电器股份有限公司董事长</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175760" cy="3169920"/>
            <wp:docPr id="205" name="Picutre 205"/>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9"/>
                    <a:stretch/>
                  </pic:blipFill>
                  <pic:spPr>
                    <a:xfrm>
                      <a:ext cx="4175760" cy="3169920"/>
                    </a:xfrm>
                    <a:prstGeom prst="rect"/>
                  </pic:spPr>
                </pic:pic>
              </a:graphicData>
            </a:graphic>
          </wp:inline>
        </w:drawing>
      </w:r>
    </w:p>
    <w:p>
      <w:pPr>
        <w:widowControl w:val="0"/>
        <w:spacing w:after="379" w:line="1" w:lineRule="exact"/>
      </w:pPr>
    </w:p>
    <w:p>
      <w:pPr>
        <w:pStyle w:val="Style59"/>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9"/>
        <w:keepNext/>
        <w:keepLines/>
        <w:widowControl w:val="0"/>
        <w:shd w:val="clear" w:color="auto" w:fill="auto"/>
        <w:bidi w:val="0"/>
        <w:spacing w:before="0" w:after="520" w:line="240" w:lineRule="auto"/>
        <w:ind w:left="0" w:right="0" w:firstLine="0"/>
        <w:jc w:val="center"/>
      </w:pPr>
      <w:bookmarkStart w:id="321" w:name="bookmark321"/>
      <w:bookmarkStart w:id="322" w:name="bookmark322"/>
      <w:bookmarkStart w:id="323" w:name="bookmark323"/>
      <w:r>
        <w:rPr>
          <w:color w:val="000000"/>
          <w:spacing w:val="0"/>
          <w:w w:val="100"/>
          <w:position w:val="0"/>
        </w:rPr>
        <w:t>第七节 董事、监事、高级管理人员和员工情况</w:t>
      </w:r>
      <w:bookmarkEnd w:id="321"/>
      <w:bookmarkEnd w:id="322"/>
      <w:bookmarkEnd w:id="323"/>
    </w:p>
    <w:p>
      <w:pPr>
        <w:pStyle w:val="Style25"/>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一</w:t>
      </w:r>
      <w:bookmarkEnd w:id="326"/>
      <w:r>
        <w:rPr>
          <w:color w:val="000000"/>
          <w:spacing w:val="0"/>
          <w:w w:val="100"/>
          <w:position w:val="0"/>
          <w:sz w:val="24"/>
          <w:szCs w:val="24"/>
        </w:rPr>
        <w:t>、董事、监事和高级管理人员持股变动</w:t>
      </w:r>
      <w:bookmarkEnd w:id="324"/>
      <w:bookmarkEnd w:id="325"/>
      <w:bookmarkEnd w:id="327"/>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1"/>
              <w:keepNext w:val="0"/>
              <w:keepLines w:val="0"/>
              <w:widowControl w:val="0"/>
              <w:shd w:val="clear" w:color="auto" w:fill="auto"/>
              <w:bidi w:val="0"/>
              <w:spacing w:before="0" w:after="0" w:line="312"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97,467,346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w:t>
            </w:r>
          </w:p>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85,467,346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姚禄仕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汪和俊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唐荣保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庄明福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陈邦莲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张鲁毅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查秉忠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梅红艳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董事会秘 书、副总经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程晓龙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陈士保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宛玉超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陶黎明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财务部负 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99,183,646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86,782,146</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240"/>
        <w:jc w:val="left"/>
      </w:pPr>
      <w:bookmarkStart w:id="328" w:name="bookmark328"/>
      <w:bookmarkStart w:id="329" w:name="bookmark329"/>
      <w:bookmarkStart w:id="330" w:name="bookmark330"/>
      <w:r>
        <w:rPr>
          <w:color w:val="000000"/>
          <w:spacing w:val="0"/>
          <w:w w:val="100"/>
          <w:position w:val="0"/>
          <w:sz w:val="24"/>
          <w:szCs w:val="24"/>
        </w:rPr>
        <w:t>、任职情况</w:t>
      </w:r>
      <w:bookmarkEnd w:id="328"/>
      <w:bookmarkEnd w:id="329"/>
      <w:bookmarkEnd w:id="330"/>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公司第六届董事会目前由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名董事组成，其中非独立董事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名：束龙胜先生、李小庆先生、张祥先生、孙国财先生；独 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名：江明先生、姚禄仕先生、汪和俊先生。</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公司第六届监事会目前由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名监事组成，其中非职工监事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名：张鲁毅先生，李瑾先生；职工监事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名：陈邦莲女士。</w:t>
      </w:r>
    </w:p>
    <w:p>
      <w:pPr>
        <w:pStyle w:val="Style29"/>
        <w:keepNext w:val="0"/>
        <w:keepLines w:val="0"/>
        <w:widowControl w:val="0"/>
        <w:shd w:val="clear" w:color="auto" w:fill="auto"/>
        <w:bidi w:val="0"/>
        <w:spacing w:before="0" w:after="100" w:line="313" w:lineRule="exact"/>
        <w:ind w:left="0" w:right="0"/>
        <w:jc w:val="both"/>
      </w:pPr>
      <w:r>
        <w:rPr>
          <w:color w:val="000000"/>
          <w:spacing w:val="0"/>
          <w:w w:val="100"/>
          <w:position w:val="0"/>
        </w:rPr>
        <w:t>王金海先生为公司总经理，汪宇先生为公司副总经理兼董事会秘书，李骏先生、程晓龙先生、付龙胜先生、陈士保先生 为副总经理，宛玉超先生为公司总工程师，陶黎明先生为公司财务负责人。</w:t>
      </w:r>
    </w:p>
    <w:p>
      <w:pPr>
        <w:pStyle w:val="Style29"/>
        <w:keepNext w:val="0"/>
        <w:keepLines w:val="0"/>
        <w:widowControl w:val="0"/>
        <w:shd w:val="clear" w:color="auto" w:fill="auto"/>
        <w:bidi w:val="0"/>
        <w:spacing w:before="0" w:after="0" w:line="360" w:lineRule="auto"/>
        <w:ind w:left="0" w:right="0" w:firstLine="440"/>
        <w:jc w:val="both"/>
      </w:pPr>
      <w:bookmarkStart w:id="331" w:name="bookmark331"/>
      <w:r>
        <w:rPr>
          <w:rFonts w:ascii="Times New Roman" w:eastAsia="Times New Roman" w:hAnsi="Times New Roman" w:cs="Times New Roman"/>
          <w:color w:val="000000"/>
          <w:spacing w:val="0"/>
          <w:w w:val="100"/>
          <w:position w:val="0"/>
          <w:sz w:val="18"/>
          <w:szCs w:val="18"/>
        </w:rPr>
        <w:t>1</w:t>
      </w:r>
      <w:bookmarkEnd w:id="331"/>
      <w:r>
        <w:rPr>
          <w:color w:val="000000"/>
          <w:spacing w:val="0"/>
          <w:w w:val="100"/>
          <w:position w:val="0"/>
        </w:rPr>
        <w:t>、董事任职情况</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束龙胜，男，中国国籍，未拥有永久境外居留权，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月出生，研究生学历，高级工程师。曾任铜陵市磷铵厂技术 员，芜湖市电器设备厂厂长、芜湖市时创信用担保有限公司董事。自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年起一直担任公司董事会董事，现任芜湖市鑫诚科 技投资有限公司董事长，安徽鑫龙自动化有限公司董事长、安徽鑫龙变压器有限公司董事长，安徽鑫东投资管理有限公司董 事长，安徽佑赛科技有限公司董事长，芜湖斯高思电器有限公司董事长。</w:t>
      </w:r>
    </w:p>
    <w:p>
      <w:pPr>
        <w:pStyle w:val="Style29"/>
        <w:keepNext w:val="0"/>
        <w:keepLines w:val="0"/>
        <w:widowControl w:val="0"/>
        <w:shd w:val="clear" w:color="auto" w:fill="auto"/>
        <w:bidi w:val="0"/>
        <w:spacing w:before="0" w:after="0" w:line="313" w:lineRule="exact"/>
        <w:ind w:left="0" w:right="0"/>
        <w:jc w:val="both"/>
      </w:pPr>
      <w:r>
        <w:rPr>
          <w:color w:val="000000"/>
          <w:spacing w:val="0"/>
          <w:w w:val="100"/>
          <w:position w:val="0"/>
        </w:rPr>
        <w:t>束龙胜先生曾任中国电工技术学会青年工作委员会委员、安徽省政协委员、芜湖市政协常委、芜湖市第十三届人大代表、 芜湖市工商业联合会第十届委员会会长，并获得安徽省劳动模范、安徽省优秀民营科技企业家、安徽省年度经济人物、芜湖 市创新创业优秀人才、合芜蚌自主创新人才等荣誉称号。</w:t>
      </w:r>
    </w:p>
    <w:p>
      <w:pPr>
        <w:pStyle w:val="Style29"/>
        <w:keepNext w:val="0"/>
        <w:keepLines w:val="0"/>
        <w:widowControl w:val="0"/>
        <w:shd w:val="clear" w:color="auto" w:fill="auto"/>
        <w:bidi w:val="0"/>
        <w:spacing w:before="0" w:after="0" w:line="313" w:lineRule="exact"/>
        <w:ind w:left="0" w:right="0"/>
        <w:jc w:val="both"/>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381" w:right="916" w:bottom="1453" w:left="986" w:header="0" w:footer="3" w:gutter="0"/>
          <w:cols w:space="720"/>
          <w:noEndnote/>
          <w:titlePg/>
          <w:rtlGutter w:val="0"/>
          <w:docGrid w:linePitch="360"/>
        </w:sectPr>
      </w:pPr>
      <w:r>
        <w:rPr>
          <w:color w:val="000000"/>
          <w:spacing w:val="0"/>
          <w:w w:val="100"/>
          <w:position w:val="0"/>
        </w:rPr>
        <w:t>李小庆，男，中国国籍，未拥有永久境外居留权，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月出生，本科学历，高级工程师。曾任芜湖市粮油食品局科 </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员，芜湖市益新面粉公司科长、副总经理。自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年起一直担任公司董事会董事、副总经理，现任公司董事、安徽鑫龙电力 工程安装有限公司董事长。</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张祥，男，中国国籍，未拥有永久境外居留权，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月出生，本科学历，高级工程师。曾任蚌埠柠檬酸厂能源办主 任。自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年起一直担任公司副总经理，现任公司董事、安徽鑫龙低压电器有限公司董事长，安徽鑫龙电器元件销售有限公 司董事长。</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孙国财，男，中国国籍，未拥有永久境外居留权，</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月出生，中专学历，高级工程师。曾任芜湖市开关总厂技术 副厂长，自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年起一直担任公司副总经理。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江明，男，中国国籍，未拥有永久境外居留权，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月出生，硕士学历，教授。曾在芜湖市弋江区挂任区委常委、 副区长等职，</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年获安徽省学术与技术带头人。现任本公司独立董事、安徽工程大学教授、科技处长等职。</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姚禄仕，男，中国国籍，未拥有永久境外居留权，</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月出生，博士学位。</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月至今在合肥工业大学管理学 院会计系任教。</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月至今任本公司独立董事。</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汪和俊，男，中国国籍，未拥有永久境外居留权，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月出生，大专学历，中国注册会计师，中国注册税务师。曾 就职于安徽无为国家粮食储备库、安徽永诚会计师事务所、安徽新安会计师事务所、开元信德会计师事务所安徽分所，现任 安徽和讯税务师事务所有限公司董事长。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月至今任本公司独立董事。</w:t>
      </w:r>
    </w:p>
    <w:p>
      <w:pPr>
        <w:pStyle w:val="Style29"/>
        <w:keepNext w:val="0"/>
        <w:keepLines w:val="0"/>
        <w:widowControl w:val="0"/>
        <w:shd w:val="clear" w:color="auto" w:fill="auto"/>
        <w:tabs>
          <w:tab w:pos="750" w:val="left"/>
        </w:tabs>
        <w:bidi w:val="0"/>
        <w:spacing w:before="0" w:after="0" w:line="360" w:lineRule="auto"/>
        <w:ind w:left="0" w:right="0" w:firstLine="440"/>
        <w:jc w:val="both"/>
      </w:pPr>
      <w:bookmarkStart w:id="332" w:name="bookmark332"/>
      <w:r>
        <w:rPr>
          <w:rFonts w:ascii="Times New Roman" w:eastAsia="Times New Roman" w:hAnsi="Times New Roman" w:cs="Times New Roman"/>
          <w:color w:val="000000"/>
          <w:spacing w:val="0"/>
          <w:w w:val="100"/>
          <w:position w:val="0"/>
          <w:sz w:val="18"/>
          <w:szCs w:val="18"/>
        </w:rPr>
        <w:t>2</w:t>
      </w:r>
      <w:bookmarkEnd w:id="332"/>
      <w:r>
        <w:rPr>
          <w:color w:val="000000"/>
          <w:spacing w:val="0"/>
          <w:w w:val="100"/>
          <w:position w:val="0"/>
        </w:rPr>
        <w:t>、</w:t>
        <w:tab/>
        <w:t>监事任职情况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陈邦莲，女，中国国籍，未拥有永久境外居留权，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月出生，中专学历。曾任公司第五届监事会监事，现任本公 司监事会主席。</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张鲁毅，男，中国国籍，未拥有永久境外居留权，</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月出生，本科学历，高级经济师。曾任安徽省财政厅副处长、 处长。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月任公司第五届董事会董事，现任本公司监事、安徽省国有资产运营有限公司董事长兼总经理。</w:t>
      </w:r>
    </w:p>
    <w:p>
      <w:pPr>
        <w:pStyle w:val="Style2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李瑾，男，中国国籍，未拥有永久境外居留权，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月出生，研究生在读。曾任安徽东向发展创新投资有限公司总 经理，现任本公司监事、芜湖市鸠江建设投资有限公司副总经理。</w:t>
      </w:r>
    </w:p>
    <w:p>
      <w:pPr>
        <w:pStyle w:val="Style29"/>
        <w:keepNext w:val="0"/>
        <w:keepLines w:val="0"/>
        <w:widowControl w:val="0"/>
        <w:shd w:val="clear" w:color="auto" w:fill="auto"/>
        <w:tabs>
          <w:tab w:pos="740" w:val="left"/>
        </w:tabs>
        <w:bidi w:val="0"/>
        <w:spacing w:before="0" w:after="0" w:line="360" w:lineRule="auto"/>
        <w:ind w:left="0" w:right="0" w:firstLine="440"/>
        <w:jc w:val="both"/>
      </w:pPr>
      <w:bookmarkStart w:id="333" w:name="bookmark333"/>
      <w:r>
        <w:rPr>
          <w:rFonts w:ascii="Times New Roman" w:eastAsia="Times New Roman" w:hAnsi="Times New Roman" w:cs="Times New Roman"/>
          <w:color w:val="000000"/>
          <w:spacing w:val="0"/>
          <w:w w:val="100"/>
          <w:position w:val="0"/>
          <w:sz w:val="18"/>
          <w:szCs w:val="18"/>
        </w:rPr>
        <w:t>3</w:t>
      </w:r>
      <w:bookmarkEnd w:id="333"/>
      <w:r>
        <w:rPr>
          <w:color w:val="000000"/>
          <w:spacing w:val="0"/>
          <w:w w:val="100"/>
          <w:position w:val="0"/>
        </w:rPr>
        <w:t>、</w:t>
        <w:tab/>
        <w:t>其他高级管理人员任职情况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王金海，男，中国国籍，未拥有永久境外居留权，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月出生，大专学历，高级经济师。曾就职于芜湖天安机电公 司任工程主管及业务主管，本公司销售二部业务主管、总经理助理及副总经理，自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年起一直担任公司总经理。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汪宇，男，中国国籍，未拥有永久境外居留权，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月出生，研究生学历，会计师。曾任芜湖缝纫机厂财务科副科 长、副厂长、厂长，芜湖凯元集团副总裁、总裁，本公司财务部经理、财务负责人。自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年起一直担任公司副总经理、董 事会秘书。</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李骏，男，中国国籍，未拥有永久境外居留权，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月出生，本科学历，高级工程师。曾就职于芜湖恒鑫集团。曾 任本公司第四届监事会监事。自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年起一直担任公司副总经理。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程晓龙，男，中国国籍，未拥有永久境外居留权，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月出生，研究生学历。曾任北京新力医疗设备有限公司副总 经理，芜湖消防器材厂总经济师，芜湖工艺美术厂副厂长。自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年起一直担任公司副总经理。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付龙胜，男，中国国籍，未拥有永久境外居留权，</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月出生，中专学历，工程师。曾任芜湖市开关总厂生产副厂 长。自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年起一直担任公司副总经理。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陈士保，男，中国国籍，无境外居留权，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月出生，中专学历，高级经济师，曾任安徽森源电器有限公司副总经 理、总经理。自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年起一直担任公司副总经理。</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宛玉超，男，中国国籍，未拥有永久境外居留权，</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月出生，本科学历。曾任芜湖市开关厂试验分厂副厂长，广 东东莞基业开关厂技术主管，本公司生产部经理、技术部经理、开发部主任、副总工程师。自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年起一直担任公司总工程 师。</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陶黎明，男，中国国籍，未拥有永久境外居留权，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月出生，本科学历，中国注册会计师。曾就职于芜湖市轻工 工艺品进出口公司，南京中达制膜（集团）股份有限公司。自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年起一直担任公司财务负责人。</w:t>
      </w:r>
    </w:p>
    <w:p>
      <w:pPr>
        <w:pStyle w:val="Style29"/>
        <w:keepNext w:val="0"/>
        <w:keepLines w:val="0"/>
        <w:widowControl w:val="0"/>
        <w:shd w:val="clear" w:color="auto" w:fill="auto"/>
        <w:bidi w:val="0"/>
        <w:spacing w:before="0" w:after="100" w:line="341"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担任的职务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张鲁毅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安徽省国有资产运营有限公司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芜湖市鸠江建设投资有限公司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合肥工业大学管理学院会计系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汪和俊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合伙人兼安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徽分所所长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安徽工程大学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教授、科技处 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三</w:t>
      </w:r>
      <w:bookmarkEnd w:id="336"/>
      <w:r>
        <w:rPr>
          <w:color w:val="000000"/>
          <w:spacing w:val="0"/>
          <w:w w:val="100"/>
          <w:position w:val="0"/>
          <w:sz w:val="24"/>
          <w:szCs w:val="24"/>
        </w:rPr>
        <w:t>、董事、监事、高级管理人员报酬情况</w:t>
      </w:r>
      <w:bookmarkEnd w:id="334"/>
      <w:bookmarkEnd w:id="335"/>
      <w:bookmarkEnd w:id="33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011"/>
        <w:gridCol w:w="7579"/>
      </w:tblGrid>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经董事会薪酬与考核委员会审定后提交董事会审议，决策程序符合《公司法》，《公司章程》， 《董事会薪酬委员会工作细则》的相关规定。</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董事、监事、高级管理人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员报酬确定依据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公司依据《高管人员薪酬管理制度》和股东大会审议通过的〈关于</w:t>
            </w:r>
            <w:r>
              <w:rPr>
                <w:color w:val="000000"/>
                <w:spacing w:val="0"/>
                <w:w w:val="100"/>
                <w:position w:val="0"/>
                <w:sz w:val="18"/>
                <w:szCs w:val="18"/>
              </w:rPr>
              <w:t>〈</w:t>
            </w:r>
            <w:r>
              <w:rPr>
                <w:color w:val="000000"/>
                <w:spacing w:val="0"/>
                <w:w w:val="100"/>
                <w:position w:val="0"/>
              </w:rPr>
              <w:t>安徽鑫龙电器股份有限公司 高级管理人员薪酬方案</w:t>
            </w:r>
            <w:r>
              <w:rPr>
                <w:color w:val="000000"/>
                <w:spacing w:val="0"/>
                <w:w w:val="100"/>
                <w:position w:val="0"/>
                <w:sz w:val="18"/>
                <w:szCs w:val="18"/>
              </w:rPr>
              <w:t>〉</w:t>
            </w:r>
            <w:r>
              <w:rPr>
                <w:color w:val="000000"/>
                <w:spacing w:val="0"/>
                <w:w w:val="100"/>
                <w:position w:val="0"/>
              </w:rPr>
              <w:t>的议案〉、《关于公司第六届董事会独立董事津贴的议案》以及董事会 审议通过的《关于调整公司高级管理人员的议案》确定董事、监事、高管人员报酬。</w:t>
            </w:r>
          </w:p>
        </w:tc>
      </w:tr>
      <w:tr>
        <w:trPr>
          <w:trHeight w:val="10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董事、监事和高级管理人 员报酬的实际支付情况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公司现任董事、监事、高级管理人员实际在公司领取报酬有</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人，截止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日，现任董 事、监事、高级管理人员在公司领取的年度报酬的总数为</w:t>
            </w:r>
            <w:r>
              <w:rPr>
                <w:rFonts w:ascii="Times New Roman" w:eastAsia="Times New Roman" w:hAnsi="Times New Roman" w:cs="Times New Roman"/>
                <w:color w:val="000000"/>
                <w:spacing w:val="0"/>
                <w:w w:val="100"/>
                <w:position w:val="0"/>
                <w:sz w:val="18"/>
                <w:szCs w:val="18"/>
              </w:rPr>
              <w:t>253.3</w:t>
            </w:r>
            <w:r>
              <w:rPr>
                <w:color w:val="000000"/>
                <w:spacing w:val="0"/>
                <w:w w:val="100"/>
                <w:position w:val="0"/>
              </w:rPr>
              <w:t>万元（税前），其中现任独立董事 在公司领取的津贴总额为</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万元（税前）。</w:t>
            </w:r>
          </w:p>
        </w:tc>
      </w:tr>
    </w:tbl>
    <w:p>
      <w:pPr>
        <w:widowControl w:val="0"/>
        <w:spacing w:after="3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姚禄仕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汪和俊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陈邦莲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张鲁毅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程晓龙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付龙胜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陈士保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宛玉超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陶黎明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唐荣保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庄明福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查秉忠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梅红艳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r>
    </w:tbl>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65"/>
        <w:gridCol w:w="960"/>
        <w:gridCol w:w="955"/>
        <w:gridCol w:w="955"/>
        <w:gridCol w:w="960"/>
        <w:gridCol w:w="955"/>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报告期内可 行权股数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报告期内已 行权股数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报告期内已 行权股数行 权价格（元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期初持有限 制性股票数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限制性股票 的授予价格</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期末持有限 制性股票数 量</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王金海（首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程晓龙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付龙胜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陈士保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宛玉超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陶黎明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财务部负责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本报告期，公司第五届董事会第二十九次会议审议通过了《关于公司股票期权激励计划首次授予第一个行权期 可行权的议案》，可行权日期间为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日止。公司董事、高级管理人员首次授 予第一个行权期可行权数量为</w:t>
            </w:r>
            <w:r>
              <w:rPr>
                <w:rFonts w:ascii="Times New Roman" w:eastAsia="Times New Roman" w:hAnsi="Times New Roman" w:cs="Times New Roman"/>
                <w:color w:val="000000"/>
                <w:spacing w:val="0"/>
                <w:w w:val="100"/>
                <w:position w:val="0"/>
                <w:sz w:val="18"/>
                <w:szCs w:val="18"/>
              </w:rPr>
              <w:t>3,120,000</w:t>
            </w:r>
            <w:r>
              <w:rPr>
                <w:color w:val="000000"/>
                <w:spacing w:val="0"/>
                <w:w w:val="100"/>
                <w:position w:val="0"/>
              </w:rPr>
              <w:t>份，行权价格为</w:t>
            </w:r>
            <w:r>
              <w:rPr>
                <w:rFonts w:ascii="Times New Roman" w:eastAsia="Times New Roman" w:hAnsi="Times New Roman" w:cs="Times New Roman"/>
                <w:color w:val="000000"/>
                <w:spacing w:val="0"/>
                <w:w w:val="100"/>
                <w:position w:val="0"/>
                <w:sz w:val="18"/>
                <w:szCs w:val="18"/>
              </w:rPr>
              <w:t>7.63</w:t>
            </w:r>
            <w:r>
              <w:rPr>
                <w:color w:val="000000"/>
                <w:spacing w:val="0"/>
                <w:w w:val="100"/>
                <w:position w:val="0"/>
              </w:rPr>
              <w:t>元，截止报告期末，公司董事、高级管理人员在 可行权日行权股份数为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份。</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四</w:t>
      </w:r>
      <w:bookmarkEnd w:id="340"/>
      <w:r>
        <w:rPr>
          <w:color w:val="000000"/>
          <w:spacing w:val="0"/>
          <w:w w:val="100"/>
          <w:position w:val="0"/>
          <w:sz w:val="24"/>
          <w:szCs w:val="24"/>
        </w:rPr>
        <w:t>、公司董事、监事、高级管理人员变动情况</w:t>
      </w:r>
      <w:bookmarkEnd w:id="338"/>
      <w:bookmarkEnd w:id="339"/>
      <w:bookmarkEnd w:id="341"/>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陈邦莲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张鲁毅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换届选举，董事任期届满，换届后改选为监事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唐荣保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庄明福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查秉忠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梅红艳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bl>
    <w:p>
      <w:pPr>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1381" w:right="916" w:bottom="1453" w:left="986" w:header="0" w:footer="3" w:gutter="0"/>
          <w:cols w:space="720"/>
          <w:noEndnote/>
          <w:titlePg/>
          <w:rtlGutter w:val="0"/>
          <w:docGrid w:linePitch="360"/>
        </w:sectPr>
      </w:pPr>
    </w:p>
    <w:tbl>
      <w:tblPr>
        <w:tblOverlap w:val="never"/>
        <w:jc w:val="center"/>
        <w:tblLayout w:type="fixed"/>
      </w:tblPr>
      <w:tblGrid>
        <w:gridCol w:w="1339"/>
        <w:gridCol w:w="1330"/>
        <w:gridCol w:w="1330"/>
        <w:gridCol w:w="1330"/>
        <w:gridCol w:w="4258"/>
      </w:tblGrid>
      <w:tr>
        <w:trPr>
          <w:trHeight w:val="7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bl>
    <w:p>
      <w:pPr>
        <w:widowControl w:val="0"/>
        <w:spacing w:after="319" w:line="1" w:lineRule="exact"/>
      </w:pPr>
    </w:p>
    <w:p>
      <w:pPr>
        <w:pStyle w:val="Style25"/>
        <w:keepNext/>
        <w:keepLines/>
        <w:widowControl w:val="0"/>
        <w:shd w:val="clear" w:color="auto" w:fill="auto"/>
        <w:tabs>
          <w:tab w:pos="517" w:val="left"/>
        </w:tabs>
        <w:bidi w:val="0"/>
        <w:spacing w:before="0" w:after="2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五</w:t>
      </w:r>
      <w:bookmarkEnd w:id="344"/>
      <w:r>
        <w:rPr>
          <w:color w:val="000000"/>
          <w:spacing w:val="0"/>
          <w:w w:val="100"/>
          <w:position w:val="0"/>
          <w:sz w:val="24"/>
          <w:szCs w:val="24"/>
        </w:rPr>
        <w:t>、</w:t>
        <w:tab/>
        <w:t>报告期核心技术团队或关键技术人员变动情况（非董事、监事、高级管理人员）</w:t>
      </w:r>
      <w:bookmarkEnd w:id="342"/>
      <w:bookmarkEnd w:id="343"/>
      <w:bookmarkEnd w:id="345"/>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报告期内，公司未发生核心技术团队或关键技术人员变动情况。</w:t>
      </w:r>
    </w:p>
    <w:p>
      <w:pPr>
        <w:pStyle w:val="Style25"/>
        <w:keepNext/>
        <w:keepLines/>
        <w:widowControl w:val="0"/>
        <w:shd w:val="clear" w:color="auto" w:fill="auto"/>
        <w:tabs>
          <w:tab w:pos="522" w:val="left"/>
        </w:tabs>
        <w:bidi w:val="0"/>
        <w:spacing w:before="0" w:after="24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六</w:t>
      </w:r>
      <w:bookmarkEnd w:id="348"/>
      <w:r>
        <w:rPr>
          <w:color w:val="000000"/>
          <w:spacing w:val="0"/>
          <w:w w:val="100"/>
          <w:position w:val="0"/>
          <w:sz w:val="24"/>
          <w:szCs w:val="24"/>
        </w:rPr>
        <w:t>、</w:t>
        <w:tab/>
        <w:t>公司员工情况</w:t>
      </w:r>
      <w:bookmarkEnd w:id="346"/>
      <w:bookmarkEnd w:id="347"/>
      <w:bookmarkEnd w:id="349"/>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日，本公司员工总人数为</w:t>
      </w:r>
      <w:r>
        <w:rPr>
          <w:rFonts w:ascii="Times New Roman" w:eastAsia="Times New Roman" w:hAnsi="Times New Roman" w:cs="Times New Roman"/>
          <w:color w:val="000000"/>
          <w:spacing w:val="0"/>
          <w:w w:val="100"/>
          <w:position w:val="0"/>
          <w:sz w:val="18"/>
          <w:szCs w:val="18"/>
        </w:rPr>
        <w:t>1,710</w:t>
      </w:r>
      <w:r>
        <w:rPr>
          <w:color w:val="000000"/>
          <w:spacing w:val="0"/>
          <w:w w:val="100"/>
          <w:position w:val="0"/>
        </w:rPr>
        <w:t>人，需承担费用的离退休职工人数为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人。在职员工专业构成及教育程度以 图表列示如下：</w:t>
      </w:r>
    </w:p>
    <w:p>
      <w:pPr>
        <w:pStyle w:val="Style29"/>
        <w:keepNext w:val="0"/>
        <w:keepLines w:val="0"/>
        <w:widowControl w:val="0"/>
        <w:shd w:val="clear" w:color="auto" w:fill="auto"/>
        <w:bidi w:val="0"/>
        <w:spacing w:before="0" w:line="326" w:lineRule="exact"/>
        <w:ind w:left="0" w:right="0" w:firstLine="0"/>
        <w:jc w:val="left"/>
      </w:pPr>
      <w:r>
        <w:rPr>
          <w:color w:val="000000"/>
          <w:spacing w:val="0"/>
          <w:w w:val="100"/>
          <w:position w:val="0"/>
        </w:rPr>
        <w:t>（一）员工专业构成情况如下：</w:t>
      </w:r>
    </w:p>
    <w:tbl>
      <w:tblPr>
        <w:tblOverlap w:val="never"/>
        <w:jc w:val="left"/>
        <w:tblLayout w:type="fixed"/>
      </w:tblPr>
      <w:tblGrid>
        <w:gridCol w:w="3043"/>
        <w:gridCol w:w="2078"/>
        <w:gridCol w:w="1915"/>
      </w:tblGrid>
      <w:tr>
        <w:trPr>
          <w:trHeight w:val="341" w:hRule="exact"/>
        </w:trPr>
        <w:tc>
          <w:tcPr>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w:t>
            </w:r>
          </w:p>
        </w:tc>
        <w:tc>
          <w:tcPr>
            <w:tcBorders>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48.42%</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25.73%</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w:t>
            </w:r>
          </w:p>
        </w:tc>
      </w:tr>
      <w:tr>
        <w:trPr>
          <w:trHeight w:val="346"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5.73%</w:t>
            </w:r>
          </w:p>
        </w:tc>
      </w:tr>
      <w:tr>
        <w:trPr>
          <w:trHeight w:val="360" w:hRule="exact"/>
        </w:trPr>
        <w:tc>
          <w:tcPr>
            <w:tcBorders>
              <w:top w:val="single" w:sz="4"/>
              <w:bottom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239" w:line="1" w:lineRule="exact"/>
      </w:pPr>
    </w:p>
    <w:p>
      <w:pPr>
        <w:pStyle w:val="Style34"/>
        <w:keepNext/>
        <w:keepLines/>
        <w:widowControl w:val="0"/>
        <w:shd w:val="clear" w:color="auto" w:fill="auto"/>
        <w:bidi w:val="0"/>
        <w:spacing w:before="0" w:after="520" w:line="240" w:lineRule="auto"/>
        <w:ind w:left="2760" w:right="0" w:firstLine="0"/>
        <w:jc w:val="left"/>
      </w:pPr>
      <w:bookmarkStart w:id="350" w:name="bookmark350"/>
      <w:bookmarkStart w:id="351" w:name="bookmark351"/>
      <w:bookmarkStart w:id="352" w:name="bookmark352"/>
      <w:r>
        <w:rPr>
          <w:color w:val="000000"/>
          <w:spacing w:val="0"/>
          <w:w w:val="100"/>
          <w:position w:val="0"/>
        </w:rPr>
        <w:t>专业构成</w:t>
      </w:r>
      <w:bookmarkEnd w:id="350"/>
      <w:bookmarkEnd w:id="351"/>
      <w:bookmarkEnd w:id="352"/>
    </w:p>
    <w:p>
      <w:pPr>
        <w:pStyle w:val="Style62"/>
        <w:keepNext w:val="0"/>
        <w:keepLines w:val="0"/>
        <w:widowControl w:val="0"/>
        <w:shd w:val="clear" w:color="auto" w:fill="auto"/>
        <w:bidi w:val="0"/>
        <w:spacing w:before="0" w:after="0" w:line="240" w:lineRule="auto"/>
        <w:ind w:left="293" w:right="0" w:firstLine="0"/>
        <w:jc w:val="left"/>
      </w:pPr>
      <w:r>
        <w:rPr>
          <w:color w:val="490049"/>
          <w:spacing w:val="0"/>
          <w:w w:val="100"/>
          <w:position w:val="0"/>
        </w:rPr>
        <w:t xml:space="preserve">■ </w:t>
      </w:r>
      <w:r>
        <w:rPr>
          <w:color w:val="000000"/>
          <w:spacing w:val="0"/>
          <w:w w:val="100"/>
          <w:position w:val="0"/>
        </w:rPr>
        <w:t xml:space="preserve">5. </w:t>
      </w:r>
      <w:r>
        <w:rPr>
          <w:color w:val="000000"/>
          <w:spacing w:val="0"/>
          <w:w w:val="100"/>
          <w:position w:val="0"/>
        </w:rPr>
        <w:t>73%</w:t>
      </w:r>
    </w:p>
    <w:p>
      <w:pPr>
        <w:widowControl w:val="0"/>
        <w:jc w:val="center"/>
        <w:rPr>
          <w:sz w:val="2"/>
          <w:szCs w:val="2"/>
        </w:rPr>
      </w:pPr>
      <w:r>
        <w:drawing>
          <wp:inline>
            <wp:extent cx="3169920" cy="853440"/>
            <wp:docPr id="246" name="Picutre 246"/>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03"/>
                    <a:stretch/>
                  </pic:blipFill>
                  <pic:spPr>
                    <a:xfrm>
                      <a:ext cx="3169920" cy="853440"/>
                    </a:xfrm>
                    <a:prstGeom prst="rect"/>
                  </pic:spPr>
                </pic:pic>
              </a:graphicData>
            </a:graphic>
          </wp:inline>
        </w:drawing>
      </w:r>
    </w:p>
    <w:p>
      <w:pPr>
        <w:widowControl w:val="0"/>
        <w:spacing w:after="1079" w:line="1" w:lineRule="exact"/>
      </w:pPr>
    </w:p>
    <w:p>
      <w:pPr>
        <w:pStyle w:val="Style27"/>
        <w:keepNext w:val="0"/>
        <w:keepLines w:val="0"/>
        <w:widowControl w:val="0"/>
        <w:shd w:val="clear" w:color="auto" w:fill="auto"/>
        <w:bidi w:val="0"/>
        <w:spacing w:before="0" w:after="0" w:line="240" w:lineRule="auto"/>
        <w:ind w:left="82" w:right="0" w:firstLine="0"/>
        <w:jc w:val="left"/>
      </w:pPr>
      <w:r>
        <w:rPr>
          <w:color w:val="000000"/>
          <w:spacing w:val="0"/>
          <w:w w:val="100"/>
          <w:position w:val="0"/>
        </w:rPr>
        <w:t>（二）员工受教育程度如下:</w:t>
      </w:r>
    </w:p>
    <w:tbl>
      <w:tblPr>
        <w:tblOverlap w:val="never"/>
        <w:jc w:val="left"/>
        <w:tblLayout w:type="fixed"/>
      </w:tblPr>
      <w:tblGrid>
        <w:gridCol w:w="3048"/>
        <w:gridCol w:w="2083"/>
        <w:gridCol w:w="1920"/>
      </w:tblGrid>
      <w:tr>
        <w:trPr>
          <w:trHeight w:val="331" w:hRule="exact"/>
        </w:trPr>
        <w:tc>
          <w:tcPr>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rPr>
              <w:t>教育程度类别</w:t>
            </w:r>
          </w:p>
        </w:tc>
        <w:tc>
          <w:tcPr>
            <w:tcBorders>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员工人数（人）</w:t>
            </w:r>
          </w:p>
        </w:tc>
        <w:tc>
          <w:tcPr>
            <w:tcBorders>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占总人数比例</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52.28%</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33.51%</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13.68%</w:t>
            </w:r>
          </w:p>
        </w:tc>
      </w:tr>
      <w:tr>
        <w:trPr>
          <w:trHeight w:val="346"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1" w:hRule="exact"/>
        </w:trPr>
        <w:tc>
          <w:tcPr>
            <w:tcBorders>
              <w:top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60" w:hRule="exact"/>
        </w:trPr>
        <w:tc>
          <w:tcPr>
            <w:tcBorders>
              <w:top w:val="single" w:sz="4"/>
              <w:bottom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959" w:line="1" w:lineRule="exact"/>
      </w:pPr>
    </w:p>
    <w:p>
      <w:pPr>
        <w:widowControl w:val="0"/>
        <w:jc w:val="center"/>
        <w:rPr>
          <w:sz w:val="2"/>
          <w:szCs w:val="2"/>
        </w:r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441" w:right="1114" w:bottom="193" w:left="1104" w:header="0" w:footer="3" w:gutter="0"/>
          <w:cols w:space="720"/>
          <w:noEndnote/>
          <w:rtlGutter w:val="0"/>
          <w:docGrid w:linePitch="360"/>
        </w:sectPr>
      </w:pPr>
      <w:r>
        <w:drawing>
          <wp:inline>
            <wp:extent cx="402590" cy="146050"/>
            <wp:docPr id="257" name="Picutre 257"/>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09"/>
                    <a:stretch/>
                  </pic:blipFill>
                  <pic:spPr>
                    <a:xfrm>
                      <a:ext cx="402590" cy="146050"/>
                    </a:xfrm>
                    <a:prstGeom prst="rect"/>
                  </pic:spPr>
                </pic:pic>
              </a:graphicData>
            </a:graphic>
          </wp:inline>
        </w:drawing>
      </w:r>
    </w:p>
    <w:p>
      <w:pPr>
        <w:widowControl w:val="0"/>
        <w:spacing w:before="9" w:after="9" w:line="240" w:lineRule="exact"/>
        <w:rPr>
          <w:sz w:val="19"/>
          <w:szCs w:val="19"/>
        </w:rPr>
      </w:pPr>
    </w:p>
    <w:p>
      <w:pPr>
        <w:widowControl w:val="0"/>
        <w:spacing w:line="1" w:lineRule="exact"/>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152" w:right="0" w:bottom="1" w:left="1105" w:header="0" w:footer="3" w:gutter="0"/>
          <w:cols w:space="720"/>
          <w:noEndnote/>
          <w:rtlGutter w:val="0"/>
          <w:docGrid w:linePitch="360"/>
        </w:sectPr>
      </w:pPr>
    </w:p>
    <w:p>
      <w:pPr>
        <w:pStyle w:val="Style29"/>
        <w:keepNext w:val="0"/>
        <w:keepLines w:val="0"/>
        <w:framePr w:w="9312" w:h="230" w:wrap="none" w:vAnchor="text" w:hAnchor="page" w:x="1471" w:y="3769"/>
        <w:widowControl w:val="0"/>
        <w:shd w:val="clear" w:color="auto" w:fill="auto"/>
        <w:bidi w:val="0"/>
        <w:spacing w:before="0" w:after="0" w:line="240" w:lineRule="auto"/>
        <w:ind w:left="0" w:right="0" w:firstLine="0"/>
        <w:jc w:val="left"/>
      </w:pPr>
      <w:r>
        <w:rPr>
          <w:color w:val="000000"/>
          <w:spacing w:val="0"/>
          <w:w w:val="100"/>
          <w:position w:val="0"/>
        </w:rPr>
        <w:t>公司已与全体员工签署了劳动合同，为员工办理了社会保险，同时建立了住房公积金制度，在执行国家用工制度、劳动</w:t>
      </w:r>
    </w:p>
    <w:p>
      <w:pPr>
        <w:pStyle w:val="Style29"/>
        <w:keepNext w:val="0"/>
        <w:keepLines w:val="0"/>
        <w:framePr w:w="5798" w:h="240" w:wrap="none" w:vAnchor="text" w:hAnchor="page" w:x="1106" w:y="4081"/>
        <w:widowControl w:val="0"/>
        <w:shd w:val="clear" w:color="auto" w:fill="auto"/>
        <w:bidi w:val="0"/>
        <w:spacing w:before="0" w:after="0" w:line="240" w:lineRule="auto"/>
        <w:ind w:left="0" w:right="0" w:firstLine="0"/>
        <w:jc w:val="left"/>
      </w:pPr>
      <w:r>
        <w:rPr>
          <w:color w:val="000000"/>
          <w:spacing w:val="0"/>
          <w:w w:val="100"/>
          <w:position w:val="0"/>
        </w:rPr>
        <w:t>保护制度、社会保障制度和医疗保障制度等方面不存在违法、违规情况。</w:t>
      </w:r>
    </w:p>
    <w:p>
      <w:pPr>
        <w:widowControl w:val="0"/>
        <w:spacing w:line="360" w:lineRule="exact"/>
      </w:pPr>
      <w:r>
        <w:drawing>
          <wp:anchor distT="0" distB="0" distL="0" distR="0" simplePos="0" relativeHeight="62914898" behindDoc="1" locked="0" layoutInCell="1" allowOverlap="1">
            <wp:simplePos x="0" y="0"/>
            <wp:positionH relativeFrom="page">
              <wp:posOffset>713740</wp:posOffset>
            </wp:positionH>
            <wp:positionV relativeFrom="paragraph">
              <wp:posOffset>12700</wp:posOffset>
            </wp:positionV>
            <wp:extent cx="4108450" cy="2353310"/>
            <wp:wrapNone/>
            <wp:docPr id="264" name="Shape 264"/>
            <a:graphic xmlns:a="http://schemas.openxmlformats.org/drawingml/2006/main">
              <a:graphicData uri="http://schemas.openxmlformats.org/drawingml/2006/picture">
                <pic:pic xmlns:pic="http://schemas.openxmlformats.org/drawingml/2006/picture">
                  <pic:nvPicPr>
                    <pic:cNvPr id="265" name="Picture box 265"/>
                    <pic:cNvPicPr/>
                  </pic:nvPicPr>
                  <pic:blipFill>
                    <a:blip r:embed="rId115"/>
                    <a:stretch/>
                  </pic:blipFill>
                  <pic:spPr>
                    <a:xfrm>
                      <a:ext cx="4108450" cy="2353310"/>
                    </a:xfrm>
                    <a:prstGeom prst="rect"/>
                  </pic:spPr>
                </pic:pic>
              </a:graphicData>
            </a:graphic>
          </wp:anchor>
        </w:drawing>
      </w:r>
      <w:r>
        <w:drawing>
          <wp:anchor distT="0" distB="0" distL="0" distR="0" simplePos="0" relativeHeight="62914899" behindDoc="1" locked="0" layoutInCell="1" allowOverlap="1">
            <wp:simplePos x="0" y="0"/>
            <wp:positionH relativeFrom="page">
              <wp:posOffset>5840730</wp:posOffset>
            </wp:positionH>
            <wp:positionV relativeFrom="paragraph">
              <wp:posOffset>8787130</wp:posOffset>
            </wp:positionV>
            <wp:extent cx="1718945" cy="981710"/>
            <wp:wrapNone/>
            <wp:docPr id="266" name="Shape 266"/>
            <a:graphic xmlns:a="http://schemas.openxmlformats.org/drawingml/2006/main">
              <a:graphicData uri="http://schemas.openxmlformats.org/drawingml/2006/picture">
                <pic:pic xmlns:pic="http://schemas.openxmlformats.org/drawingml/2006/picture">
                  <pic:nvPicPr>
                    <pic:cNvPr id="267" name="Picture box 267"/>
                    <pic:cNvPicPr/>
                  </pic:nvPicPr>
                  <pic:blipFill>
                    <a:blip r:embed="rId117"/>
                    <a:stretch/>
                  </pic:blipFill>
                  <pic:spPr>
                    <a:xfrm>
                      <a:ext cx="1718945" cy="9817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152" w:right="0" w:bottom="1" w:left="1105" w:header="0" w:footer="3" w:gutter="0"/>
          <w:cols w:space="720"/>
          <w:noEndnote/>
          <w:rtlGutter w:val="0"/>
          <w:docGrid w:linePitch="360"/>
        </w:sectPr>
      </w:pPr>
    </w:p>
    <w:p>
      <w:pPr>
        <w:pStyle w:val="Style9"/>
        <w:keepNext/>
        <w:keepLines/>
        <w:widowControl w:val="0"/>
        <w:shd w:val="clear" w:color="auto" w:fill="auto"/>
        <w:bidi w:val="0"/>
        <w:spacing w:before="560" w:line="240" w:lineRule="auto"/>
        <w:ind w:left="0" w:right="0" w:firstLine="0"/>
        <w:jc w:val="center"/>
      </w:pPr>
      <w:bookmarkStart w:id="353" w:name="bookmark353"/>
      <w:bookmarkStart w:id="354" w:name="bookmark354"/>
      <w:bookmarkStart w:id="355" w:name="bookmark355"/>
      <w:r>
        <w:rPr>
          <w:color w:val="000000"/>
          <w:spacing w:val="0"/>
          <w:w w:val="100"/>
          <w:position w:val="0"/>
        </w:rPr>
        <w:t>第八节公司治理</w:t>
      </w:r>
      <w:bookmarkEnd w:id="353"/>
      <w:bookmarkEnd w:id="354"/>
      <w:bookmarkEnd w:id="355"/>
    </w:p>
    <w:p>
      <w:pPr>
        <w:pStyle w:val="Style25"/>
        <w:keepNext/>
        <w:keepLines/>
        <w:widowControl w:val="0"/>
        <w:shd w:val="clear" w:color="auto" w:fill="auto"/>
        <w:bidi w:val="0"/>
        <w:spacing w:before="0" w:after="2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一</w:t>
      </w:r>
      <w:bookmarkEnd w:id="358"/>
      <w:r>
        <w:rPr>
          <w:color w:val="000000"/>
          <w:spacing w:val="0"/>
          <w:w w:val="100"/>
          <w:position w:val="0"/>
          <w:sz w:val="24"/>
          <w:szCs w:val="24"/>
        </w:rPr>
        <w:t>、公司治理的基本状况</w:t>
      </w:r>
      <w:bookmarkEnd w:id="356"/>
      <w:bookmarkEnd w:id="357"/>
      <w:bookmarkEnd w:id="359"/>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圳证券交易所中小企业板上市公司规范运作指引》和中国证监会有关法律法规的要求，不断完善公司治理结构，建立健全内 部管理和控制制度，进一步提高公司治理水平。前期，公司己经制定了《公司章程》、《股东大会议事规则》、《董事会议 事规则》、《监事会议事规则》、《总经理工作细则》、《内部控制总体规划》、《独立董事制度》、《董事会审计委员会 实施细则》、《董事会提名委员会实施细则》、《董事会薪酬与考核委员会实施细则》、《董事会战略委员会实施细则》、 《财务管理制度》、《资产减值准备管理制度》、《高级管理人员薪酬方案》、《募集资金管理制度》、《信息披露管理制 度》、《内部审计制度》、《重大信息内部报备制度》、《新闻发布管理制度》、《关联交易制度》、《投资者关系管理制 度》、《对外担保管理制度》、《内幕信息知情人备案制度》、《对外投资管理办法》、《内部责任追究制度》、《独立董 事年报工作制度》、《年报信息披露重大差错责任追究制度》、《审计委员会年报工作规程》、《外部信息使用人管理制度》、 《重大资金往来内部控制制度》、《累积投票制实施细则》、《内部控制制度》、《董事会秘书工作细则》、《重大资产投 资决策程序》、《重大经营决策程序与规则》、《内幕交易防控工作业绩考核评价办法》、《股东分红回报规划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2012-2014 </w:t>
      </w:r>
      <w:r>
        <w:rPr>
          <w:color w:val="000000"/>
          <w:spacing w:val="0"/>
          <w:w w:val="100"/>
          <w:position w:val="0"/>
        </w:rPr>
        <w:t>年）》、《公司银行间债市场债务融资工具信息披露事务管理制度》等制度。报告期内，公司修订了《公司章程》、《股东 大会议事规则》、《董事会议事规则》等制度，进一步完善了公司制度体系建设。</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截至报告期末，公司治理的实际状况符合中国证监会、深圳证券交易所等发布的法律法规和规范性文件的要求。</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公司治理的具体情况如下：</w:t>
      </w:r>
    </w:p>
    <w:p>
      <w:pPr>
        <w:pStyle w:val="Style29"/>
        <w:keepNext w:val="0"/>
        <w:keepLines w:val="0"/>
        <w:widowControl w:val="0"/>
        <w:shd w:val="clear" w:color="auto" w:fill="auto"/>
        <w:tabs>
          <w:tab w:pos="779" w:val="left"/>
        </w:tabs>
        <w:bidi w:val="0"/>
        <w:spacing w:before="0" w:after="0" w:line="312" w:lineRule="exact"/>
        <w:ind w:left="0" w:right="0" w:firstLine="500"/>
        <w:jc w:val="both"/>
      </w:pPr>
      <w:bookmarkStart w:id="360" w:name="bookmark360"/>
      <w:r>
        <w:rPr>
          <w:rFonts w:ascii="Times New Roman" w:eastAsia="Times New Roman" w:hAnsi="Times New Roman" w:cs="Times New Roman"/>
          <w:color w:val="000000"/>
          <w:spacing w:val="0"/>
          <w:w w:val="100"/>
          <w:position w:val="0"/>
          <w:sz w:val="18"/>
          <w:szCs w:val="18"/>
        </w:rPr>
        <w:t>1</w:t>
      </w:r>
      <w:bookmarkEnd w:id="360"/>
      <w:r>
        <w:rPr>
          <w:color w:val="000000"/>
          <w:spacing w:val="0"/>
          <w:w w:val="100"/>
          <w:position w:val="0"/>
        </w:rPr>
        <w:t>、</w:t>
        <w:tab/>
        <w:t>关于股东与股东大会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公司严格按照《公司章程》和《股东大会议事规则》的规定，规范股东大会的召集、召开及表决程序，并聘请律师出 席见证，确保全体股东、特别是中小股东享有平等地位，确保全体股东充分地行使自己的合法权利。</w:t>
      </w:r>
    </w:p>
    <w:p>
      <w:pPr>
        <w:pStyle w:val="Style29"/>
        <w:keepNext w:val="0"/>
        <w:keepLines w:val="0"/>
        <w:widowControl w:val="0"/>
        <w:shd w:val="clear" w:color="auto" w:fill="auto"/>
        <w:tabs>
          <w:tab w:pos="799" w:val="left"/>
        </w:tabs>
        <w:bidi w:val="0"/>
        <w:spacing w:before="0" w:after="0" w:line="312" w:lineRule="exact"/>
        <w:ind w:left="0" w:right="0" w:firstLine="500"/>
        <w:jc w:val="both"/>
      </w:pPr>
      <w:bookmarkStart w:id="361" w:name="bookmark361"/>
      <w:r>
        <w:rPr>
          <w:rFonts w:ascii="Times New Roman" w:eastAsia="Times New Roman" w:hAnsi="Times New Roman" w:cs="Times New Roman"/>
          <w:color w:val="000000"/>
          <w:spacing w:val="0"/>
          <w:w w:val="100"/>
          <w:position w:val="0"/>
          <w:sz w:val="18"/>
          <w:szCs w:val="18"/>
        </w:rPr>
        <w:t>2</w:t>
      </w:r>
      <w:bookmarkEnd w:id="361"/>
      <w:r>
        <w:rPr>
          <w:color w:val="000000"/>
          <w:spacing w:val="0"/>
          <w:w w:val="100"/>
          <w:position w:val="0"/>
        </w:rPr>
        <w:t>、</w:t>
        <w:tab/>
        <w:t>关于公司与控股股东</w:t>
      </w:r>
    </w:p>
    <w:p>
      <w:pPr>
        <w:pStyle w:val="Style29"/>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公司控股股东对公司依法通过股东大会行使出资人的权利，没有超越股东大会直接或间接干预公司的决策和经营活 动。公司拥有独立的业务和经营自主能力，在业务、人员、资产、机构、财务上独立于控股股东，公司董事会、监事会和内 部机构独立运作。公司控股股东能严格规范自己的行为，依法行使其权利并承担相应义务，没有超越公司股东大会直接或间 接干预公司的决策和经营活动的行为。公司不存在控股股东占用公司资金的现象，公司也没有为控股股东提供担保的情形。</w:t>
      </w:r>
    </w:p>
    <w:p>
      <w:pPr>
        <w:pStyle w:val="Style29"/>
        <w:keepNext w:val="0"/>
        <w:keepLines w:val="0"/>
        <w:widowControl w:val="0"/>
        <w:shd w:val="clear" w:color="auto" w:fill="auto"/>
        <w:tabs>
          <w:tab w:pos="799" w:val="left"/>
        </w:tabs>
        <w:bidi w:val="0"/>
        <w:spacing w:before="0" w:after="0" w:line="312" w:lineRule="exact"/>
        <w:ind w:left="0" w:right="0" w:firstLine="500"/>
        <w:jc w:val="both"/>
      </w:pPr>
      <w:bookmarkStart w:id="362" w:name="bookmark362"/>
      <w:r>
        <w:rPr>
          <w:rFonts w:ascii="Times New Roman" w:eastAsia="Times New Roman" w:hAnsi="Times New Roman" w:cs="Times New Roman"/>
          <w:color w:val="000000"/>
          <w:spacing w:val="0"/>
          <w:w w:val="100"/>
          <w:position w:val="0"/>
          <w:sz w:val="18"/>
          <w:szCs w:val="18"/>
        </w:rPr>
        <w:t>3</w:t>
      </w:r>
      <w:bookmarkEnd w:id="362"/>
      <w:r>
        <w:rPr>
          <w:color w:val="000000"/>
          <w:spacing w:val="0"/>
          <w:w w:val="100"/>
          <w:position w:val="0"/>
        </w:rPr>
        <w:t>、</w:t>
        <w:tab/>
        <w:t>关于董事与董事会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公司严格按照《公司法》、《公司章程》的规定，严格董事的选聘程序，确保公司董事选聘公开、公平、公正、独立。 公司目前有董事七名，其中独立董事三名，占全体董事的三分之一以上，董事会成员构成符合法律法规的要求。公司全体董 事能够按照《董事会议事规则》、《公司独立董事制度》、《深圳证券交易所中小企业板上市公司规范运作指引》的要求开 展工作，认真出席董事会和股东大会，认真履行董事诚实守信、勤勉尽责的义务。董事会下设战略委员会、审计委员会、薪 酬与考核委员会、提名委员会四个专门委员会，各尽其责，提高了董事会的办事效率。</w:t>
      </w:r>
    </w:p>
    <w:p>
      <w:pPr>
        <w:pStyle w:val="Style29"/>
        <w:keepNext w:val="0"/>
        <w:keepLines w:val="0"/>
        <w:widowControl w:val="0"/>
        <w:shd w:val="clear" w:color="auto" w:fill="auto"/>
        <w:tabs>
          <w:tab w:pos="799" w:val="left"/>
        </w:tabs>
        <w:bidi w:val="0"/>
        <w:spacing w:before="0" w:after="0" w:line="312" w:lineRule="exact"/>
        <w:ind w:left="0" w:right="0" w:firstLine="500"/>
        <w:jc w:val="both"/>
      </w:pPr>
      <w:bookmarkStart w:id="363" w:name="bookmark363"/>
      <w:r>
        <w:rPr>
          <w:rFonts w:ascii="Times New Roman" w:eastAsia="Times New Roman" w:hAnsi="Times New Roman" w:cs="Times New Roman"/>
          <w:color w:val="000000"/>
          <w:spacing w:val="0"/>
          <w:w w:val="100"/>
          <w:position w:val="0"/>
          <w:sz w:val="18"/>
          <w:szCs w:val="18"/>
        </w:rPr>
        <w:t>4</w:t>
      </w:r>
      <w:bookmarkEnd w:id="363"/>
      <w:r>
        <w:rPr>
          <w:color w:val="000000"/>
          <w:spacing w:val="0"/>
          <w:w w:val="100"/>
          <w:position w:val="0"/>
        </w:rPr>
        <w:t>、</w:t>
        <w:tab/>
        <w:t>关于监事与监事会</w:t>
      </w:r>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公司严格按照《公司章程》、《监事会议事规则》的规定，严格监事的选聘程序，确保公司监事选聘公开、公平、公 正、独立。公司监事会由三名监事组成，其中一名为职工代表监事，监事会成员构成符合相关法律法规的要求。公司全体 监事能够按照《公司章程》、《监事会议事规则》等制度，认真履行自己的职责，能够本着对股东负责的精神，认真出席监 事会和股东大会，列席董事会，对公司财务以及公司董事、总经理和其他高级管理人员履行职责的合法合规性进行监督，维 护公司及股东的合法权益。对公司运营情况、重大事项、关联交易对关联交易以及公司董事的选举、高级管理人员的聘任履 行程序、职责的合法合规性进行监督，维护了公司及股东的合法权益。</w:t>
      </w:r>
    </w:p>
    <w:p>
      <w:pPr>
        <w:pStyle w:val="Style29"/>
        <w:keepNext w:val="0"/>
        <w:keepLines w:val="0"/>
        <w:widowControl w:val="0"/>
        <w:shd w:val="clear" w:color="auto" w:fill="auto"/>
        <w:tabs>
          <w:tab w:pos="799" w:val="left"/>
        </w:tabs>
        <w:bidi w:val="0"/>
        <w:spacing w:before="0" w:after="0" w:line="312" w:lineRule="exact"/>
        <w:ind w:left="0" w:right="0" w:firstLine="500"/>
        <w:jc w:val="both"/>
      </w:pPr>
      <w:bookmarkStart w:id="364" w:name="bookmark364"/>
      <w:r>
        <w:rPr>
          <w:rFonts w:ascii="Times New Roman" w:eastAsia="Times New Roman" w:hAnsi="Times New Roman" w:cs="Times New Roman"/>
          <w:color w:val="000000"/>
          <w:spacing w:val="0"/>
          <w:w w:val="100"/>
          <w:position w:val="0"/>
          <w:sz w:val="18"/>
          <w:szCs w:val="18"/>
        </w:rPr>
        <w:t>5</w:t>
      </w:r>
      <w:bookmarkEnd w:id="364"/>
      <w:r>
        <w:rPr>
          <w:color w:val="000000"/>
          <w:spacing w:val="0"/>
          <w:w w:val="100"/>
          <w:position w:val="0"/>
        </w:rPr>
        <w:t>、</w:t>
        <w:tab/>
        <w:t>关于绩效评价与激励约束机制</w:t>
      </w:r>
    </w:p>
    <w:p>
      <w:pPr>
        <w:pStyle w:val="Style29"/>
        <w:keepNext w:val="0"/>
        <w:keepLines w:val="0"/>
        <w:widowControl w:val="0"/>
        <w:shd w:val="clear" w:color="auto" w:fill="auto"/>
        <w:bidi w:val="0"/>
        <w:spacing w:before="0" w:after="0" w:line="547" w:lineRule="exact"/>
        <w:ind w:left="0" w:right="0" w:firstLine="500"/>
        <w:jc w:val="both"/>
      </w:pPr>
      <w:r>
        <w:rPr>
          <w:color w:val="000000"/>
          <w:spacing w:val="0"/>
          <w:w w:val="100"/>
          <w:position w:val="0"/>
          <w:shd w:val="clear" w:color="auto" w:fill="FFFFFF"/>
        </w:rPr>
        <w:t>公司已建立较为完善的员工绩效评价和激励约束机制，同时建立了公正、透明的董事、监事和经营层人员等的绩效评</w:t>
      </w:r>
    </w:p>
    <w:p>
      <w:pPr>
        <w:pStyle w:val="Style38"/>
        <w:keepNext w:val="0"/>
        <w:keepLines w:val="0"/>
        <w:widowControl w:val="0"/>
        <w:shd w:val="clear" w:color="auto" w:fill="auto"/>
        <w:bidi w:val="0"/>
        <w:spacing w:before="0" w:after="100" w:line="547" w:lineRule="exact"/>
        <w:ind w:left="0" w:right="0" w:firstLine="0"/>
        <w:jc w:val="left"/>
        <w:sectPr>
          <w:footnotePr>
            <w:pos w:val="pageBottom"/>
            <w:numFmt w:val="decimal"/>
            <w:numRestart w:val="continuous"/>
          </w:footnotePr>
          <w:pgSz w:w="11900" w:h="16840"/>
          <w:pgMar w:top="1142" w:right="992" w:bottom="1188" w:left="905" w:header="0" w:footer="3" w:gutter="0"/>
          <w:cols w:space="720"/>
          <w:noEndnote/>
          <w:rtlGutter w:val="0"/>
          <w:docGrid w:linePitch="360"/>
        </w:sectPr>
      </w:pPr>
      <w:r>
        <w:rPr>
          <w:spacing w:val="0"/>
          <w:w w:val="100"/>
          <w:position w:val="0"/>
        </w:rPr>
        <w:t xml:space="preserve">cnii </w:t>
      </w:r>
      <w:r>
        <w:rPr>
          <w:color w:val="646464"/>
          <w:spacing w:val="0"/>
          <w:w w:val="100"/>
          <w:position w:val="0"/>
          <w:vertAlign w:val="subscript"/>
        </w:rPr>
        <w:t>49</w:t>
      </w:r>
      <w:r>
        <w:rPr>
          <w:color w:val="646464"/>
          <w:spacing w:val="0"/>
          <w:w w:val="100"/>
          <w:position w:val="0"/>
        </w:rPr>
        <w:t xml:space="preserve"> </w:t>
      </w:r>
    </w:p>
    <w:p>
      <w:pPr>
        <w:pStyle w:val="Style38"/>
        <w:keepNext w:val="0"/>
        <w:keepLines w:val="0"/>
        <w:widowControl w:val="0"/>
        <w:shd w:val="clear" w:color="auto" w:fill="auto"/>
        <w:bidi w:val="0"/>
        <w:spacing w:before="0" w:after="100" w:line="547" w:lineRule="exact"/>
        <w:ind w:left="0" w:right="0" w:firstLine="0"/>
        <w:jc w:val="left"/>
        <w:rPr>
          <w:sz w:val="17"/>
          <w:szCs w:val="17"/>
        </w:rPr>
      </w:pPr>
      <w:r>
        <w:rPr>
          <w:rStyle w:val="CharStyle30"/>
          <w:b w:val="0"/>
          <w:bCs w:val="0"/>
        </w:rPr>
        <w:t>价标准和激励约束机制，公司管理人员的聘任公开、透明，符合法律法规的规定。根据公司的发展，公司将进一步明确高级 管理人员的职责范围和工作指引。</w:t>
      </w:r>
    </w:p>
    <w:p>
      <w:pPr>
        <w:pStyle w:val="Style29"/>
        <w:keepNext w:val="0"/>
        <w:keepLines w:val="0"/>
        <w:widowControl w:val="0"/>
        <w:shd w:val="clear" w:color="auto" w:fill="auto"/>
        <w:tabs>
          <w:tab w:pos="849" w:val="left"/>
        </w:tabs>
        <w:bidi w:val="0"/>
        <w:spacing w:before="0" w:after="0" w:line="360" w:lineRule="auto"/>
        <w:ind w:left="0" w:right="0" w:firstLine="500"/>
        <w:jc w:val="both"/>
      </w:pPr>
      <w:bookmarkStart w:id="365" w:name="bookmark365"/>
      <w:r>
        <w:rPr>
          <w:rFonts w:ascii="Times New Roman" w:eastAsia="Times New Roman" w:hAnsi="Times New Roman" w:cs="Times New Roman"/>
          <w:color w:val="000000"/>
          <w:spacing w:val="0"/>
          <w:w w:val="100"/>
          <w:position w:val="0"/>
          <w:sz w:val="18"/>
          <w:szCs w:val="18"/>
        </w:rPr>
        <w:t>6</w:t>
      </w:r>
      <w:bookmarkEnd w:id="365"/>
      <w:r>
        <w:rPr>
          <w:color w:val="000000"/>
          <w:spacing w:val="0"/>
          <w:w w:val="100"/>
          <w:position w:val="0"/>
        </w:rPr>
        <w:t>、</w:t>
        <w:tab/>
        <w:t>关于相关利益者</w:t>
      </w:r>
    </w:p>
    <w:p>
      <w:pPr>
        <w:pStyle w:val="Style29"/>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公司能够充分尊重和维护相关利益者的合法利益，积极与相关利益者沟通和交流，努力实现股东、员工、社会等各方 利益的均衡，共同推进公司持续、健康地发展。</w:t>
      </w:r>
    </w:p>
    <w:p>
      <w:pPr>
        <w:pStyle w:val="Style29"/>
        <w:keepNext w:val="0"/>
        <w:keepLines w:val="0"/>
        <w:widowControl w:val="0"/>
        <w:shd w:val="clear" w:color="auto" w:fill="auto"/>
        <w:tabs>
          <w:tab w:pos="849" w:val="left"/>
        </w:tabs>
        <w:bidi w:val="0"/>
        <w:spacing w:before="0" w:after="0" w:line="360" w:lineRule="auto"/>
        <w:ind w:left="0" w:right="0" w:firstLine="500"/>
        <w:jc w:val="both"/>
      </w:pPr>
      <w:bookmarkStart w:id="366" w:name="bookmark366"/>
      <w:r>
        <w:rPr>
          <w:rFonts w:ascii="Times New Roman" w:eastAsia="Times New Roman" w:hAnsi="Times New Roman" w:cs="Times New Roman"/>
          <w:color w:val="000000"/>
          <w:spacing w:val="0"/>
          <w:w w:val="100"/>
          <w:position w:val="0"/>
          <w:sz w:val="18"/>
          <w:szCs w:val="18"/>
        </w:rPr>
        <w:t>7</w:t>
      </w:r>
      <w:bookmarkEnd w:id="366"/>
      <w:r>
        <w:rPr>
          <w:color w:val="000000"/>
          <w:spacing w:val="0"/>
          <w:w w:val="100"/>
          <w:position w:val="0"/>
        </w:rPr>
        <w:t>、</w:t>
        <w:tab/>
        <w:t>关于信息披露与透明度</w:t>
      </w:r>
    </w:p>
    <w:p>
      <w:pPr>
        <w:pStyle w:val="Style29"/>
        <w:keepNext w:val="0"/>
        <w:keepLines w:val="0"/>
        <w:widowControl w:val="0"/>
        <w:shd w:val="clear" w:color="auto" w:fill="auto"/>
        <w:bidi w:val="0"/>
        <w:spacing w:before="0" w:line="312" w:lineRule="exact"/>
        <w:ind w:left="0" w:right="0" w:firstLine="600"/>
        <w:jc w:val="both"/>
      </w:pPr>
      <w:r>
        <w:rPr>
          <w:color w:val="000000"/>
          <w:spacing w:val="0"/>
          <w:w w:val="100"/>
          <w:position w:val="0"/>
        </w:rPr>
        <w:t>公司已指定董事会秘书为公司的投资者关系管理负责人，负责公司的信息披露与投资者关系的管理，接待股东的来 访和咨询；指定《证券时报》、《中国证券报》、《上海证券报》和巨潮资讯网为公司信息披露的报纸和网站，严格按照有 关法律法规和《公司信息披露管理制度》的规定，做到公平、真实、准确、及时、完整的披露公司信息，并确保所有股东有 公平的机会获得信息。</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line="312" w:lineRule="exact"/>
        <w:ind w:left="0" w:right="0" w:firstLine="0"/>
        <w:jc w:val="left"/>
      </w:pPr>
      <w:r>
        <w:rPr>
          <w:color w:val="000000"/>
          <w:spacing w:val="0"/>
          <w:w w:val="100"/>
          <w:position w:val="0"/>
        </w:rPr>
        <w:t>公司治理专项活动开展情况以及内幕信息知情人登记管理制度的制定、实施情况</w:t>
      </w:r>
    </w:p>
    <w:p>
      <w:pPr>
        <w:pStyle w:val="Style29"/>
        <w:keepNext w:val="0"/>
        <w:keepLines w:val="0"/>
        <w:widowControl w:val="0"/>
        <w:shd w:val="clear" w:color="auto" w:fill="auto"/>
        <w:bidi w:val="0"/>
        <w:spacing w:before="0" w:after="360" w:line="311" w:lineRule="exact"/>
        <w:ind w:left="0" w:right="0" w:firstLine="380"/>
        <w:jc w:val="left"/>
      </w:pPr>
      <w:r>
        <w:rPr>
          <w:color w:val="000000"/>
          <w:spacing w:val="0"/>
          <w:w w:val="100"/>
          <w:position w:val="0"/>
        </w:rPr>
        <w:t>公司严格按照公司治理的相关制度要求规范运作，公司制定了《内幕信息知情人登记管理制度》，并严格依据制度要求 做好内部信息知情人的登记备案工作。报告期内，公司能够认真执行该项制度，在编制、披露公司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年一季报、半年度 报告、三季报、年度报告和运作公司非公开发行股票事宜等工作时，及时向深圳证券交易所报备《内幕信息知情人登记表》。 报告期内，公司未发现内幕信息知情人在影响公司股价的重大敏感信息披露前利用内幕信息买卖本公司股票情况，也未受到 监管部门因上述原因进行的查处及整改。</w:t>
      </w:r>
    </w:p>
    <w:p>
      <w:pPr>
        <w:pStyle w:val="Style25"/>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sz w:val="24"/>
          <w:szCs w:val="24"/>
        </w:rPr>
        <w:t>二</w:t>
      </w:r>
      <w:bookmarkEnd w:id="369"/>
      <w:r>
        <w:rPr>
          <w:color w:val="000000"/>
          <w:spacing w:val="0"/>
          <w:w w:val="100"/>
          <w:position w:val="0"/>
          <w:sz w:val="24"/>
          <w:szCs w:val="24"/>
        </w:rPr>
        <w:t>、报告期内召开的年度股东大会和临时股东大会的有关情况</w:t>
      </w:r>
      <w:bookmarkEnd w:id="367"/>
      <w:bookmarkEnd w:id="368"/>
      <w:bookmarkEnd w:id="370"/>
    </w:p>
    <w:p>
      <w:pPr>
        <w:pStyle w:val="Style34"/>
        <w:keepNext/>
        <w:keepLines/>
        <w:widowControl w:val="0"/>
        <w:shd w:val="clear" w:color="auto" w:fill="auto"/>
        <w:bidi w:val="0"/>
        <w:spacing w:before="0" w:after="30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1</w:t>
      </w:r>
      <w:bookmarkEnd w:id="373"/>
      <w:r>
        <w:rPr>
          <w:color w:val="000000"/>
          <w:spacing w:val="0"/>
          <w:w w:val="100"/>
          <w:position w:val="0"/>
        </w:rPr>
        <w:t>、本报告期年度股东大会情况</w:t>
      </w:r>
      <w:bookmarkEnd w:id="371"/>
      <w:bookmarkEnd w:id="372"/>
      <w:bookmarkEnd w:id="374"/>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披露索引</w:t>
            </w:r>
          </w:p>
        </w:tc>
      </w:tr>
      <w:tr>
        <w:trPr>
          <w:trHeight w:val="56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 会工作报告》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 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年度财务决算报告》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年度利润分配的预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报告及摘要》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年度募集资 金存放与使用情况 专项报告》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年度为控股子 公司提供担保额度 及控股子公司之间 的担保额度的议案》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、《关于续聘公司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年财务审计机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所有议案经审议全 部通过。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2013-026 </w:t>
            </w:r>
            <w:r>
              <w:rPr>
                <w:color w:val="000000"/>
                <w:spacing w:val="0"/>
                <w:w w:val="100"/>
                <w:position w:val="0"/>
              </w:rPr>
              <w:t>；公告名 称：</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 大会决议的公告》； 公告网站：巨潮资讯 网</w:t>
            </w:r>
          </w:p>
          <w:p>
            <w:pPr>
              <w:pStyle w:val="Style21"/>
              <w:keepNext w:val="0"/>
              <w:keepLines w:val="0"/>
              <w:widowControl w:val="0"/>
              <w:shd w:val="clear" w:color="auto" w:fill="auto"/>
              <w:bidi w:val="0"/>
              <w:spacing w:before="0" w:after="100" w:line="314"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1"/>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、本报告期临时股东大会情况</w:t>
      </w:r>
      <w:bookmarkEnd w:id="375"/>
      <w:bookmarkEnd w:id="376"/>
      <w:bookmarkEnd w:id="378"/>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《关于继续使用部 分闲置募集资金暂 时补充流动资金的 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经审议通过。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2013-009 </w:t>
            </w:r>
            <w:r>
              <w:rPr>
                <w:color w:val="000000"/>
                <w:spacing w:val="0"/>
                <w:w w:val="100"/>
                <w:position w:val="0"/>
              </w:rPr>
              <w:t>；公告名 称：</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 临时股东大会决议 的公告》；公告网站： 巨潮资讯网</w:t>
            </w:r>
          </w:p>
          <w:p>
            <w:pPr>
              <w:pStyle w:val="Style21"/>
              <w:keepNext w:val="0"/>
              <w:keepLines w:val="0"/>
              <w:widowControl w:val="0"/>
              <w:shd w:val="clear" w:color="auto" w:fill="auto"/>
              <w:bidi w:val="0"/>
              <w:spacing w:before="0" w:after="10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3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187"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《关于增加公司注 册资本以及修订〈公 司章程〉、〈股东大会 议事规则〉、〈董事会 议事规则〉的议案》</w:t>
            </w:r>
          </w:p>
          <w:p>
            <w:pPr>
              <w:pStyle w:val="Style21"/>
              <w:keepNext w:val="0"/>
              <w:keepLines w:val="0"/>
              <w:widowControl w:val="0"/>
              <w:shd w:val="clear" w:color="auto" w:fill="auto"/>
              <w:tabs>
                <w:tab w:pos="197"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《关于公司董事会 换届选举的议案》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《关于公司监事会 换届选举的议案》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《关于公司第六届 董事会独立董事津 贴的议案》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所有议案经审议全 部通过。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2013-043 </w:t>
            </w:r>
            <w:r>
              <w:rPr>
                <w:color w:val="000000"/>
                <w:spacing w:val="0"/>
                <w:w w:val="100"/>
                <w:position w:val="0"/>
              </w:rPr>
              <w:t>；公告名 称：</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 临时股东大会决议 的公告》；公告网站： 巨潮资讯网</w:t>
            </w:r>
          </w:p>
          <w:p>
            <w:pPr>
              <w:pStyle w:val="Style21"/>
              <w:keepNext w:val="0"/>
              <w:keepLines w:val="0"/>
              <w:widowControl w:val="0"/>
              <w:shd w:val="clear" w:color="auto" w:fill="auto"/>
              <w:bidi w:val="0"/>
              <w:spacing w:before="0" w:after="10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sz w:val="24"/>
          <w:szCs w:val="24"/>
        </w:rPr>
        <w:t>三</w:t>
      </w:r>
      <w:bookmarkEnd w:id="381"/>
      <w:r>
        <w:rPr>
          <w:color w:val="000000"/>
          <w:spacing w:val="0"/>
          <w:w w:val="100"/>
          <w:position w:val="0"/>
          <w:sz w:val="24"/>
          <w:szCs w:val="24"/>
        </w:rPr>
        <w:t>、报告期内独立董事履行职责的情况</w:t>
      </w:r>
      <w:bookmarkEnd w:id="379"/>
      <w:bookmarkEnd w:id="380"/>
      <w:bookmarkEnd w:id="382"/>
    </w:p>
    <w:p>
      <w:pPr>
        <w:pStyle w:val="Style34"/>
        <w:keepNext/>
        <w:keepLines/>
        <w:widowControl w:val="0"/>
        <w:shd w:val="clear" w:color="auto" w:fill="auto"/>
        <w:bidi w:val="0"/>
        <w:spacing w:before="0" w:after="32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、独立董事出席董事会及股东大会的情况</w:t>
      </w:r>
      <w:bookmarkEnd w:id="383"/>
      <w:bookmarkEnd w:id="384"/>
      <w:bookmarkEnd w:id="386"/>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汪和俊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肖学东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119"/>
          <w:footerReference w:type="default" r:id="rId120"/>
          <w:headerReference w:type="even" r:id="rId121"/>
          <w:footerReference w:type="even" r:id="rId122"/>
          <w:footnotePr>
            <w:pos w:val="pageBottom"/>
            <w:numFmt w:val="decimal"/>
            <w:numRestart w:val="continuous"/>
          </w:footnotePr>
          <w:type w:val="continuous"/>
          <w:pgSz w:w="11900" w:h="16840"/>
          <w:pgMar w:top="1142" w:right="992" w:bottom="1188" w:left="905" w:header="0" w:footer="3" w:gutter="0"/>
          <w:cols w:space="720"/>
          <w:noEndnote/>
          <w:rtlGutter w:val="0"/>
          <w:docGrid w:linePitch="360"/>
        </w:sectPr>
      </w:pPr>
      <w:r>
        <w:rPr>
          <w:color w:val="000000"/>
          <w:spacing w:val="0"/>
          <w:w w:val="100"/>
          <w:position w:val="0"/>
        </w:rPr>
        <w:t>连续两次未亲自出席董事会的说明</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独立董事对公司有关事项提出异议的情况</w:t>
      </w:r>
      <w:bookmarkEnd w:id="387"/>
      <w:bookmarkEnd w:id="388"/>
      <w:bookmarkEnd w:id="390"/>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w:t>
        <w:tab/>
        <w:t>独立董事履行职责的其他说明</w:t>
      </w:r>
      <w:bookmarkEnd w:id="391"/>
      <w:bookmarkEnd w:id="392"/>
      <w:bookmarkEnd w:id="394"/>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sz w:val="16"/>
          <w:szCs w:val="16"/>
        </w:rPr>
        <w:t>V</w:t>
      </w:r>
      <w:r>
        <w:rPr>
          <w:color w:val="000000"/>
          <w:spacing w:val="0"/>
          <w:w w:val="100"/>
          <w:position w:val="0"/>
        </w:rPr>
        <w:t>是口否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报告期内，公司独立董事严格按照有关法律、法规及《公司章程》的规定履行职责，均参加了全部董事会会议，认真审 议各项议案，客观的发表自己的看法及观点，并利用自己的专业知识做出独立、公正的判断。同时各位独立董事还深入公司 现场调查，了解公司经营状况和内部控制的建设及董事会决议执行情况，为公司经营和发展提出了合理化的意见。</w:t>
      </w:r>
    </w:p>
    <w:p>
      <w:pPr>
        <w:pStyle w:val="Style25"/>
        <w:keepNext/>
        <w:keepLines/>
        <w:widowControl w:val="0"/>
        <w:shd w:val="clear" w:color="auto" w:fill="auto"/>
        <w:bidi w:val="0"/>
        <w:spacing w:before="0" w:after="26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sz w:val="24"/>
          <w:szCs w:val="24"/>
        </w:rPr>
        <w:t>四</w:t>
      </w:r>
      <w:bookmarkEnd w:id="397"/>
      <w:r>
        <w:rPr>
          <w:color w:val="000000"/>
          <w:spacing w:val="0"/>
          <w:w w:val="100"/>
          <w:position w:val="0"/>
          <w:sz w:val="24"/>
          <w:szCs w:val="24"/>
        </w:rPr>
        <w:t>、董事会下设专门委员会在报告期内履行职责情况</w:t>
      </w:r>
      <w:bookmarkEnd w:id="395"/>
      <w:bookmarkEnd w:id="396"/>
      <w:bookmarkEnd w:id="398"/>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报告期内，董事会专门委员会根据《上市公司治理准则》、《公司章程》和公司《董事会各专业委员会工作细则》，切实履 职，开展了卓有成效的工作，规范了公司治理结构，为公司发展献言建策。现将各专门委员会具体工作报告如下：</w:t>
      </w:r>
    </w:p>
    <w:p>
      <w:pPr>
        <w:pStyle w:val="Style29"/>
        <w:keepNext w:val="0"/>
        <w:keepLines w:val="0"/>
        <w:widowControl w:val="0"/>
        <w:shd w:val="clear" w:color="auto" w:fill="auto"/>
        <w:tabs>
          <w:tab w:pos="334" w:val="left"/>
        </w:tabs>
        <w:bidi w:val="0"/>
        <w:spacing w:before="0" w:after="0" w:line="314" w:lineRule="exact"/>
        <w:ind w:left="0" w:right="0" w:firstLine="0"/>
        <w:jc w:val="both"/>
      </w:pPr>
      <w:bookmarkStart w:id="399" w:name="bookmark399"/>
      <w:r>
        <w:rPr>
          <w:rFonts w:ascii="Times New Roman" w:eastAsia="Times New Roman" w:hAnsi="Times New Roman" w:cs="Times New Roman"/>
          <w:color w:val="000000"/>
          <w:spacing w:val="0"/>
          <w:w w:val="100"/>
          <w:position w:val="0"/>
          <w:sz w:val="18"/>
          <w:szCs w:val="18"/>
        </w:rPr>
        <w:t>1</w:t>
      </w:r>
      <w:bookmarkEnd w:id="399"/>
      <w:r>
        <w:rPr>
          <w:color w:val="000000"/>
          <w:spacing w:val="0"/>
          <w:w w:val="100"/>
          <w:position w:val="0"/>
        </w:rPr>
        <w:t>、</w:t>
        <w:tab/>
        <w:t>董事会审计委员会的履职情况</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名董事组成，其中主任委员由专业会计人士汪和俊先生担任。</w:t>
      </w:r>
    </w:p>
    <w:p>
      <w:pPr>
        <w:pStyle w:val="Style29"/>
        <w:keepNext w:val="0"/>
        <w:keepLines w:val="0"/>
        <w:widowControl w:val="0"/>
        <w:shd w:val="clear" w:color="auto" w:fill="auto"/>
        <w:tabs>
          <w:tab w:pos="445" w:val="left"/>
        </w:tabs>
        <w:bidi w:val="0"/>
        <w:spacing w:before="0" w:after="0" w:line="314" w:lineRule="exact"/>
        <w:ind w:left="0" w:right="0" w:firstLine="0"/>
        <w:jc w:val="both"/>
      </w:pPr>
      <w:bookmarkStart w:id="400" w:name="bookmark400"/>
      <w:r>
        <w:rPr>
          <w:color w:val="000000"/>
          <w:spacing w:val="0"/>
          <w:w w:val="100"/>
          <w:position w:val="0"/>
        </w:rPr>
        <w:t>（</w:t>
      </w:r>
      <w:bookmarkEnd w:id="4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对会计师事务所审计工作的督促情况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在本次年度审计前，审计委员会与会计师事务所协商制订了公司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年度财务报告审计工作计划，并进行了深入沟通和 交流。审计委员会认为大华会计师事务所（特殊普通合伙）</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年度审计工作完全按照审计工作安排时间表进行，会计师事 务所完全履行其审计责任。</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本年度审计工作进展顺利，大华会计师事务所（特殊普通合伙）在双方约定时间内完成了公司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年年度审计工作，并 出具了审计意见，审计委员会对审计结果进行了审核。</w:t>
      </w:r>
    </w:p>
    <w:p>
      <w:pPr>
        <w:pStyle w:val="Style29"/>
        <w:keepNext w:val="0"/>
        <w:keepLines w:val="0"/>
        <w:widowControl w:val="0"/>
        <w:shd w:val="clear" w:color="auto" w:fill="auto"/>
        <w:tabs>
          <w:tab w:pos="445" w:val="left"/>
        </w:tabs>
        <w:bidi w:val="0"/>
        <w:spacing w:before="0" w:after="0" w:line="314" w:lineRule="exact"/>
        <w:ind w:left="0" w:right="0" w:firstLine="0"/>
        <w:jc w:val="left"/>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对会计师事务所出具的财务报告的审计意见</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大华会计师事务所（特殊普通合伙）审计小组在本年度审计中按照中国注册会计师审计准则的要求执行了恰当的审计程 序。董事会审计委员会根据会计师事务所对相关财务报表审计后出具的初步审计意见，对相关财务会计报表及附注进行了审 阅，认为：公司财务报表已经按照《企业会计准则》的规定编制，符合国家颁布的《企业会计准则》的要求，在所有重大方 面公允地反映了公司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年度的经营成果和现金流量。</w:t>
      </w:r>
    </w:p>
    <w:p>
      <w:pPr>
        <w:pStyle w:val="Style29"/>
        <w:keepNext w:val="0"/>
        <w:keepLines w:val="0"/>
        <w:widowControl w:val="0"/>
        <w:shd w:val="clear" w:color="auto" w:fill="auto"/>
        <w:tabs>
          <w:tab w:pos="445" w:val="left"/>
        </w:tabs>
        <w:bidi w:val="0"/>
        <w:spacing w:before="0" w:after="0" w:line="314" w:lineRule="exact"/>
        <w:ind w:left="0" w:right="0" w:firstLine="0"/>
        <w:jc w:val="left"/>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关于续聘会计师事务所决议</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大华会计师事务所（特殊普通合伙）在担任公司审计机构以来，公司与该所保持了良好的合作关系，审计委员会同意公 司续聘大华会计师事务所（特殊普通合伙）为公司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年度财务审计机构。</w:t>
      </w:r>
    </w:p>
    <w:p>
      <w:pPr>
        <w:pStyle w:val="Style29"/>
        <w:keepNext w:val="0"/>
        <w:keepLines w:val="0"/>
        <w:widowControl w:val="0"/>
        <w:shd w:val="clear" w:color="auto" w:fill="auto"/>
        <w:tabs>
          <w:tab w:pos="354" w:val="left"/>
        </w:tabs>
        <w:bidi w:val="0"/>
        <w:spacing w:before="0" w:after="0" w:line="314" w:lineRule="exact"/>
        <w:ind w:left="0" w:right="0" w:firstLine="0"/>
        <w:jc w:val="left"/>
      </w:pPr>
      <w:bookmarkStart w:id="403" w:name="bookmark403"/>
      <w:r>
        <w:rPr>
          <w:rFonts w:ascii="Times New Roman" w:eastAsia="Times New Roman" w:hAnsi="Times New Roman" w:cs="Times New Roman"/>
          <w:color w:val="000000"/>
          <w:spacing w:val="0"/>
          <w:w w:val="100"/>
          <w:position w:val="0"/>
          <w:sz w:val="18"/>
          <w:szCs w:val="18"/>
        </w:rPr>
        <w:t>2</w:t>
      </w:r>
      <w:bookmarkEnd w:id="403"/>
      <w:r>
        <w:rPr>
          <w:color w:val="000000"/>
          <w:spacing w:val="0"/>
          <w:w w:val="100"/>
          <w:position w:val="0"/>
        </w:rPr>
        <w:t>、</w:t>
        <w:tab/>
        <w:t>董事会提名委员会的履职情况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为强化董事会决策功能，董事会下设提名委员会，由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名为独立董事、并由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名独立董事担任召集人, 主要负责对公司董事、高级管理人员的人选、选择标准和程序审核并提出建议。</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报告期内，公司董事会提名委员会严格按照《独立董事制度》、《董事会提名委员会实施细则》等相关制度的规定工作， 持续研究与关注董事、高级管理人员选拔制度，认真审核与评价公司董事、高级管理人员候选，勤勉尽责地履行职责。</w:t>
      </w:r>
    </w:p>
    <w:p>
      <w:pPr>
        <w:pStyle w:val="Style29"/>
        <w:keepNext w:val="0"/>
        <w:keepLines w:val="0"/>
        <w:widowControl w:val="0"/>
        <w:shd w:val="clear" w:color="auto" w:fill="auto"/>
        <w:tabs>
          <w:tab w:pos="354" w:val="left"/>
        </w:tabs>
        <w:bidi w:val="0"/>
        <w:spacing w:before="0" w:after="0" w:line="314" w:lineRule="exact"/>
        <w:ind w:left="0" w:right="0" w:firstLine="0"/>
        <w:jc w:val="left"/>
      </w:pPr>
      <w:bookmarkStart w:id="404" w:name="bookmark404"/>
      <w:r>
        <w:rPr>
          <w:rFonts w:ascii="Times New Roman" w:eastAsia="Times New Roman" w:hAnsi="Times New Roman" w:cs="Times New Roman"/>
          <w:color w:val="000000"/>
          <w:spacing w:val="0"/>
          <w:w w:val="100"/>
          <w:position w:val="0"/>
          <w:sz w:val="18"/>
          <w:szCs w:val="18"/>
        </w:rPr>
        <w:t>3</w:t>
      </w:r>
      <w:bookmarkEnd w:id="404"/>
      <w:r>
        <w:rPr>
          <w:color w:val="000000"/>
          <w:spacing w:val="0"/>
          <w:w w:val="100"/>
          <w:position w:val="0"/>
        </w:rPr>
        <w:t>、</w:t>
        <w:tab/>
        <w:t>董事会薪酬与考核委员会履职情况</w:t>
      </w:r>
    </w:p>
    <w:p>
      <w:pPr>
        <w:pStyle w:val="Style29"/>
        <w:keepNext w:val="0"/>
        <w:keepLines w:val="0"/>
        <w:widowControl w:val="0"/>
        <w:shd w:val="clear" w:color="auto" w:fill="auto"/>
        <w:bidi w:val="0"/>
        <w:spacing w:before="0" w:after="180" w:line="314" w:lineRule="exact"/>
        <w:ind w:left="0" w:right="0" w:firstLine="380"/>
        <w:jc w:val="both"/>
      </w:pPr>
      <w:r>
        <w:rPr>
          <w:color w:val="000000"/>
          <w:spacing w:val="0"/>
          <w:w w:val="100"/>
          <w:position w:val="0"/>
        </w:rPr>
        <w:t>为强化董事会决策功能，董事会下设薪酬与考核委员会，由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名为独立董事、并由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 召集人，主要负责制定公司董事及高级管理人员的考核标准并进行考核、制定和审查公司董事及高级管理人员的薪酬政策与 方案等。公司董事会薪酬与考核委员会成立以来，积极参加公司关于薪酬与考核方面的会议，委员会成员积极工作，指导公</w:t>
      </w:r>
    </w:p>
    <w:p>
      <w:pPr>
        <w:pStyle w:val="Style38"/>
        <w:keepNext w:val="0"/>
        <w:keepLines w:val="0"/>
        <w:widowControl w:val="0"/>
        <w:shd w:val="clear" w:color="auto" w:fill="auto"/>
        <w:bidi w:val="0"/>
        <w:spacing w:before="0" w:after="100" w:line="240" w:lineRule="auto"/>
        <w:ind w:left="0" w:right="0" w:firstLine="0"/>
        <w:jc w:val="left"/>
        <w:rPr>
          <w:sz w:val="17"/>
          <w:szCs w:val="17"/>
        </w:rPr>
      </w:pPr>
      <w:r>
        <w:rPr>
          <w:spacing w:val="0"/>
          <w:w w:val="100"/>
          <w:position w:val="0"/>
          <w:sz w:val="36"/>
          <w:szCs w:val="36"/>
        </w:rPr>
        <w:t xml:space="preserve">cnii </w:t>
      </w:r>
      <w:r>
        <w:rPr>
          <w:color w:val="646464"/>
          <w:spacing w:val="0"/>
          <w:w w:val="100"/>
          <w:position w:val="0"/>
          <w:sz w:val="36"/>
          <w:szCs w:val="36"/>
          <w:vertAlign w:val="subscript"/>
        </w:rPr>
        <w:t>32</w:t>
      </w:r>
      <w:r>
        <w:rPr>
          <w:color w:val="646464"/>
          <w:spacing w:val="0"/>
          <w:w w:val="100"/>
          <w:position w:val="0"/>
          <w:sz w:val="36"/>
          <w:szCs w:val="36"/>
        </w:rPr>
        <w:t xml:space="preserve"> </w:t>
      </w:r>
      <w:r>
        <w:rPr>
          <w:rStyle w:val="CharStyle30"/>
          <w:b w:val="0"/>
          <w:bCs w:val="0"/>
        </w:rPr>
        <w:t>司董事会完善了公司薪酬体系。</w:t>
      </w:r>
    </w:p>
    <w:p>
      <w:pPr>
        <w:pStyle w:val="Style29"/>
        <w:keepNext w:val="0"/>
        <w:keepLines w:val="0"/>
        <w:widowControl w:val="0"/>
        <w:shd w:val="clear" w:color="auto" w:fill="auto"/>
        <w:bidi w:val="0"/>
        <w:spacing w:before="0" w:after="0" w:line="360" w:lineRule="auto"/>
        <w:ind w:left="0" w:right="0" w:firstLine="0"/>
        <w:jc w:val="left"/>
      </w:pPr>
      <w:bookmarkStart w:id="405" w:name="bookmark405"/>
      <w:r>
        <w:rPr>
          <w:rFonts w:ascii="Times New Roman" w:eastAsia="Times New Roman" w:hAnsi="Times New Roman" w:cs="Times New Roman"/>
          <w:color w:val="000000"/>
          <w:spacing w:val="0"/>
          <w:w w:val="100"/>
          <w:position w:val="0"/>
          <w:sz w:val="18"/>
          <w:szCs w:val="18"/>
        </w:rPr>
        <w:t>4</w:t>
      </w:r>
      <w:bookmarkEnd w:id="405"/>
      <w:r>
        <w:rPr>
          <w:color w:val="000000"/>
          <w:spacing w:val="0"/>
          <w:w w:val="100"/>
          <w:position w:val="0"/>
        </w:rPr>
        <w:t>、董事会战略委员会履职情况</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为强化董事会决策功能，董事会下设战略委员会，由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名董事组成，主要负责公司长期发展战略和重大投资决策研究并 提出建议。</w:t>
      </w:r>
    </w:p>
    <w:p>
      <w:pPr>
        <w:pStyle w:val="Style2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报告期内，公司董事会战略委员会密切跟踪和关注国家宏观经济政策、结构调整对公司的影响，结合公司战略发展要求, 向公司董事会提出有关结构调整、资本运作、长远发展等事项的建议，对促进公司持续、稳定发展，规避市场风险，起到了 积极良好的作用。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五</w:t>
      </w:r>
      <w:bookmarkEnd w:id="408"/>
      <w:r>
        <w:rPr>
          <w:color w:val="000000"/>
          <w:spacing w:val="0"/>
          <w:w w:val="100"/>
          <w:position w:val="0"/>
          <w:sz w:val="24"/>
          <w:szCs w:val="24"/>
        </w:rPr>
        <w:t>、</w:t>
        <w:tab/>
        <w:t>监事会工作情况</w:t>
      </w:r>
      <w:bookmarkEnd w:id="406"/>
      <w:bookmarkEnd w:id="407"/>
      <w:bookmarkEnd w:id="409"/>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22"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sz w:val="24"/>
          <w:szCs w:val="24"/>
        </w:rPr>
        <w:t>六</w:t>
      </w:r>
      <w:bookmarkEnd w:id="412"/>
      <w:r>
        <w:rPr>
          <w:color w:val="000000"/>
          <w:spacing w:val="0"/>
          <w:w w:val="100"/>
          <w:position w:val="0"/>
          <w:sz w:val="24"/>
          <w:szCs w:val="24"/>
        </w:rPr>
        <w:t>、</w:t>
        <w:tab/>
        <w:t>公司相对于控股股东在业务、人员、资产、机构、财务等方面的独立完整情况</w:t>
      </w:r>
      <w:bookmarkEnd w:id="410"/>
      <w:bookmarkEnd w:id="411"/>
      <w:bookmarkEnd w:id="413"/>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公司与控股股东在业务、资产、人员、财务、机构等方面完全分开，具有独立完整的业务及自主经营能力。具体的独立运营 情况如下：</w:t>
      </w:r>
    </w:p>
    <w:p>
      <w:pPr>
        <w:pStyle w:val="Style29"/>
        <w:keepNext w:val="0"/>
        <w:keepLines w:val="0"/>
        <w:widowControl w:val="0"/>
        <w:shd w:val="clear" w:color="auto" w:fill="auto"/>
        <w:tabs>
          <w:tab w:pos="349" w:val="left"/>
        </w:tabs>
        <w:bidi w:val="0"/>
        <w:spacing w:before="0" w:after="0" w:line="312" w:lineRule="exact"/>
        <w:ind w:left="0" w:right="0" w:firstLine="0"/>
        <w:jc w:val="left"/>
      </w:pPr>
      <w:bookmarkStart w:id="414" w:name="bookmark414"/>
      <w:r>
        <w:rPr>
          <w:rFonts w:ascii="Times New Roman" w:eastAsia="Times New Roman" w:hAnsi="Times New Roman" w:cs="Times New Roman"/>
          <w:color w:val="000000"/>
          <w:spacing w:val="0"/>
          <w:w w:val="100"/>
          <w:position w:val="0"/>
          <w:sz w:val="18"/>
          <w:szCs w:val="18"/>
        </w:rPr>
        <w:t>1</w:t>
      </w:r>
      <w:bookmarkEnd w:id="414"/>
      <w:r>
        <w:rPr>
          <w:color w:val="000000"/>
          <w:spacing w:val="0"/>
          <w:w w:val="100"/>
          <w:position w:val="0"/>
        </w:rPr>
        <w:t>、</w:t>
        <w:tab/>
        <w:t>业务方面：公司业务结构完整，自主独立经营，与控股股东之间无同业竞争，控股股东不存在直接或间接干预公司经营 运作的情形。</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415" w:name="bookmark415"/>
      <w:r>
        <w:rPr>
          <w:rFonts w:ascii="Times New Roman" w:eastAsia="Times New Roman" w:hAnsi="Times New Roman" w:cs="Times New Roman"/>
          <w:color w:val="000000"/>
          <w:spacing w:val="0"/>
          <w:w w:val="100"/>
          <w:position w:val="0"/>
          <w:sz w:val="18"/>
          <w:szCs w:val="18"/>
        </w:rPr>
        <w:t>2</w:t>
      </w:r>
      <w:bookmarkEnd w:id="415"/>
      <w:r>
        <w:rPr>
          <w:color w:val="000000"/>
          <w:spacing w:val="0"/>
          <w:w w:val="100"/>
          <w:position w:val="0"/>
        </w:rPr>
        <w:t>、</w:t>
        <w:tab/>
        <w:t>人员方面：公司在劳动、人事及工资管理等各方面均独立于控股股东。总经理、副总经理、董事会秘书、财务负责人等 高级管理人员均专职在本公司工作并领取报酬，未在股东单位担任任何行政职务。</w:t>
      </w:r>
    </w:p>
    <w:p>
      <w:pPr>
        <w:pStyle w:val="Style29"/>
        <w:keepNext w:val="0"/>
        <w:keepLines w:val="0"/>
        <w:widowControl w:val="0"/>
        <w:shd w:val="clear" w:color="auto" w:fill="auto"/>
        <w:tabs>
          <w:tab w:pos="354" w:val="left"/>
        </w:tabs>
        <w:bidi w:val="0"/>
        <w:spacing w:before="0" w:after="0" w:line="317" w:lineRule="exact"/>
        <w:ind w:left="0" w:right="0" w:firstLine="0"/>
        <w:jc w:val="left"/>
      </w:pPr>
      <w:bookmarkStart w:id="416" w:name="bookmark416"/>
      <w:r>
        <w:rPr>
          <w:rFonts w:ascii="Times New Roman" w:eastAsia="Times New Roman" w:hAnsi="Times New Roman" w:cs="Times New Roman"/>
          <w:color w:val="000000"/>
          <w:spacing w:val="0"/>
          <w:w w:val="100"/>
          <w:position w:val="0"/>
          <w:sz w:val="18"/>
          <w:szCs w:val="18"/>
        </w:rPr>
        <w:t>3</w:t>
      </w:r>
      <w:bookmarkEnd w:id="416"/>
      <w:r>
        <w:rPr>
          <w:color w:val="000000"/>
          <w:spacing w:val="0"/>
          <w:w w:val="100"/>
          <w:position w:val="0"/>
        </w:rPr>
        <w:t>、</w:t>
        <w:tab/>
        <w:t>资产方面：公司有独立的办公场地，拥有独立完整的生产、供应、销售体系及辅助配套设施，拥有独立的工业产权、商 标、非专利技术等无形资产。</w:t>
      </w:r>
    </w:p>
    <w:p>
      <w:pPr>
        <w:pStyle w:val="Style29"/>
        <w:keepNext w:val="0"/>
        <w:keepLines w:val="0"/>
        <w:widowControl w:val="0"/>
        <w:shd w:val="clear" w:color="auto" w:fill="auto"/>
        <w:tabs>
          <w:tab w:pos="354" w:val="left"/>
        </w:tabs>
        <w:bidi w:val="0"/>
        <w:spacing w:before="0" w:after="0" w:line="322" w:lineRule="exact"/>
        <w:ind w:left="0" w:right="0" w:firstLine="0"/>
        <w:jc w:val="left"/>
      </w:pPr>
      <w:bookmarkStart w:id="417" w:name="bookmark417"/>
      <w:r>
        <w:rPr>
          <w:rFonts w:ascii="Times New Roman" w:eastAsia="Times New Roman" w:hAnsi="Times New Roman" w:cs="Times New Roman"/>
          <w:color w:val="000000"/>
          <w:spacing w:val="0"/>
          <w:w w:val="100"/>
          <w:position w:val="0"/>
          <w:sz w:val="18"/>
          <w:szCs w:val="18"/>
        </w:rPr>
        <w:t>4</w:t>
      </w:r>
      <w:bookmarkEnd w:id="417"/>
      <w:r>
        <w:rPr>
          <w:color w:val="000000"/>
          <w:spacing w:val="0"/>
          <w:w w:val="100"/>
          <w:position w:val="0"/>
        </w:rPr>
        <w:t>、</w:t>
        <w:tab/>
        <w:t>机构方面：公司设立了健全的组织体系，董事会、监事会、经理层、技术部、生产部等内部机构独立运作，不存在与控 股股东之间的从属关系。</w:t>
      </w:r>
    </w:p>
    <w:p>
      <w:pPr>
        <w:pStyle w:val="Style29"/>
        <w:keepNext w:val="0"/>
        <w:keepLines w:val="0"/>
        <w:widowControl w:val="0"/>
        <w:shd w:val="clear" w:color="auto" w:fill="auto"/>
        <w:tabs>
          <w:tab w:pos="354" w:val="left"/>
        </w:tabs>
        <w:bidi w:val="0"/>
        <w:spacing w:before="0" w:after="360" w:line="322" w:lineRule="exact"/>
        <w:ind w:left="0" w:right="0" w:firstLine="0"/>
        <w:jc w:val="left"/>
      </w:pPr>
      <w:bookmarkStart w:id="418" w:name="bookmark418"/>
      <w:r>
        <w:rPr>
          <w:rFonts w:ascii="Times New Roman" w:eastAsia="Times New Roman" w:hAnsi="Times New Roman" w:cs="Times New Roman"/>
          <w:color w:val="000000"/>
          <w:spacing w:val="0"/>
          <w:w w:val="100"/>
          <w:position w:val="0"/>
          <w:sz w:val="18"/>
          <w:szCs w:val="18"/>
        </w:rPr>
        <w:t>5</w:t>
      </w:r>
      <w:bookmarkEnd w:id="418"/>
      <w:r>
        <w:rPr>
          <w:color w:val="000000"/>
          <w:spacing w:val="0"/>
          <w:w w:val="100"/>
          <w:position w:val="0"/>
        </w:rPr>
        <w:t>、</w:t>
        <w:tab/>
        <w:t>财务方面：公司设有独立的财务部门，并建立了独立的会计核算体系和财务管理制度，独立在银行开户、并依法独立纳 税。</w:t>
      </w:r>
    </w:p>
    <w:p>
      <w:pPr>
        <w:pStyle w:val="Style25"/>
        <w:keepNext/>
        <w:keepLines/>
        <w:widowControl w:val="0"/>
        <w:shd w:val="clear" w:color="auto" w:fill="auto"/>
        <w:tabs>
          <w:tab w:pos="522" w:val="left"/>
        </w:tabs>
        <w:bidi w:val="0"/>
        <w:spacing w:before="0" w:after="26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sz w:val="24"/>
          <w:szCs w:val="24"/>
        </w:rPr>
        <w:t>七</w:t>
      </w:r>
      <w:bookmarkEnd w:id="421"/>
      <w:r>
        <w:rPr>
          <w:color w:val="000000"/>
          <w:spacing w:val="0"/>
          <w:w w:val="100"/>
          <w:position w:val="0"/>
          <w:sz w:val="24"/>
          <w:szCs w:val="24"/>
        </w:rPr>
        <w:t>、</w:t>
        <w:tab/>
        <w:t>同业竞争情况</w:t>
      </w:r>
      <w:bookmarkEnd w:id="419"/>
      <w:bookmarkEnd w:id="420"/>
      <w:bookmarkEnd w:id="422"/>
    </w:p>
    <w:p>
      <w:pPr>
        <w:pStyle w:val="Style29"/>
        <w:keepNext w:val="0"/>
        <w:keepLines w:val="0"/>
        <w:widowControl w:val="0"/>
        <w:shd w:val="clear" w:color="auto" w:fill="auto"/>
        <w:bidi w:val="0"/>
        <w:spacing w:before="0" w:after="680" w:line="317" w:lineRule="exact"/>
        <w:ind w:left="0" w:right="0" w:firstLine="440"/>
        <w:jc w:val="left"/>
      </w:pPr>
      <w:r>
        <w:rPr>
          <w:color w:val="000000"/>
          <w:spacing w:val="0"/>
          <w:w w:val="100"/>
          <w:position w:val="0"/>
        </w:rPr>
        <w:t>公司控股股东、实际控制人束龙胜先生与公司不存在发生同业竞争的行为。</w:t>
      </w:r>
    </w:p>
    <w:p>
      <w:pPr>
        <w:pStyle w:val="Style25"/>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八</w:t>
      </w:r>
      <w:bookmarkEnd w:id="425"/>
      <w:r>
        <w:rPr>
          <w:color w:val="000000"/>
          <w:spacing w:val="0"/>
          <w:w w:val="100"/>
          <w:position w:val="0"/>
          <w:sz w:val="24"/>
          <w:szCs w:val="24"/>
        </w:rPr>
        <w:t>、高级管理人员的考评及激励情况</w:t>
      </w:r>
      <w:bookmarkEnd w:id="423"/>
      <w:bookmarkEnd w:id="424"/>
      <w:bookmarkEnd w:id="426"/>
    </w:p>
    <w:p>
      <w:pPr>
        <w:pStyle w:val="Style29"/>
        <w:keepNext w:val="0"/>
        <w:keepLines w:val="0"/>
        <w:widowControl w:val="0"/>
        <w:shd w:val="clear" w:color="auto" w:fill="auto"/>
        <w:bidi w:val="0"/>
        <w:spacing w:before="0" w:after="180" w:line="312" w:lineRule="exact"/>
        <w:ind w:left="0" w:right="0" w:firstLine="200"/>
        <w:jc w:val="both"/>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1900" w:h="16840"/>
          <w:pgMar w:top="1142" w:right="992" w:bottom="1188" w:left="90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、报告期内，董事会薪酬与考核委员会依据公司《高级管理人员薪酬考核管理办法》，依据公司年度经营计划目标和实际 完成情况，对公司高级管理人员进行绩效指标的考核，并以此作为奖惩依据，对公司高级管理人员起到了较好的激励效果。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、对高级管理人员、核心技术及业务骨干人员实施股权激励计划。报告期内，公司首次授予第一个行权期可行权条件满足,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日，公司第五届董事会第二十九次会议审议通过了《关于公司股票期权激励计划首次授予第一个行权期可行 权的议案》，公司同意首次授予的</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名符合条件的激励对象在第一个行权期行权，可行权数量为</w:t>
      </w:r>
      <w:r>
        <w:rPr>
          <w:rFonts w:ascii="Times New Roman" w:eastAsia="Times New Roman" w:hAnsi="Times New Roman" w:cs="Times New Roman"/>
          <w:color w:val="000000"/>
          <w:spacing w:val="0"/>
          <w:w w:val="100"/>
          <w:position w:val="0"/>
          <w:sz w:val="18"/>
          <w:szCs w:val="18"/>
        </w:rPr>
        <w:t>1019.2</w:t>
      </w:r>
      <w:r>
        <w:rPr>
          <w:color w:val="000000"/>
          <w:spacing w:val="0"/>
          <w:w w:val="100"/>
          <w:position w:val="0"/>
        </w:rPr>
        <w:t>万股。且报告期内， 首次授予的</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名激励对象中有</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名激励对象申请选择本次行权，行权数量为</w:t>
      </w:r>
      <w:r>
        <w:rPr>
          <w:rFonts w:ascii="Times New Roman" w:eastAsia="Times New Roman" w:hAnsi="Times New Roman" w:cs="Times New Roman"/>
          <w:color w:val="000000"/>
          <w:spacing w:val="0"/>
          <w:w w:val="100"/>
          <w:position w:val="0"/>
          <w:sz w:val="18"/>
          <w:szCs w:val="18"/>
        </w:rPr>
        <w:t>497.93</w:t>
      </w:r>
      <w:r>
        <w:rPr>
          <w:color w:val="000000"/>
          <w:spacing w:val="0"/>
          <w:w w:val="100"/>
          <w:position w:val="0"/>
        </w:rPr>
        <w:t>万股。公司股权激励计划的实施， 有利于激发管理团队的积极，提高经营效率，促进公司业绩提升。</w:t>
      </w:r>
    </w:p>
    <w:p>
      <w:pPr>
        <w:pStyle w:val="Style9"/>
        <w:keepNext/>
        <w:keepLines/>
        <w:widowControl w:val="0"/>
        <w:shd w:val="clear" w:color="auto" w:fill="auto"/>
        <w:bidi w:val="0"/>
        <w:spacing w:before="0" w:line="240" w:lineRule="auto"/>
        <w:ind w:left="0" w:right="0" w:firstLine="0"/>
        <w:jc w:val="center"/>
      </w:pPr>
      <w:bookmarkStart w:id="427" w:name="bookmark427"/>
      <w:bookmarkStart w:id="428" w:name="bookmark428"/>
      <w:bookmarkStart w:id="429" w:name="bookmark429"/>
      <w:r>
        <w:rPr>
          <w:color w:val="000000"/>
          <w:spacing w:val="0"/>
          <w:w w:val="100"/>
          <w:position w:val="0"/>
        </w:rPr>
        <w:t>第九节内部控制</w:t>
      </w:r>
      <w:bookmarkEnd w:id="427"/>
      <w:bookmarkEnd w:id="428"/>
      <w:bookmarkEnd w:id="429"/>
    </w:p>
    <w:p>
      <w:pPr>
        <w:pStyle w:val="Style25"/>
        <w:keepNext/>
        <w:keepLines/>
        <w:widowControl w:val="0"/>
        <w:shd w:val="clear" w:color="auto" w:fill="auto"/>
        <w:tabs>
          <w:tab w:pos="517" w:val="left"/>
        </w:tabs>
        <w:bidi w:val="0"/>
        <w:spacing w:before="0" w:after="24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一</w:t>
      </w:r>
      <w:bookmarkEnd w:id="432"/>
      <w:r>
        <w:rPr>
          <w:color w:val="000000"/>
          <w:spacing w:val="0"/>
          <w:w w:val="100"/>
          <w:position w:val="0"/>
          <w:sz w:val="24"/>
          <w:szCs w:val="24"/>
        </w:rPr>
        <w:t>、</w:t>
        <w:tab/>
        <w:t>内部控制建设情况</w:t>
      </w:r>
      <w:bookmarkEnd w:id="430"/>
      <w:bookmarkEnd w:id="431"/>
      <w:bookmarkEnd w:id="433"/>
    </w:p>
    <w:p>
      <w:pPr>
        <w:pStyle w:val="Style2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为规范经营管理，控制风险，保证经营业务活动的正常开展，公司根据《公司法》、《证券法》、《企业内部控制基本规范》 及相关配套指引等有关法律、法规和规章制度，结合公司的实际情况、自身特点和管理需要，制定了贯穿于公司生产经营各 层面、各环节的内部控制体系，并不断完善。报告期内，公司持续推进公司治理整改专项活动，不断健全法人治理结构，完 善内部控制体系，加深对公司的业务流程和管理制度的梳理与检查，基本已建立起一套相对完整、合理的内部控制制度体系， 包括了内部治理、信息与沟通、内部监督等要素。公司的内部控制机制基本达到内部控制的目标要求。</w:t>
      </w:r>
    </w:p>
    <w:p>
      <w:pPr>
        <w:pStyle w:val="Style25"/>
        <w:keepNext/>
        <w:keepLines/>
        <w:widowControl w:val="0"/>
        <w:shd w:val="clear" w:color="auto" w:fill="auto"/>
        <w:tabs>
          <w:tab w:pos="517" w:val="left"/>
        </w:tabs>
        <w:bidi w:val="0"/>
        <w:spacing w:before="0" w:after="24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二</w:t>
      </w:r>
      <w:bookmarkEnd w:id="436"/>
      <w:r>
        <w:rPr>
          <w:color w:val="000000"/>
          <w:spacing w:val="0"/>
          <w:w w:val="100"/>
          <w:position w:val="0"/>
          <w:sz w:val="24"/>
          <w:szCs w:val="24"/>
        </w:rPr>
        <w:t>、</w:t>
        <w:tab/>
        <w:t>董事会关于内部控制责任的声明</w:t>
      </w:r>
      <w:bookmarkEnd w:id="434"/>
      <w:bookmarkEnd w:id="435"/>
      <w:bookmarkEnd w:id="437"/>
    </w:p>
    <w:p>
      <w:pPr>
        <w:pStyle w:val="Style29"/>
        <w:keepNext w:val="0"/>
        <w:keepLines w:val="0"/>
        <w:widowControl w:val="0"/>
        <w:shd w:val="clear" w:color="auto" w:fill="auto"/>
        <w:tabs>
          <w:tab w:pos="9264" w:val="left"/>
        </w:tabs>
        <w:bidi w:val="0"/>
        <w:spacing w:before="0" w:after="0" w:line="312" w:lineRule="exact"/>
        <w:ind w:left="0" w:right="0" w:firstLine="380"/>
        <w:jc w:val="both"/>
      </w:pPr>
      <w:r>
        <w:rPr>
          <w:color w:val="000000"/>
          <w:spacing w:val="0"/>
          <w:w w:val="100"/>
          <w:position w:val="0"/>
        </w:rPr>
        <w:t>按照企业内部控制规范体系的规定，建立健全和有效实施内部控制，评价其有效性，并如实披露内部控制评价报告是公 司董事会的责任。监事会对董事会建立和实施内部控制进行监督。经理层负责组织领导企业内部控制的日常运行。</w:t>
        <w:tab/>
        <w:t>公司</w:t>
      </w:r>
    </w:p>
    <w:p>
      <w:pPr>
        <w:pStyle w:val="Style29"/>
        <w:keepNext w:val="0"/>
        <w:keepLines w:val="0"/>
        <w:widowControl w:val="0"/>
        <w:shd w:val="clear" w:color="auto" w:fill="auto"/>
        <w:tabs>
          <w:tab w:pos="4680" w:val="left"/>
        </w:tabs>
        <w:bidi w:val="0"/>
        <w:spacing w:before="0" w:after="0" w:line="312" w:lineRule="exact"/>
        <w:ind w:left="0" w:right="0" w:firstLine="0"/>
        <w:jc w:val="both"/>
      </w:pPr>
      <w:r>
        <w:rPr>
          <w:color w:val="000000"/>
          <w:spacing w:val="0"/>
          <w:w w:val="100"/>
          <w:position w:val="0"/>
        </w:rPr>
        <w:t>董事会、监事会及董事、监事、高级管理人员保证本报告内容不存在任何虚假记载、误导性陈述或重大遗漏，并对报告内容 的真实性、准确性和完整性承担个别及连带法律责任。</w:t>
        <w:tab/>
        <w:t>公司内部控制的目标是合理保证经营管理合法合规、资产安全、</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财务报告及相关信息真实完整，提高经营效率和效果，促进实现发展战略。由于内部控制存在的固有局限性，故仅能为实现 上述目标提供合理保证。此外，由于情况的变化可能导致内部控制变得不恰当，或对控制政策和程序遵循的程度降低，根据 内部控制评价结果推测未来内部控制的有效性具有一定的风险。</w:t>
      </w:r>
    </w:p>
    <w:p>
      <w:pPr>
        <w:pStyle w:val="Style25"/>
        <w:keepNext/>
        <w:keepLines/>
        <w:widowControl w:val="0"/>
        <w:shd w:val="clear" w:color="auto" w:fill="auto"/>
        <w:tabs>
          <w:tab w:pos="522" w:val="left"/>
        </w:tabs>
        <w:bidi w:val="0"/>
        <w:spacing w:before="0" w:after="240" w:line="240" w:lineRule="auto"/>
        <w:ind w:left="0" w:right="0" w:firstLine="0"/>
        <w:jc w:val="both"/>
      </w:pPr>
      <w:bookmarkStart w:id="438" w:name="bookmark438"/>
      <w:bookmarkStart w:id="439" w:name="bookmark439"/>
      <w:bookmarkStart w:id="440" w:name="bookmark440"/>
      <w:bookmarkStart w:id="441" w:name="bookmark441"/>
      <w:r>
        <w:rPr>
          <w:color w:val="000000"/>
          <w:spacing w:val="0"/>
          <w:w w:val="100"/>
          <w:position w:val="0"/>
          <w:sz w:val="24"/>
          <w:szCs w:val="24"/>
        </w:rPr>
        <w:t>三</w:t>
      </w:r>
      <w:bookmarkEnd w:id="440"/>
      <w:r>
        <w:rPr>
          <w:color w:val="000000"/>
          <w:spacing w:val="0"/>
          <w:w w:val="100"/>
          <w:position w:val="0"/>
          <w:sz w:val="24"/>
          <w:szCs w:val="24"/>
        </w:rPr>
        <w:t>、</w:t>
        <w:tab/>
        <w:t>建立财务报告内部控制的依据</w:t>
      </w:r>
      <w:bookmarkEnd w:id="438"/>
      <w:bookmarkEnd w:id="439"/>
      <w:bookmarkEnd w:id="441"/>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公司依据《公司法》、《会计法》、《企业会计准则》、《企业内部控制基本规范》和《深圳证券交易所上市公司内部控制指 引》等法规性文件的要求，建立了财务报告内部控制。报告期内，公司财务报告内部控制不存在重大缺陷。</w:t>
      </w:r>
    </w:p>
    <w:p>
      <w:pPr>
        <w:pStyle w:val="Style25"/>
        <w:keepNext/>
        <w:keepLines/>
        <w:widowControl w:val="0"/>
        <w:shd w:val="clear" w:color="auto" w:fill="auto"/>
        <w:bidi w:val="0"/>
        <w:spacing w:before="0" w:after="30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四</w:t>
      </w:r>
      <w:bookmarkEnd w:id="444"/>
      <w:r>
        <w:rPr>
          <w:color w:val="000000"/>
          <w:spacing w:val="0"/>
          <w:w w:val="100"/>
          <w:position w:val="0"/>
          <w:sz w:val="24"/>
          <w:szCs w:val="24"/>
        </w:rPr>
        <w:t>、内部控制自我评价报告</w:t>
      </w:r>
      <w:bookmarkEnd w:id="442"/>
      <w:bookmarkEnd w:id="443"/>
      <w:bookmarkEnd w:id="445"/>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上的《安徽鑫龙电器股份有限公司关于</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年度内部控制评价报告》。</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五</w:t>
      </w:r>
      <w:bookmarkEnd w:id="448"/>
      <w:r>
        <w:rPr>
          <w:color w:val="000000"/>
          <w:spacing w:val="0"/>
          <w:w w:val="100"/>
          <w:position w:val="0"/>
          <w:sz w:val="24"/>
          <w:szCs w:val="24"/>
        </w:rPr>
        <w:t>、内部控制审计报告</w:t>
      </w:r>
      <w:bookmarkEnd w:id="446"/>
      <w:bookmarkEnd w:id="447"/>
      <w:bookmarkEnd w:id="44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六</w:t>
      </w:r>
      <w:bookmarkEnd w:id="452"/>
      <w:r>
        <w:rPr>
          <w:color w:val="000000"/>
          <w:spacing w:val="0"/>
          <w:w w:val="100"/>
          <w:position w:val="0"/>
          <w:sz w:val="24"/>
          <w:szCs w:val="24"/>
        </w:rPr>
        <w:t>、年度报告重大差错责任追究制度的建立与执行情况</w:t>
      </w:r>
      <w:bookmarkEnd w:id="450"/>
      <w:bookmarkEnd w:id="451"/>
      <w:bookmarkEnd w:id="45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公司已经制定《年报信息披露重大差错责任追究制度》。报告期内公司未发生重大会计差错更正、重大遗漏信息补充等情况。</w:t>
      </w:r>
    </w:p>
    <w:p>
      <w:pPr>
        <w:pStyle w:val="Style9"/>
        <w:keepNext/>
        <w:keepLines/>
        <w:widowControl w:val="0"/>
        <w:shd w:val="clear" w:color="auto" w:fill="auto"/>
        <w:bidi w:val="0"/>
        <w:spacing w:before="0" w:line="240" w:lineRule="auto"/>
        <w:ind w:left="0" w:right="0" w:firstLine="0"/>
        <w:jc w:val="center"/>
      </w:pPr>
      <w:bookmarkStart w:id="454" w:name="bookmark454"/>
      <w:bookmarkStart w:id="455" w:name="bookmark455"/>
      <w:bookmarkStart w:id="456" w:name="bookmark456"/>
      <w:r>
        <w:rPr>
          <w:color w:val="000000"/>
          <w:spacing w:val="0"/>
          <w:w w:val="100"/>
          <w:position w:val="0"/>
        </w:rPr>
        <w:t>第十节财务报告</w:t>
      </w:r>
      <w:bookmarkEnd w:id="454"/>
      <w:bookmarkEnd w:id="455"/>
      <w:bookmarkEnd w:id="456"/>
    </w:p>
    <w:p>
      <w:pPr>
        <w:pStyle w:val="Style25"/>
        <w:keepNext/>
        <w:keepLines/>
        <w:widowControl w:val="0"/>
        <w:shd w:val="clear" w:color="auto" w:fill="auto"/>
        <w:bidi w:val="0"/>
        <w:spacing w:before="0" w:after="300" w:line="240" w:lineRule="auto"/>
        <w:ind w:left="0" w:right="0" w:firstLine="260"/>
        <w:jc w:val="both"/>
      </w:pPr>
      <w:bookmarkStart w:id="457" w:name="bookmark457"/>
      <w:bookmarkStart w:id="458" w:name="bookmark458"/>
      <w:bookmarkStart w:id="459" w:name="bookmark459"/>
      <w:r>
        <w:rPr>
          <w:color w:val="000000"/>
          <w:spacing w:val="0"/>
          <w:w w:val="100"/>
          <w:position w:val="0"/>
          <w:sz w:val="24"/>
          <w:szCs w:val="24"/>
        </w:rPr>
        <w:t>、审计报告</w:t>
      </w:r>
      <w:bookmarkEnd w:id="457"/>
      <w:bookmarkEnd w:id="458"/>
      <w:bookmarkEnd w:id="45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[2014]003944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吕勇军、王海涛</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59" w:line="1" w:lineRule="exact"/>
      </w:pPr>
    </w:p>
    <w:p>
      <w:pPr>
        <w:pStyle w:val="Style25"/>
        <w:keepNext/>
        <w:keepLines/>
        <w:widowControl w:val="0"/>
        <w:shd w:val="clear" w:color="auto" w:fill="auto"/>
        <w:bidi w:val="0"/>
        <w:spacing w:before="0" w:after="300" w:line="240" w:lineRule="auto"/>
        <w:ind w:left="0" w:right="0" w:firstLine="0"/>
        <w:jc w:val="center"/>
      </w:pPr>
      <w:bookmarkStart w:id="460" w:name="bookmark460"/>
      <w:bookmarkStart w:id="461" w:name="bookmark461"/>
      <w:bookmarkStart w:id="462" w:name="bookmark462"/>
      <w:r>
        <w:rPr>
          <w:color w:val="000000"/>
          <w:spacing w:val="0"/>
          <w:w w:val="100"/>
          <w:position w:val="0"/>
          <w:sz w:val="24"/>
          <w:szCs w:val="24"/>
        </w:rPr>
        <w:t>审计报告</w:t>
      </w:r>
      <w:bookmarkEnd w:id="460"/>
      <w:bookmarkEnd w:id="461"/>
      <w:bookmarkEnd w:id="462"/>
    </w:p>
    <w:p>
      <w:pPr>
        <w:pStyle w:val="Style29"/>
        <w:keepNext w:val="0"/>
        <w:keepLines w:val="0"/>
        <w:widowControl w:val="0"/>
        <w:shd w:val="clear" w:color="auto" w:fill="auto"/>
        <w:bidi w:val="0"/>
        <w:spacing w:before="0" w:after="0" w:line="313" w:lineRule="exact"/>
        <w:ind w:left="0" w:right="0" w:firstLine="7740"/>
        <w:jc w:val="both"/>
      </w:pPr>
      <w:r>
        <w:rPr>
          <w:b/>
          <w:bCs/>
          <w:color w:val="000000"/>
          <w:spacing w:val="0"/>
          <w:w w:val="100"/>
          <w:position w:val="0"/>
        </w:rPr>
        <w:t>大华审字</w:t>
      </w:r>
      <w:r>
        <w:rPr>
          <w:rFonts w:ascii="Times New Roman" w:eastAsia="Times New Roman" w:hAnsi="Times New Roman" w:cs="Times New Roman"/>
          <w:b/>
          <w:bCs/>
          <w:color w:val="000000"/>
          <w:spacing w:val="0"/>
          <w:w w:val="100"/>
          <w:position w:val="0"/>
          <w:sz w:val="18"/>
          <w:szCs w:val="18"/>
        </w:rPr>
        <w:t>[2014]003944</w:t>
      </w:r>
      <w:r>
        <w:rPr>
          <w:b/>
          <w:bCs/>
          <w:color w:val="000000"/>
          <w:spacing w:val="0"/>
          <w:w w:val="100"/>
          <w:position w:val="0"/>
        </w:rPr>
        <w:t>号 安徽鑫龙电器股份有限公司全体股东：</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我们审计了后附的安徽鑫龙电器股份有限公司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以下简称鑫龙电器公司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年度的合并及母公司利润表、合并及母公司现金流量表、合并及母公司所有者权益变动表，以及财务报表 附注。</w:t>
      </w:r>
    </w:p>
    <w:p>
      <w:pPr>
        <w:pStyle w:val="Style29"/>
        <w:keepNext w:val="0"/>
        <w:keepLines w:val="0"/>
        <w:widowControl w:val="0"/>
        <w:shd w:val="clear" w:color="auto" w:fill="auto"/>
        <w:tabs>
          <w:tab w:pos="820" w:val="left"/>
        </w:tabs>
        <w:bidi w:val="0"/>
        <w:spacing w:before="0" w:after="0" w:line="313" w:lineRule="exact"/>
        <w:ind w:left="0" w:right="0" w:firstLine="380"/>
        <w:jc w:val="both"/>
      </w:pPr>
      <w:bookmarkStart w:id="463" w:name="bookmark463"/>
      <w:r>
        <w:rPr>
          <w:b/>
          <w:bCs/>
          <w:color w:val="000000"/>
          <w:spacing w:val="0"/>
          <w:w w:val="100"/>
          <w:position w:val="0"/>
        </w:rPr>
        <w:t>一</w:t>
      </w:r>
      <w:bookmarkEnd w:id="463"/>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编制和公允列报财务报表是鑫龙电器公司管理层的责任，这种责任包括：（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20" w:val="left"/>
        </w:tabs>
        <w:bidi w:val="0"/>
        <w:spacing w:before="0" w:after="0" w:line="313" w:lineRule="exact"/>
        <w:ind w:left="0" w:right="0" w:firstLine="380"/>
        <w:jc w:val="left"/>
      </w:pPr>
      <w:bookmarkStart w:id="464" w:name="bookmark464"/>
      <w:r>
        <w:rPr>
          <w:b/>
          <w:bCs/>
          <w:color w:val="000000"/>
          <w:spacing w:val="0"/>
          <w:w w:val="100"/>
          <w:position w:val="0"/>
        </w:rPr>
        <w:t>二</w:t>
      </w:r>
      <w:bookmarkEnd w:id="464"/>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25" w:val="left"/>
        </w:tabs>
        <w:bidi w:val="0"/>
        <w:spacing w:before="0" w:after="0" w:line="313" w:lineRule="exact"/>
        <w:ind w:left="0" w:right="0" w:firstLine="380"/>
        <w:jc w:val="both"/>
      </w:pPr>
      <w:bookmarkStart w:id="465" w:name="bookmark465"/>
      <w:r>
        <w:rPr>
          <w:b/>
          <w:bCs/>
          <w:color w:val="000000"/>
          <w:spacing w:val="0"/>
          <w:w w:val="100"/>
          <w:position w:val="0"/>
        </w:rPr>
        <w:t>三</w:t>
      </w:r>
      <w:bookmarkEnd w:id="465"/>
      <w:r>
        <w:rPr>
          <w:b/>
          <w:bCs/>
          <w:color w:val="000000"/>
          <w:spacing w:val="0"/>
          <w:w w:val="100"/>
          <w:position w:val="0"/>
        </w:rPr>
        <w:t>、</w:t>
        <w:tab/>
        <w:t>审计意见</w:t>
      </w:r>
    </w:p>
    <w:p>
      <w:pPr>
        <w:pStyle w:val="Style29"/>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我们认为，鑫龙电器公司的财务报表在所有重大方面按照企业会计准则的规定编制，公允反映了鑫龙电器公司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年度的合并及母公司经营成果和现金流量。</w:t>
      </w:r>
    </w:p>
    <w:p>
      <w:pPr>
        <w:pStyle w:val="Style29"/>
        <w:keepNext w:val="0"/>
        <w:keepLines w:val="0"/>
        <w:widowControl w:val="0"/>
        <w:shd w:val="clear" w:color="auto" w:fill="auto"/>
        <w:tabs>
          <w:tab w:pos="4786" w:val="left"/>
        </w:tabs>
        <w:bidi w:val="0"/>
        <w:spacing w:before="0" w:after="300" w:line="313" w:lineRule="exact"/>
        <w:ind w:left="0" w:right="0" w:firstLine="0"/>
        <w:jc w:val="righ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中国注册会计师：吕勇军</w:t>
      </w:r>
    </w:p>
    <w:p>
      <w:pPr>
        <w:pStyle w:val="Style29"/>
        <w:keepNext w:val="0"/>
        <w:keepLines w:val="0"/>
        <w:widowControl w:val="0"/>
        <w:shd w:val="clear" w:color="auto" w:fill="auto"/>
        <w:tabs>
          <w:tab w:pos="4248" w:val="left"/>
        </w:tabs>
        <w:bidi w:val="0"/>
        <w:spacing w:before="0" w:after="740" w:line="313" w:lineRule="exact"/>
        <w:ind w:left="0" w:right="0" w:firstLine="0"/>
        <w:jc w:val="right"/>
      </w:pPr>
      <w:r>
        <w:rPr>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北京</w:t>
        <w:tab/>
        <w:t>中国注册会计师：王海涛</w:t>
      </w:r>
    </w:p>
    <w:p>
      <w:pPr>
        <w:pStyle w:val="Style29"/>
        <w:keepNext w:val="0"/>
        <w:keepLines w:val="0"/>
        <w:widowControl w:val="0"/>
        <w:shd w:val="clear" w:color="auto" w:fill="auto"/>
        <w:bidi w:val="0"/>
        <w:spacing w:before="0" w:after="300" w:line="240" w:lineRule="auto"/>
        <w:ind w:left="0" w:right="0" w:firstLine="0"/>
        <w:jc w:val="right"/>
        <w:sectPr>
          <w:headerReference w:type="default" r:id="rId129"/>
          <w:footerReference w:type="default" r:id="rId130"/>
          <w:headerReference w:type="even" r:id="rId131"/>
          <w:footerReference w:type="even" r:id="rId132"/>
          <w:headerReference w:type="first" r:id="rId133"/>
          <w:footerReference w:type="first" r:id="rId134"/>
          <w:footnotePr>
            <w:pos w:val="pageBottom"/>
            <w:numFmt w:val="decimal"/>
            <w:numRestart w:val="continuous"/>
          </w:footnotePr>
          <w:pgSz w:w="11900" w:h="16840"/>
          <w:pgMar w:top="1142" w:right="992" w:bottom="1188" w:left="905" w:header="0" w:footer="3" w:gutter="0"/>
          <w:cols w:space="720"/>
          <w:noEndnote/>
          <w:titlePg/>
          <w:rtlGutter w:val="0"/>
          <w:docGrid w:linePitch="360"/>
        </w:sectPr>
      </w:pPr>
      <w:r>
        <w:rPr>
          <w:color w:val="000000"/>
          <w:spacing w:val="0"/>
          <w:w w:val="100"/>
          <w:position w:val="0"/>
        </w:rPr>
        <w:t>二。一四年四月九日</w:t>
      </w:r>
    </w:p>
    <w:p>
      <w:pPr>
        <w:pStyle w:val="Style25"/>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二</w:t>
      </w:r>
      <w:bookmarkEnd w:id="468"/>
      <w:r>
        <w:rPr>
          <w:color w:val="000000"/>
          <w:spacing w:val="0"/>
          <w:w w:val="100"/>
          <w:position w:val="0"/>
          <w:sz w:val="24"/>
          <w:szCs w:val="24"/>
        </w:rPr>
        <w:t>、财务报表</w:t>
      </w:r>
      <w:bookmarkEnd w:id="466"/>
      <w:bookmarkEnd w:id="467"/>
      <w:bookmarkEnd w:id="46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、合并资产负债表</w:t>
      </w:r>
      <w:bookmarkEnd w:id="470"/>
      <w:bookmarkEnd w:id="471"/>
      <w:bookmarkEnd w:id="47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438,726,413.28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506,001,074.97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83,798,338.95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59,190,578.47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687,642,459.39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632,493,016.11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22,172,698.53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34,882,189.40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44,219,997.63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38,506,227.18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519,424,692.14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421,323,545.31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1,795,984,599.92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1,692,396,631.44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33,111,207.44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39,467,709.45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302,584,336.29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234,434,189.87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59,598,987.48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13,522,191.15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87,771,838.95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46,084,057.12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11,356,224.47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5,276,650.02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4,023,094.12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498,445,688.75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338,784,797.61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2,294,430,288.67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2,031,181,429.05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198,230,000.00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250,274,000.00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148,251,284.19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114,858,239.36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34,084,132.15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43,435,799.42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7,182,280.58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4,173,617.07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16,776,973.18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24,858,374.17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4,386,708.33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4,081,046.12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4,561,230.38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5,470,893.27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833,472,608.81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696,951,969.41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145,705,986.21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143,147,260.54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20,887,713.22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166,593,699.43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150,847,260.54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1,000,066,308.24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847,799,229.95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413,848,300.00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408,869,000.00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514,694,436.86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484,880,825.61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42,462,337.50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34,741,070.53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306,639,964.47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235,051,872.69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1,277,645,038.83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1,163,542,768.83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16,718,941.60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19,839,430.27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1,294,363,980.43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1,183,382,199.10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2,294,430,288.67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2,031,181,429.05</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78" behindDoc="0" locked="0" layoutInCell="1" allowOverlap="1">
                <wp:simplePos x="0" y="0"/>
                <wp:positionH relativeFrom="page">
                  <wp:posOffset>678180</wp:posOffset>
                </wp:positionH>
                <wp:positionV relativeFrom="margin">
                  <wp:posOffset>7013575</wp:posOffset>
                </wp:positionV>
                <wp:extent cx="1054735" cy="149225"/>
                <wp:wrapTopAndBottom/>
                <wp:docPr id="312" name="Shape 31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wps:txbx>
                      <wps:bodyPr wrap="none" lIns="0" tIns="0" rIns="0" bIns="0">
                        <a:noAutoFit/>
                      </wps:bodyPr>
                    </wps:wsp>
                  </a:graphicData>
                </a:graphic>
              </wp:anchor>
            </w:drawing>
          </mc:Choice>
          <mc:Fallback>
            <w:pict>
              <v:shape id="_x0000_s1338" type="#_x0000_t202" style="position:absolute;margin-left:53.399999999999999pt;margin-top:552.25pt;width:83.049999999999997pt;height:11.75pt;z-index:-125829375;mso-wrap-distance-left:9.pt;mso-wrap-distance-top:11.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v:textbox>
                <w10:wrap type="topAndBottom" anchorx="page" anchory="margin"/>
              </v:shape>
            </w:pict>
          </mc:Fallback>
        </mc:AlternateContent>
      </w:r>
      <w:r>
        <mc:AlternateContent>
          <mc:Choice Requires="wps">
            <w:drawing>
              <wp:anchor distT="139700" distB="0" distL="2348230" distR="2461895" simplePos="0" relativeHeight="125829380" behindDoc="0" locked="0" layoutInCell="1" allowOverlap="1">
                <wp:simplePos x="0" y="0"/>
                <wp:positionH relativeFrom="page">
                  <wp:posOffset>2912110</wp:posOffset>
                </wp:positionH>
                <wp:positionV relativeFrom="margin">
                  <wp:posOffset>7013575</wp:posOffset>
                </wp:positionV>
                <wp:extent cx="1505585" cy="149225"/>
                <wp:wrapTopAndBottom/>
                <wp:docPr id="314" name="Shape 31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340" type="#_x0000_t202" style="position:absolute;margin-left:229.30000000000001pt;margin-top:552.25pt;width:118.55pt;height:11.75pt;z-index:-125829373;mso-wrap-distance-left:184.90000000000001pt;mso-wrap-distance-top:11.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39700" distB="0" distL="5030470" distR="114935" simplePos="0" relativeHeight="125829382" behindDoc="0" locked="0" layoutInCell="1" allowOverlap="1">
                <wp:simplePos x="0" y="0"/>
                <wp:positionH relativeFrom="page">
                  <wp:posOffset>5594350</wp:posOffset>
                </wp:positionH>
                <wp:positionV relativeFrom="margin">
                  <wp:posOffset>7013575</wp:posOffset>
                </wp:positionV>
                <wp:extent cx="1170305" cy="149225"/>
                <wp:wrapTopAndBottom/>
                <wp:docPr id="316" name="Shape 31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342" type="#_x0000_t202" style="position:absolute;margin-left:440.5pt;margin-top:552.25pt;width:92.150000000000006pt;height:11.75pt;z-index:-125829371;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、母公司资产负债表</w:t>
      </w:r>
      <w:bookmarkEnd w:id="474"/>
      <w:bookmarkEnd w:id="475"/>
      <w:bookmarkEnd w:id="477"/>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285,995,568.52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347,051,749.32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76,638,641.94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53,759,859.39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669,512,580.28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613,882,426.57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19,588,971.74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33,100,511.24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36,043,868.24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34,201,572.74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483,222,209.54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395,698,342.00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1,571,001,840.26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1,477,694,461.26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532,005,861.58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475,403,864.11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251,839,374.16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187,260,473.86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59,598,987.48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13,517,487.15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59,259,316.54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15,917,318.93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10,904,378.37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5,046,129.20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4,023,094.12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917,631,012.25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697,145,273.25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2,488,632,852.51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2,174,839,734.51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1142" w:right="992" w:bottom="1188" w:left="905" w:header="0" w:footer="3" w:gutter="0"/>
          <w:cols w:space="720"/>
          <w:noEndnote/>
          <w:rtlGutter w:val="0"/>
          <w:docGrid w:linePitch="360"/>
        </w:sectPr>
      </w:pPr>
    </w:p>
    <w:p>
      <w:pPr>
        <w:widowControl w:val="0"/>
        <w:spacing w:line="1" w:lineRule="exact"/>
      </w:pPr>
      <w:r>
        <mc:AlternateContent>
          <mc:Choice Requires="wps">
            <w:drawing>
              <wp:anchor distT="139700" distB="1039495" distL="114300" distR="5914390" simplePos="0" relativeHeight="125829384" behindDoc="0" locked="0" layoutInCell="1" allowOverlap="1">
                <wp:simplePos x="0" y="0"/>
                <wp:positionH relativeFrom="page">
                  <wp:posOffset>701040</wp:posOffset>
                </wp:positionH>
                <wp:positionV relativeFrom="margin">
                  <wp:posOffset>8625840</wp:posOffset>
                </wp:positionV>
                <wp:extent cx="1054735" cy="149225"/>
                <wp:wrapTopAndBottom/>
                <wp:docPr id="332" name="Shape 33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wps:txbx>
                      <wps:bodyPr wrap="none" lIns="0" tIns="0" rIns="0" bIns="0">
                        <a:noAutoFit/>
                      </wps:bodyPr>
                    </wps:wsp>
                  </a:graphicData>
                </a:graphic>
              </wp:anchor>
            </w:drawing>
          </mc:Choice>
          <mc:Fallback>
            <w:pict>
              <v:shape id="_x0000_s1358" type="#_x0000_t202" style="position:absolute;margin-left:55.200000000000003pt;margin-top:679.20000000000005pt;width:83.049999999999997pt;height:11.75pt;z-index:-125829369;mso-wrap-distance-left:9.pt;mso-wrap-distance-top:11.pt;mso-wrap-distance-right:465.69999999999999pt;mso-wrap-distance-bottom:81.85000000000000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v:textbox>
                <w10:wrap type="topAndBottom" anchorx="page" anchory="margin"/>
              </v:shape>
            </w:pict>
          </mc:Fallback>
        </mc:AlternateContent>
      </w:r>
      <w:r>
        <mc:AlternateContent>
          <mc:Choice Requires="wps">
            <w:drawing>
              <wp:anchor distT="139700" distB="1039495" distL="2348230" distR="3229610" simplePos="0" relativeHeight="125829386" behindDoc="0" locked="0" layoutInCell="1" allowOverlap="1">
                <wp:simplePos x="0" y="0"/>
                <wp:positionH relativeFrom="page">
                  <wp:posOffset>2934970</wp:posOffset>
                </wp:positionH>
                <wp:positionV relativeFrom="margin">
                  <wp:posOffset>8625840</wp:posOffset>
                </wp:positionV>
                <wp:extent cx="1505585" cy="149225"/>
                <wp:wrapTopAndBottom/>
                <wp:docPr id="334" name="Shape 33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360" type="#_x0000_t202" style="position:absolute;margin-left:231.09999999999999pt;margin-top:679.20000000000005pt;width:118.55pt;height:11.75pt;z-index:-125829367;mso-wrap-distance-left:184.90000000000001pt;mso-wrap-distance-top:11.pt;mso-wrap-distance-right:254.30000000000001pt;mso-wrap-distance-bottom:81.85000000000000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39700" distB="1039495" distL="5030470" distR="882650" simplePos="0" relativeHeight="125829388" behindDoc="0" locked="0" layoutInCell="1" allowOverlap="1">
                <wp:simplePos x="0" y="0"/>
                <wp:positionH relativeFrom="page">
                  <wp:posOffset>5617210</wp:posOffset>
                </wp:positionH>
                <wp:positionV relativeFrom="margin">
                  <wp:posOffset>8625840</wp:posOffset>
                </wp:positionV>
                <wp:extent cx="1170305" cy="149225"/>
                <wp:wrapTopAndBottom/>
                <wp:docPr id="336" name="Shape 33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362" type="#_x0000_t202" style="position:absolute;margin-left:442.30000000000001pt;margin-top:679.20000000000005pt;width:92.150000000000006pt;height:11.75pt;z-index:-125829365;mso-wrap-distance-left:396.10000000000002pt;mso-wrap-distance-top:11.pt;mso-wrap-distance-right:69.5pt;mso-wrap-distance-bottom:81.85000000000000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r>
        <w:drawing>
          <wp:anchor distT="331470" distB="0" distL="5234940" distR="114300" simplePos="0" relativeHeight="125829390" behindDoc="0" locked="0" layoutInCell="1" allowOverlap="1">
            <wp:simplePos x="0" y="0"/>
            <wp:positionH relativeFrom="page">
              <wp:posOffset>5821680</wp:posOffset>
            </wp:positionH>
            <wp:positionV relativeFrom="margin">
              <wp:posOffset>8817610</wp:posOffset>
            </wp:positionV>
            <wp:extent cx="1737360" cy="999490"/>
            <wp:wrapTopAndBottom/>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139"/>
                    <a:stretch/>
                  </pic:blipFill>
                  <pic:spPr>
                    <a:xfrm>
                      <a:ext cx="1737360" cy="999490"/>
                    </a:xfrm>
                    <a:prstGeom prst="rect"/>
                  </pic:spPr>
                </pic:pic>
              </a:graphicData>
            </a:graphic>
          </wp:anchor>
        </w:drawing>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250,274,000.00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172,660,447.97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129,888,546.58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28,488,422.05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38,006,727.12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5,735,254.08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3,337,716.18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10,523,182.59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16,972,073.82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4,386,708.33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4,049,379.45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391,543,756.68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263,407,593.99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1,127,147,771.70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935,736,037.14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145,705,986.21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143,147,260.54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20,887,713.22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166,593,699.43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150,847,260.54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1,293,741,471.13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1,086,583,297.68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413,848,300.00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408,869,000.00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517,174,001.57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484,553,646.76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40,984,227.25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33,262,960.28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222,884,852.56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161,570,829.79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1,194,891,381.38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1,088,256,436.83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2,488,632,852.51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2,174,839,734.51</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、合并利润表</w:t>
      </w:r>
      <w:bookmarkEnd w:id="478"/>
      <w:bookmarkEnd w:id="479"/>
      <w:bookmarkEnd w:id="4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905,195,459.03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944,045,898.95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905,195,459.03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944,045,898.95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844,923,538.89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832,207,870.55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534,160,881.94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561,606,212.97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5,007,665.43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8,516,423.23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120,667,818.70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87,075,213.54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139,959,631.02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113,696,107.73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26,696,095.08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45,075,257.20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18,431,446.72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16,238,655.88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-6,960,502.01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-5,833,951.12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-7,106,502.01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-5,979,951.12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53,311,418.13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106,004,077.28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46,453,903.88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5,072,966.78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51,960.39</w:t>
            </w:r>
          </w:p>
        </w:tc>
      </w:tr>
    </w:tbl>
    <w:p>
      <w:pPr>
        <w:widowControl w:val="0"/>
        <w:spacing w:line="1" w:lineRule="exact"/>
        <w:sectPr>
          <w:headerReference w:type="default" r:id="rId141"/>
          <w:footerReference w:type="default" r:id="rId142"/>
          <w:headerReference w:type="even" r:id="rId143"/>
          <w:footerReference w:type="even" r:id="rId144"/>
          <w:headerReference w:type="first" r:id="rId145"/>
          <w:footerReference w:type="first" r:id="rId146"/>
          <w:footnotePr>
            <w:pos w:val="pageBottom"/>
            <w:numFmt w:val="decimal"/>
            <w:numRestart w:val="continuous"/>
          </w:footnotePr>
          <w:pgSz w:w="11900" w:h="16840"/>
          <w:pgMar w:top="1142" w:right="992" w:bottom="1188" w:left="905" w:header="0" w:footer="3" w:gutter="0"/>
          <w:cols w:space="720"/>
          <w:noEndnote/>
          <w:titlePg/>
          <w:rtlGutter w:val="0"/>
          <w:docGrid w:linePitch="360"/>
        </w:sectPr>
      </w:pP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99,735,189.85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110,872,975.43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12,175,683.33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16,466,484.24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87,559,506.52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94,406,491.19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87,486,738.75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95,341,859.82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-935,368.63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87,559,506.52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94,406,491.19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87,486,738.75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95,341,859.82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72,767.77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-935,368.63</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391" behindDoc="0" locked="0" layoutInCell="1" allowOverlap="1">
                <wp:simplePos x="0" y="0"/>
                <wp:positionH relativeFrom="page">
                  <wp:posOffset>678180</wp:posOffset>
                </wp:positionH>
                <wp:positionV relativeFrom="margin">
                  <wp:posOffset>4576445</wp:posOffset>
                </wp:positionV>
                <wp:extent cx="1054735" cy="149225"/>
                <wp:wrapTopAndBottom/>
                <wp:docPr id="357" name="Shape 35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wps:txbx>
                      <wps:bodyPr wrap="none" lIns="0" tIns="0" rIns="0" bIns="0">
                        <a:noAutoFit/>
                      </wps:bodyPr>
                    </wps:wsp>
                  </a:graphicData>
                </a:graphic>
              </wp:anchor>
            </w:drawing>
          </mc:Choice>
          <mc:Fallback>
            <w:pict>
              <v:shape id="_x0000_s1383" type="#_x0000_t202" style="position:absolute;margin-left:53.399999999999999pt;margin-top:360.35000000000002pt;width:83.049999999999997pt;height:11.75pt;z-index:-125829362;mso-wrap-distance-left:9.pt;mso-wrap-distance-top:11.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v:textbox>
                <w10:wrap type="topAndBottom" anchorx="page" anchory="margin"/>
              </v:shape>
            </w:pict>
          </mc:Fallback>
        </mc:AlternateContent>
      </w:r>
      <w:r>
        <mc:AlternateContent>
          <mc:Choice Requires="wps">
            <w:drawing>
              <wp:anchor distT="139700" distB="0" distL="2348230" distR="2461895" simplePos="0" relativeHeight="125829393" behindDoc="0" locked="0" layoutInCell="1" allowOverlap="1">
                <wp:simplePos x="0" y="0"/>
                <wp:positionH relativeFrom="page">
                  <wp:posOffset>2912110</wp:posOffset>
                </wp:positionH>
                <wp:positionV relativeFrom="margin">
                  <wp:posOffset>4576445</wp:posOffset>
                </wp:positionV>
                <wp:extent cx="1505585" cy="149225"/>
                <wp:wrapTopAndBottom/>
                <wp:docPr id="359" name="Shape 35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385" type="#_x0000_t202" style="position:absolute;margin-left:229.30000000000001pt;margin-top:360.35000000000002pt;width:118.55pt;height:11.75pt;z-index:-125829360;mso-wrap-distance-left:184.90000000000001pt;mso-wrap-distance-top:11.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39700" distB="0" distL="5030470" distR="114935" simplePos="0" relativeHeight="125829395" behindDoc="0" locked="0" layoutInCell="1" allowOverlap="1">
                <wp:simplePos x="0" y="0"/>
                <wp:positionH relativeFrom="page">
                  <wp:posOffset>5594350</wp:posOffset>
                </wp:positionH>
                <wp:positionV relativeFrom="margin">
                  <wp:posOffset>4576445</wp:posOffset>
                </wp:positionV>
                <wp:extent cx="1170305" cy="149225"/>
                <wp:wrapTopAndBottom/>
                <wp:docPr id="361" name="Shape 36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387" type="#_x0000_t202" style="position:absolute;margin-left:440.5pt;margin-top:360.35000000000002pt;width:92.150000000000006pt;height:11.75pt;z-index:-125829358;mso-wrap-distance-left:396.10000000000002pt;mso-wrap-distance-top:11.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、母公司利润表</w:t>
      </w:r>
      <w:bookmarkEnd w:id="482"/>
      <w:bookmarkEnd w:id="483"/>
      <w:bookmarkEnd w:id="4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863,652,624.09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850,229,756.54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613,264,984.96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580,626,511.70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2,814,207.48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6,168,410.60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56,887,366.18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40,212,456.55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102,568,246.60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79,459,274.43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28,626,378.89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38,046,387.81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17,943,044.45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15,894,425.04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41,640,687.46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89,968,290.41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44,709,594.98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3,922,436.15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56,422.49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31,485.41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86,327,124.06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93,834,304.07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9,114,454.32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12,720,004.65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77,212,669.74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81,114,299.42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77,212,669.74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81,114,299.42</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97" behindDoc="0" locked="0" layoutInCell="1" allowOverlap="1">
                <wp:simplePos x="0" y="0"/>
                <wp:positionH relativeFrom="page">
                  <wp:posOffset>678180</wp:posOffset>
                </wp:positionH>
                <wp:positionV relativeFrom="margin">
                  <wp:posOffset>3925570</wp:posOffset>
                </wp:positionV>
                <wp:extent cx="1054735" cy="149225"/>
                <wp:wrapTopAndBottom/>
                <wp:docPr id="363" name="Shape 36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wps:txbx>
                      <wps:bodyPr wrap="none" lIns="0" tIns="0" rIns="0" bIns="0">
                        <a:noAutoFit/>
                      </wps:bodyPr>
                    </wps:wsp>
                  </a:graphicData>
                </a:graphic>
              </wp:anchor>
            </w:drawing>
          </mc:Choice>
          <mc:Fallback>
            <w:pict>
              <v:shape id="_x0000_s1389" type="#_x0000_t202" style="position:absolute;margin-left:53.399999999999999pt;margin-top:309.10000000000002pt;width:83.049999999999997pt;height:11.75pt;z-index:-125829356;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v:textbox>
                <w10:wrap type="topAndBottom" anchorx="page" anchory="margin"/>
              </v:shape>
            </w:pict>
          </mc:Fallback>
        </mc:AlternateContent>
      </w:r>
      <w:r>
        <mc:AlternateContent>
          <mc:Choice Requires="wps">
            <w:drawing>
              <wp:anchor distT="152400" distB="0" distL="2348230" distR="2461895" simplePos="0" relativeHeight="125829399" behindDoc="0" locked="0" layoutInCell="1" allowOverlap="1">
                <wp:simplePos x="0" y="0"/>
                <wp:positionH relativeFrom="page">
                  <wp:posOffset>2912110</wp:posOffset>
                </wp:positionH>
                <wp:positionV relativeFrom="margin">
                  <wp:posOffset>3925570</wp:posOffset>
                </wp:positionV>
                <wp:extent cx="1505585" cy="149225"/>
                <wp:wrapTopAndBottom/>
                <wp:docPr id="365" name="Shape 36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391" type="#_x0000_t202" style="position:absolute;margin-left:229.30000000000001pt;margin-top:309.10000000000002pt;width:118.55pt;height:11.75pt;z-index:-125829354;mso-wrap-distance-left:184.90000000000001pt;mso-wrap-distance-top:12.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52400" distB="0" distL="5030470" distR="114935" simplePos="0" relativeHeight="125829401" behindDoc="0" locked="0" layoutInCell="1" allowOverlap="1">
                <wp:simplePos x="0" y="0"/>
                <wp:positionH relativeFrom="page">
                  <wp:posOffset>5594350</wp:posOffset>
                </wp:positionH>
                <wp:positionV relativeFrom="margin">
                  <wp:posOffset>3925570</wp:posOffset>
                </wp:positionV>
                <wp:extent cx="1170305" cy="149225"/>
                <wp:wrapTopAndBottom/>
                <wp:docPr id="367" name="Shape 36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393" type="#_x0000_t202" style="position:absolute;margin-left:440.5pt;margin-top:309.10000000000002pt;width:92.150000000000006pt;height:11.75pt;z-index:-125829352;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、合并现金流量表</w:t>
      </w:r>
      <w:bookmarkEnd w:id="486"/>
      <w:bookmarkEnd w:id="487"/>
      <w:bookmarkEnd w:id="4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999,897,882.81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895,737,071.69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70,450,964.39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5,447,970.90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1,070,348,847.20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901,185,042.59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836,481,963.58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576,177,780.36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87,500,615.08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69,792,564.44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81,405,601.23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90,270,010.97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148,808,856.54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118,768,192.13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1,154,197,036.43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855,008,547.90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-83,848,189.23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46,176,494.69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109,349.43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121,502.42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255,349.43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267,502.42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150,137,139.23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40,717,719.47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19,593,102.00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150,887,139.23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60,310,821.47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-150,631,789.80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-60,043,319.05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37,992,059.00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517,399,686.40</w:t>
            </w:r>
          </w:p>
        </w:tc>
      </w:tr>
    </w:tbl>
    <w:p>
      <w:pPr>
        <w:widowControl w:val="0"/>
        <w:spacing w:line="1" w:lineRule="exac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142" w:right="992" w:bottom="1188" w:left="905" w:header="0" w:footer="3" w:gutter="0"/>
          <w:cols w:space="720"/>
          <w:noEndnote/>
          <w:rtlGutter w:val="0"/>
          <w:docGrid w:linePitch="360"/>
        </w:sectPr>
      </w:pP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689,012,950.00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5,613,777.97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2,273,619.15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651,605,836.97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1,208,686,255.55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804,400,000.00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32,435,679.26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46,326,760.56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2,839,062.89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482,855,679.26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853,565,823.45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168,750,157.71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355,120,432.10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-65,729,821.32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341,253,607.74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474,399,966.73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133,146,358.99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408,670,145.41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474,399,966.73</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03" behindDoc="0" locked="0" layoutInCell="1" allowOverlap="1">
                <wp:simplePos x="0" y="0"/>
                <wp:positionH relativeFrom="page">
                  <wp:posOffset>678180</wp:posOffset>
                </wp:positionH>
                <wp:positionV relativeFrom="margin">
                  <wp:posOffset>5056505</wp:posOffset>
                </wp:positionV>
                <wp:extent cx="1054735" cy="149225"/>
                <wp:wrapTopAndBottom/>
                <wp:docPr id="383" name="Shape 38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wps:txbx>
                      <wps:bodyPr wrap="none" lIns="0" tIns="0" rIns="0" bIns="0">
                        <a:noAutoFit/>
                      </wps:bodyPr>
                    </wps:wsp>
                  </a:graphicData>
                </a:graphic>
              </wp:anchor>
            </w:drawing>
          </mc:Choice>
          <mc:Fallback>
            <w:pict>
              <v:shape id="_x0000_s1409" type="#_x0000_t202" style="position:absolute;margin-left:53.399999999999999pt;margin-top:398.15000000000003pt;width:83.049999999999997pt;height:11.75pt;z-index:-125829350;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v:textbox>
                <w10:wrap type="topAndBottom" anchorx="page" anchory="margin"/>
              </v:shape>
            </w:pict>
          </mc:Fallback>
        </mc:AlternateContent>
      </w:r>
      <w:r>
        <mc:AlternateContent>
          <mc:Choice Requires="wps">
            <w:drawing>
              <wp:anchor distT="152400" distB="0" distL="2348230" distR="2461895" simplePos="0" relativeHeight="125829405" behindDoc="0" locked="0" layoutInCell="1" allowOverlap="1">
                <wp:simplePos x="0" y="0"/>
                <wp:positionH relativeFrom="page">
                  <wp:posOffset>2912110</wp:posOffset>
                </wp:positionH>
                <wp:positionV relativeFrom="margin">
                  <wp:posOffset>5056505</wp:posOffset>
                </wp:positionV>
                <wp:extent cx="1505585" cy="149225"/>
                <wp:wrapTopAndBottom/>
                <wp:docPr id="385" name="Shape 38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411" type="#_x0000_t202" style="position:absolute;margin-left:229.30000000000001pt;margin-top:398.15000000000003pt;width:118.55pt;height:11.75pt;z-index:-125829348;mso-wrap-distance-left:184.90000000000001pt;mso-wrap-distance-top:12.pt;mso-wrap-distance-right:193.8499999999999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52400" distB="0" distL="5030470" distR="114935" simplePos="0" relativeHeight="125829407" behindDoc="0" locked="0" layoutInCell="1" allowOverlap="1">
                <wp:simplePos x="0" y="0"/>
                <wp:positionH relativeFrom="page">
                  <wp:posOffset>5594350</wp:posOffset>
                </wp:positionH>
                <wp:positionV relativeFrom="margin">
                  <wp:posOffset>5056505</wp:posOffset>
                </wp:positionV>
                <wp:extent cx="1170305" cy="149225"/>
                <wp:wrapTopAndBottom/>
                <wp:docPr id="387" name="Shape 38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413" type="#_x0000_t202" style="position:absolute;margin-left:440.5pt;margin-top:398.15000000000003pt;width:92.150000000000006pt;height:11.75pt;z-index:-125829346;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6</w:t>
      </w:r>
      <w:bookmarkEnd w:id="492"/>
      <w:r>
        <w:rPr>
          <w:color w:val="000000"/>
          <w:spacing w:val="0"/>
          <w:w w:val="100"/>
          <w:position w:val="0"/>
        </w:rPr>
        <w:t>、母公司现金流量表</w:t>
      </w:r>
      <w:bookmarkEnd w:id="490"/>
      <w:bookmarkEnd w:id="491"/>
      <w:bookmarkEnd w:id="4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907,750,107.08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774,981,973.48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204,998,228.25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110,074,329.05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1,112,748,335.33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885,056,302.53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958,239,382.68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606,081,044.35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63,127,595.28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51,679,115.36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54,152,127.96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64,077,732.19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79,675,736.78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56,924,526.22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1,155,194,842.70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778,762,418.12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-42,446,507.37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106,293,884.41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71,483.18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169,500.00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217,483.18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142,108,619.68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44,001,350.86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55,670,000.00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197,778,619.68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244,001,350.86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-197,609,119.68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-243,783,867.68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37,992,059.00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517,399,686.40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669,012,950.00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2,312,066.02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2,049,416.35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648,304,125.02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1,188,462,052.75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781,400,000.00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30,998,624.48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39,087,774.82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2,839,062.89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456,498,624.48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823,326,837.71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191,805,500.54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365,135,215.04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-48,250,126.51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227,645,231.77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315,484,629.44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87,839,397.67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267,234,502.93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315,484,629.44</w:t>
            </w:r>
          </w:p>
        </w:tc>
      </w:tr>
    </w:tbl>
    <w:p>
      <w:pPr>
        <w:spacing w:lineRule="exact" w:line="1"/>
        <w:rPr>
          <w:sz w:val="2"/>
          <w:szCs w:val="2"/>
        </w:rPr>
      </w:pPr>
      <w:r>
        <w:br w:type="page"/>
      </w:r>
    </w:p>
    <w:p>
      <w:pPr>
        <w:pStyle w:val="Style29"/>
        <w:keepNext w:val="0"/>
        <w:keepLines w:val="0"/>
        <w:widowControl w:val="0"/>
        <w:shd w:val="clear" w:color="auto" w:fill="auto"/>
        <w:tabs>
          <w:tab w:pos="3514" w:val="left"/>
        </w:tabs>
        <w:bidi w:val="0"/>
        <w:spacing w:before="0" w:after="380" w:line="240" w:lineRule="auto"/>
        <w:ind w:left="0" w:right="0" w:firstLine="0"/>
        <w:jc w:val="left"/>
      </w:pPr>
      <w:r>
        <mc:AlternateContent>
          <mc:Choice Requires="wps">
            <w:drawing>
              <wp:anchor distT="0" distB="0" distL="114300" distR="114300" simplePos="0" relativeHeight="125829409" behindDoc="0" locked="0" layoutInCell="1" allowOverlap="1">
                <wp:simplePos x="0" y="0"/>
                <wp:positionH relativeFrom="page">
                  <wp:posOffset>5589905</wp:posOffset>
                </wp:positionH>
                <wp:positionV relativeFrom="paragraph">
                  <wp:posOffset>12700</wp:posOffset>
                </wp:positionV>
                <wp:extent cx="1170305" cy="149225"/>
                <wp:wrapSquare wrapText="left"/>
                <wp:docPr id="389" name="Shape 38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415" type="#_x0000_t202" style="position:absolute;margin-left:440.15000000000003pt;margin-top:1.pt;width:92.150000000000006pt;height:11.75pt;z-index:-125829344;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square" side="left" anchorx="page"/>
              </v:shape>
            </w:pict>
          </mc:Fallback>
        </mc:AlternateContent>
      </w:r>
      <w:r>
        <w:rPr>
          <w:color w:val="000000"/>
          <w:spacing w:val="0"/>
          <w:w w:val="100"/>
          <w:position w:val="0"/>
        </w:rPr>
        <w:t>法定代表人：束龙胜</w:t>
        <w:tab/>
        <w:t>主管会计工作负责人：陶黎明</w:t>
      </w:r>
    </w:p>
    <w:p>
      <w:pPr>
        <w:pStyle w:val="Style34"/>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7</w:t>
      </w:r>
      <w:bookmarkEnd w:id="496"/>
      <w:r>
        <w:rPr>
          <w:color w:val="000000"/>
          <w:spacing w:val="0"/>
          <w:w w:val="100"/>
          <w:position w:val="0"/>
        </w:rPr>
        <w:t>、合并所有者权益变动表</w:t>
      </w:r>
      <w:bookmarkEnd w:id="494"/>
      <w:bookmarkEnd w:id="495"/>
      <w:bookmarkEnd w:id="49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p>
      <w:pPr>
        <w:widowControl w:val="0"/>
        <w:spacing w:after="1510" w:line="1" w:lineRule="exact"/>
      </w:pPr>
      <w:r>
        <w:drawing>
          <wp:anchor distT="0" distB="0" distL="0" distR="0" simplePos="0" relativeHeight="62914974" behindDoc="1" locked="0" layoutInCell="1" allowOverlap="1">
            <wp:simplePos x="0" y="0"/>
            <wp:positionH relativeFrom="page">
              <wp:posOffset>5818505</wp:posOffset>
            </wp:positionH>
            <wp:positionV relativeFrom="paragraph">
              <wp:posOffset>812800</wp:posOffset>
            </wp:positionV>
            <wp:extent cx="402590" cy="146050"/>
            <wp:wrapNone/>
            <wp:docPr id="391" name="Shape 391"/>
            <a:graphic xmlns:a="http://schemas.openxmlformats.org/drawingml/2006/main">
              <a:graphicData uri="http://schemas.openxmlformats.org/drawingml/2006/picture">
                <pic:pic xmlns:pic="http://schemas.openxmlformats.org/drawingml/2006/picture">
                  <pic:nvPicPr>
                    <pic:cNvPr id="392" name="Picture box 392"/>
                    <pic:cNvPicPr/>
                  </pic:nvPicPr>
                  <pic:blipFill>
                    <a:blip r:embed="rId151"/>
                    <a:stretch/>
                  </pic:blipFill>
                  <pic:spPr>
                    <a:xfrm>
                      <a:ext cx="402590" cy="146050"/>
                    </a:xfrm>
                    <a:prstGeom prst="rect"/>
                  </pic:spPr>
                </pic:pic>
              </a:graphicData>
            </a:graphic>
          </wp:anchor>
        </w:drawing>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1,183,382,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872.69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19,839,43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1,183,382,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825.61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872.69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199.10</w:t>
            </w: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110,981,78</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87,486,7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72,767.77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87,559,506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87,486,7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72,767.77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87,559,506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38.75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31,599,654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34,992,059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-392,404.1</w:t>
            </w:r>
          </w:p>
        </w:tc>
      </w:tr>
      <w:tr>
        <w:trPr>
          <w:trHeight w:val="35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7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-8,177,380.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646.97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-8,177,3</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-8,177,380.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413,848</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514,694,</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306,639,</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964.47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16,718,94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174,911,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184,946,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20,774,79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572,262,77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174,911,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184,946,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20,774,79</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572,262,77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243,869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309,968,</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50,105,4</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-935,368.</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611,119,42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r>
      <w:tr>
        <w:trPr>
          <w:trHeight w:val="73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95,341,8</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-935,368.</w:t>
            </w:r>
          </w:p>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94,406,491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line="1" w:lineRule="exact"/>
      </w:pPr>
      <w:r>
        <w:br w:type="page"/>
      </w:r>
    </w:p>
    <w:p>
      <w:pPr>
        <w:widowControl w:val="0"/>
        <w:spacing w:line="1" w:lineRule="exact"/>
      </w:pPr>
      <w:r>
        <mc:AlternateContent>
          <mc:Choice Requires="wps">
            <w:drawing>
              <wp:anchor distT="139700" distB="1545590" distL="114300" distR="5146675" simplePos="0" relativeHeight="125829411" behindDoc="0" locked="0" layoutInCell="1" allowOverlap="1">
                <wp:simplePos x="0" y="0"/>
                <wp:positionH relativeFrom="page">
                  <wp:posOffset>702945</wp:posOffset>
                </wp:positionH>
                <wp:positionV relativeFrom="margin">
                  <wp:posOffset>7997825</wp:posOffset>
                </wp:positionV>
                <wp:extent cx="1054735" cy="149225"/>
                <wp:wrapTopAndBottom/>
                <wp:docPr id="393" name="Shape 39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wps:txbx>
                      <wps:bodyPr wrap="none" lIns="0" tIns="0" rIns="0" bIns="0">
                        <a:noAutoFit/>
                      </wps:bodyPr>
                    </wps:wsp>
                  </a:graphicData>
                </a:graphic>
              </wp:anchor>
            </w:drawing>
          </mc:Choice>
          <mc:Fallback>
            <w:pict>
              <v:shape id="_x0000_s1419" type="#_x0000_t202" style="position:absolute;margin-left:55.350000000000001pt;margin-top:629.75pt;width:83.049999999999997pt;height:11.75pt;z-index:-125829342;mso-wrap-distance-left:9.pt;mso-wrap-distance-top:11.pt;mso-wrap-distance-right:405.25pt;mso-wrap-distance-bottom:121.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v:textbox>
                <w10:wrap type="topAndBottom" anchorx="page" anchory="margin"/>
              </v:shape>
            </w:pict>
          </mc:Fallback>
        </mc:AlternateContent>
      </w:r>
      <w:r>
        <mc:AlternateContent>
          <mc:Choice Requires="wps">
            <w:drawing>
              <wp:anchor distT="139700" distB="1545590" distL="2348230" distR="2461895" simplePos="0" relativeHeight="125829413" behindDoc="0" locked="0" layoutInCell="1" allowOverlap="1">
                <wp:simplePos x="0" y="0"/>
                <wp:positionH relativeFrom="page">
                  <wp:posOffset>2936875</wp:posOffset>
                </wp:positionH>
                <wp:positionV relativeFrom="margin">
                  <wp:posOffset>7997825</wp:posOffset>
                </wp:positionV>
                <wp:extent cx="1505585" cy="149225"/>
                <wp:wrapTopAndBottom/>
                <wp:docPr id="395" name="Shape 39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421" type="#_x0000_t202" style="position:absolute;margin-left:231.25pt;margin-top:629.75pt;width:118.55pt;height:11.75pt;z-index:-125829340;mso-wrap-distance-left:184.90000000000001pt;mso-wrap-distance-top:11.pt;mso-wrap-distance-right:193.84999999999999pt;mso-wrap-distance-bottom:121.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39700" distB="1545590" distL="5030470" distR="114935" simplePos="0" relativeHeight="125829415" behindDoc="0" locked="0" layoutInCell="1" allowOverlap="1">
                <wp:simplePos x="0" y="0"/>
                <wp:positionH relativeFrom="page">
                  <wp:posOffset>5619115</wp:posOffset>
                </wp:positionH>
                <wp:positionV relativeFrom="margin">
                  <wp:posOffset>7997825</wp:posOffset>
                </wp:positionV>
                <wp:extent cx="1170305" cy="149225"/>
                <wp:wrapTopAndBottom/>
                <wp:docPr id="397" name="Shape 39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423" type="#_x0000_t202" style="position:absolute;margin-left:442.44999999999999pt;margin-top:629.75pt;width:92.150000000000006pt;height:11.75pt;z-index:-125829338;mso-wrap-distance-left:396.10000000000002pt;mso-wrap-distance-top:11.pt;mso-wrap-distance-right:9.0500000000000007pt;mso-wrap-distance-bottom:121.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r>
        <w:drawing>
          <wp:anchor distT="1687830" distB="635" distL="5259070" distR="654050" simplePos="0" relativeHeight="125829417" behindDoc="0" locked="0" layoutInCell="1" allowOverlap="1">
            <wp:simplePos x="0" y="0"/>
            <wp:positionH relativeFrom="page">
              <wp:posOffset>5847715</wp:posOffset>
            </wp:positionH>
            <wp:positionV relativeFrom="margin">
              <wp:posOffset>9545955</wp:posOffset>
            </wp:positionV>
            <wp:extent cx="402590" cy="146050"/>
            <wp:wrapTopAndBottom/>
            <wp:docPr id="399" name="Shape 399"/>
            <a:graphic xmlns:a="http://schemas.openxmlformats.org/drawingml/2006/main">
              <a:graphicData uri="http://schemas.openxmlformats.org/drawingml/2006/picture">
                <pic:pic xmlns:pic="http://schemas.openxmlformats.org/drawingml/2006/picture">
                  <pic:nvPicPr>
                    <pic:cNvPr id="400" name="Picture box 400"/>
                    <pic:cNvPicPr/>
                  </pic:nvPicPr>
                  <pic:blipFill>
                    <a:blip r:embed="rId153"/>
                    <a:stretch/>
                  </pic:blipFill>
                  <pic:spPr>
                    <a:xfrm>
                      <a:ext cx="402590" cy="146050"/>
                    </a:xfrm>
                    <a:prstGeom prst="rect"/>
                  </pic:spPr>
                </pic:pic>
              </a:graphicData>
            </a:graphic>
          </wp:anchor>
        </w:drawing>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95,341,8</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-935,368.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94,406,491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78,869,</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441,968,</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520,837,93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78,869,</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436,641,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515,510,62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5,327,31</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-12,236,</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-8,111,4</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-4,125,0</w:t>
            </w:r>
          </w:p>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-33,000,</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-33,000,</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484,880,</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235,051,</w:t>
            </w:r>
          </w:p>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199.10</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8</w:t>
      </w:r>
      <w:bookmarkEnd w:id="500"/>
      <w:r>
        <w:rPr>
          <w:color w:val="000000"/>
          <w:spacing w:val="0"/>
          <w:w w:val="100"/>
          <w:position w:val="0"/>
        </w:rPr>
        <w:t>、母公司所有者权益变动表</w:t>
      </w:r>
      <w:bookmarkEnd w:id="498"/>
      <w:bookmarkEnd w:id="499"/>
      <w:bookmarkEnd w:id="50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编制单位：安徽鑫龙电器股份有限公司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484,553,64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161,570,82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484,553,64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161,570,82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1,088,256,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436.83</w:t>
            </w: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61,314,022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106,634,94</w:t>
            </w: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77,212,669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77,212,669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77,212,669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77,212,669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37,599,654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33,012,759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37,992,059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-392,404.1</w:t>
            </w:r>
          </w:p>
        </w:tc>
      </w:tr>
      <w:tr>
        <w:trPr>
          <w:trHeight w:val="355"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-8,177,380.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-7,721,266.</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-8,177,380.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-8,177,380.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55"/>
          <w:footerReference w:type="default" r:id="rId156"/>
          <w:headerReference w:type="even" r:id="rId157"/>
          <w:footerReference w:type="even" r:id="rId158"/>
          <w:headerReference w:type="first" r:id="rId159"/>
          <w:footerReference w:type="first" r:id="rId160"/>
          <w:footnotePr>
            <w:pos w:val="pageBottom"/>
            <w:numFmt w:val="decimal"/>
            <w:numRestart w:val="continuous"/>
          </w:footnotePr>
          <w:pgSz w:w="11900" w:h="16840"/>
          <w:pgMar w:top="1142" w:right="992" w:bottom="1188" w:left="905" w:header="0" w:footer="3" w:gutter="0"/>
          <w:cols w:space="720"/>
          <w:noEndnote/>
          <w:titlePg/>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413,848,30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517,174,00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40,984,227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222,884,85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1,194,891,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174,584,70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25,151,530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125,692,96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490,429,19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174,584,70</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25,151,530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125,692,96</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490,429,19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243,869,00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309,968,93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8,111,429.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35,877,869</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597,827,23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81,114,299</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81,114,299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81,114,299</w:t>
            </w:r>
          </w:p>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81,114,299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78,869,000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441,968,93</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520,837,93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78,869,000</w:t>
            </w:r>
          </w:p>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436,641,62</w:t>
            </w:r>
          </w:p>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515,510,62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5,327,314.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-4,125,000.</w:t>
            </w:r>
          </w:p>
        </w:tc>
      </w:tr>
    </w:tbl>
    <w:p>
      <w:pPr>
        <w:widowControl w:val="0"/>
        <w:spacing w:line="1" w:lineRule="exact"/>
      </w:pPr>
      <w:r>
        <w:br w:type="page"/>
      </w: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8,111,429.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-8,111,429.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484,553,64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33,262,960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161,570,82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1,088,256,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436.83</w:t>
            </w:r>
          </w:p>
        </w:tc>
      </w:tr>
    </w:tbl>
    <w:p>
      <w:pPr>
        <w:pStyle w:val="Style27"/>
        <w:keepNext w:val="0"/>
        <w:keepLines w:val="0"/>
        <w:widowControl w:val="0"/>
        <w:shd w:val="clear" w:color="auto" w:fill="auto"/>
        <w:tabs>
          <w:tab w:pos="3466" w:val="left"/>
          <w:tab w:pos="7704" w:val="left"/>
        </w:tabs>
        <w:bidi w:val="0"/>
        <w:spacing w:before="0" w:after="0" w:line="240" w:lineRule="auto"/>
        <w:ind w:left="0" w:right="0" w:firstLine="0"/>
        <w:jc w:val="left"/>
      </w:pPr>
      <w:r>
        <w:rPr>
          <w:color w:val="000000"/>
          <w:spacing w:val="0"/>
          <w:w w:val="100"/>
          <w:position w:val="0"/>
        </w:rPr>
        <w:t>法定代表人：束龙胜</w:t>
        <w:tab/>
        <w:t>主管会计工作负责人：陶黎明</w:t>
        <w:tab/>
        <w:t>会计机构负责人：杨勇</w:t>
      </w:r>
    </w:p>
    <w:p>
      <w:pPr>
        <w:widowControl w:val="0"/>
        <w:spacing w:after="379" w:line="1" w:lineRule="exact"/>
      </w:pPr>
    </w:p>
    <w:p>
      <w:pPr>
        <w:pStyle w:val="Style25"/>
        <w:keepNext/>
        <w:keepLines/>
        <w:widowControl w:val="0"/>
        <w:shd w:val="clear" w:color="auto" w:fill="auto"/>
        <w:bidi w:val="0"/>
        <w:spacing w:before="0" w:after="280" w:line="240" w:lineRule="auto"/>
        <w:ind w:left="0" w:right="0" w:firstLine="0"/>
        <w:jc w:val="both"/>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、公司基本情况</w:t>
      </w:r>
      <w:bookmarkEnd w:id="502"/>
      <w:bookmarkEnd w:id="503"/>
      <w:bookmarkEnd w:id="505"/>
    </w:p>
    <w:p>
      <w:pPr>
        <w:pStyle w:val="Style69"/>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安徽鑫龙电器股份有限公司（以下简称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日，经安徽省工商行政管理局 核准登记注册，企业法人营业执照的注册号为：</w:t>
      </w:r>
      <w:r>
        <w:rPr>
          <w:rFonts w:ascii="Times New Roman" w:eastAsia="Times New Roman" w:hAnsi="Times New Roman" w:cs="Times New Roman"/>
          <w:color w:val="000000"/>
          <w:spacing w:val="0"/>
          <w:w w:val="100"/>
          <w:position w:val="0"/>
        </w:rPr>
        <w:t>3400002400030</w:t>
      </w:r>
      <w:r>
        <w:rPr>
          <w:color w:val="000000"/>
          <w:spacing w:val="0"/>
          <w:w w:val="100"/>
          <w:position w:val="0"/>
        </w:rPr>
        <w:t>,注册资本</w:t>
      </w:r>
      <w:r>
        <w:rPr>
          <w:rFonts w:ascii="Times New Roman" w:eastAsia="Times New Roman" w:hAnsi="Times New Roman" w:cs="Times New Roman"/>
          <w:color w:val="000000"/>
          <w:spacing w:val="0"/>
          <w:w w:val="100"/>
          <w:position w:val="0"/>
        </w:rPr>
        <w:t>8,200</w:t>
      </w:r>
      <w:r>
        <w:rPr>
          <w:color w:val="000000"/>
          <w:spacing w:val="0"/>
          <w:w w:val="100"/>
          <w:position w:val="0"/>
        </w:rPr>
        <w:t>万元，注册地址：芜湖市 经济技术开发区电器部件园（九华北路</w:t>
      </w:r>
      <w:r>
        <w:rPr>
          <w:rFonts w:ascii="Times New Roman" w:eastAsia="Times New Roman" w:hAnsi="Times New Roman" w:cs="Times New Roman"/>
          <w:color w:val="000000"/>
          <w:spacing w:val="0"/>
          <w:w w:val="100"/>
          <w:position w:val="0"/>
        </w:rPr>
        <w:t>118</w:t>
      </w:r>
      <w:r>
        <w:rPr>
          <w:color w:val="000000"/>
          <w:spacing w:val="0"/>
          <w:w w:val="100"/>
          <w:position w:val="0"/>
        </w:rPr>
        <w:t>号），法定代表人：束龙胜。</w:t>
      </w:r>
    </w:p>
    <w:p>
      <w:pPr>
        <w:pStyle w:val="Style69"/>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2008</w:t>
      </w:r>
      <w:r>
        <w:rPr>
          <w:color w:val="000000"/>
          <w:spacing w:val="0"/>
          <w:w w:val="100"/>
          <w:position w:val="0"/>
        </w:rPr>
        <w:t>年第一次临时股东大会决议及中国证券监督管理委员会证监许可</w:t>
      </w:r>
      <w:r>
        <w:rPr>
          <w:rFonts w:ascii="Times New Roman" w:eastAsia="Times New Roman" w:hAnsi="Times New Roman" w:cs="Times New Roman"/>
          <w:color w:val="000000"/>
          <w:spacing w:val="0"/>
          <w:w w:val="100"/>
          <w:position w:val="0"/>
        </w:rPr>
        <w:t xml:space="preserve">[2009] </w:t>
      </w:r>
      <w:r>
        <w:rPr>
          <w:rFonts w:ascii="Times New Roman" w:eastAsia="Times New Roman" w:hAnsi="Times New Roman" w:cs="Times New Roman"/>
          <w:color w:val="000000"/>
          <w:spacing w:val="0"/>
          <w:w w:val="100"/>
          <w:position w:val="0"/>
        </w:rPr>
        <w:t>929</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关于 核准安徽鑫龙电器股份有限公司首次公开发行股票的批复</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本公司分别于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日采用网下配售方 式向询价对象公开发行人民币普通股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560</w:t>
      </w:r>
      <w:r>
        <w:rPr>
          <w:color w:val="000000"/>
          <w:spacing w:val="0"/>
          <w:w w:val="100"/>
          <w:position w:val="0"/>
        </w:rPr>
        <w:t>万股，</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日采用网上定价方式公开发行人民币 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2,240</w:t>
      </w:r>
      <w:r>
        <w:rPr>
          <w:color w:val="000000"/>
          <w:spacing w:val="0"/>
          <w:w w:val="100"/>
          <w:position w:val="0"/>
        </w:rPr>
        <w:t>万股，共计公开发行人民币普通股（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2,800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9.50</w:t>
      </w:r>
      <w:r>
        <w:rPr>
          <w:color w:val="000000"/>
          <w:spacing w:val="0"/>
          <w:w w:val="100"/>
          <w:position w:val="0"/>
        </w:rPr>
        <w:t>元。公司 发行后社会公众股为</w:t>
      </w:r>
      <w:r>
        <w:rPr>
          <w:rFonts w:ascii="Times New Roman" w:eastAsia="Times New Roman" w:hAnsi="Times New Roman" w:cs="Times New Roman"/>
          <w:color w:val="000000"/>
          <w:spacing w:val="0"/>
          <w:w w:val="100"/>
          <w:position w:val="0"/>
        </w:rPr>
        <w:t>2800</w:t>
      </w:r>
      <w:r>
        <w:rPr>
          <w:color w:val="000000"/>
          <w:spacing w:val="0"/>
          <w:w w:val="100"/>
          <w:position w:val="0"/>
        </w:rPr>
        <w:t>万股，出资方式全部为货币资金。本次发行后本公司的注册资本为</w:t>
      </w:r>
      <w:r>
        <w:rPr>
          <w:rFonts w:ascii="Times New Roman" w:eastAsia="Times New Roman" w:hAnsi="Times New Roman" w:cs="Times New Roman"/>
          <w:color w:val="000000"/>
          <w:spacing w:val="0"/>
          <w:w w:val="100"/>
          <w:position w:val="0"/>
        </w:rPr>
        <w:t>11,000</w:t>
      </w:r>
      <w:r>
        <w:rPr>
          <w:color w:val="000000"/>
          <w:spacing w:val="0"/>
          <w:w w:val="100"/>
          <w:position w:val="0"/>
        </w:rPr>
        <w:t>万元。</w:t>
      </w:r>
    </w:p>
    <w:p>
      <w:pPr>
        <w:pStyle w:val="Style69"/>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rPr>
        <w:t>2009</w:t>
      </w:r>
      <w:r>
        <w:rPr>
          <w:color w:val="000000"/>
          <w:spacing w:val="0"/>
          <w:w w:val="100"/>
          <w:position w:val="0"/>
        </w:rPr>
        <w:t>年度利润分配的预案》，以</w:t>
      </w:r>
      <w:r>
        <w:rPr>
          <w:rFonts w:ascii="Times New Roman" w:eastAsia="Times New Roman" w:hAnsi="Times New Roman" w:cs="Times New Roman"/>
          <w:color w:val="000000"/>
          <w:spacing w:val="0"/>
          <w:w w:val="100"/>
          <w:position w:val="0"/>
        </w:rPr>
        <w:t>2009</w:t>
      </w:r>
      <w:r>
        <w:rPr>
          <w:color w:val="000000"/>
          <w:spacing w:val="0"/>
          <w:w w:val="100"/>
          <w:position w:val="0"/>
        </w:rPr>
        <w:t>年末</w:t>
      </w:r>
      <w:r>
        <w:rPr>
          <w:rFonts w:ascii="Times New Roman" w:eastAsia="Times New Roman" w:hAnsi="Times New Roman" w:cs="Times New Roman"/>
          <w:color w:val="000000"/>
          <w:spacing w:val="0"/>
          <w:w w:val="100"/>
          <w:position w:val="0"/>
        </w:rPr>
        <w:t xml:space="preserve">11,000 </w:t>
      </w:r>
      <w:r>
        <w:rPr>
          <w:color w:val="000000"/>
          <w:spacing w:val="0"/>
          <w:w w:val="100"/>
          <w:position w:val="0"/>
        </w:rPr>
        <w:t>万股本为基数，以资本公积向全体股东每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股的利润分配方案，公司总股本由</w:t>
      </w:r>
      <w:r>
        <w:rPr>
          <w:rFonts w:ascii="Times New Roman" w:eastAsia="Times New Roman" w:hAnsi="Times New Roman" w:cs="Times New Roman"/>
          <w:color w:val="000000"/>
          <w:spacing w:val="0"/>
          <w:w w:val="100"/>
          <w:position w:val="0"/>
        </w:rPr>
        <w:t>11,000</w:t>
      </w:r>
      <w:r>
        <w:rPr>
          <w:color w:val="000000"/>
          <w:spacing w:val="0"/>
          <w:w w:val="100"/>
          <w:position w:val="0"/>
        </w:rPr>
        <w:t xml:space="preserve">万股增加到 </w:t>
      </w:r>
      <w:r>
        <w:rPr>
          <w:rFonts w:ascii="Times New Roman" w:eastAsia="Times New Roman" w:hAnsi="Times New Roman" w:cs="Times New Roman"/>
          <w:color w:val="000000"/>
          <w:spacing w:val="0"/>
          <w:w w:val="100"/>
          <w:position w:val="0"/>
        </w:rPr>
        <w:t>16,500</w:t>
      </w:r>
      <w:r>
        <w:rPr>
          <w:color w:val="000000"/>
          <w:spacing w:val="0"/>
          <w:w w:val="100"/>
          <w:position w:val="0"/>
        </w:rPr>
        <w:t>万股。本次资本公积转增资本后公司的注册资本变更为</w:t>
      </w:r>
      <w:r>
        <w:rPr>
          <w:rFonts w:ascii="Times New Roman" w:eastAsia="Times New Roman" w:hAnsi="Times New Roman" w:cs="Times New Roman"/>
          <w:color w:val="000000"/>
          <w:spacing w:val="0"/>
          <w:w w:val="100"/>
          <w:position w:val="0"/>
        </w:rPr>
        <w:t>16,500</w:t>
      </w:r>
      <w:r>
        <w:rPr>
          <w:color w:val="000000"/>
          <w:spacing w:val="0"/>
          <w:w w:val="100"/>
          <w:position w:val="0"/>
        </w:rPr>
        <w:t>万元。</w:t>
      </w:r>
    </w:p>
    <w:p>
      <w:pPr>
        <w:pStyle w:val="Style69"/>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年度利润分配的预案》，以</w:t>
      </w:r>
      <w:r>
        <w:rPr>
          <w:rFonts w:ascii="Times New Roman" w:eastAsia="Times New Roman" w:hAnsi="Times New Roman" w:cs="Times New Roman"/>
          <w:color w:val="000000"/>
          <w:spacing w:val="0"/>
          <w:w w:val="100"/>
          <w:position w:val="0"/>
        </w:rPr>
        <w:t>2011</w:t>
      </w:r>
      <w:r>
        <w:rPr>
          <w:color w:val="000000"/>
          <w:spacing w:val="0"/>
          <w:w w:val="100"/>
          <w:position w:val="0"/>
        </w:rPr>
        <w:t>年末</w:t>
      </w:r>
      <w:r>
        <w:rPr>
          <w:rFonts w:ascii="Times New Roman" w:eastAsia="Times New Roman" w:hAnsi="Times New Roman" w:cs="Times New Roman"/>
          <w:color w:val="000000"/>
          <w:spacing w:val="0"/>
          <w:w w:val="100"/>
          <w:position w:val="0"/>
        </w:rPr>
        <w:t xml:space="preserve">16,500 </w:t>
      </w:r>
      <w:r>
        <w:rPr>
          <w:color w:val="000000"/>
          <w:spacing w:val="0"/>
          <w:w w:val="100"/>
          <w:position w:val="0"/>
        </w:rPr>
        <w:t>万股本为基数，公司按每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股的比例，以资本公积、未分配利润向全体股东转增股份总额</w:t>
      </w:r>
      <w:r>
        <w:rPr>
          <w:rFonts w:ascii="Times New Roman" w:eastAsia="Times New Roman" w:hAnsi="Times New Roman" w:cs="Times New Roman"/>
          <w:color w:val="000000"/>
          <w:spacing w:val="0"/>
          <w:w w:val="100"/>
          <w:position w:val="0"/>
        </w:rPr>
        <w:t xml:space="preserve">16,500 </w:t>
      </w:r>
      <w:r>
        <w:rPr>
          <w:color w:val="000000"/>
          <w:spacing w:val="0"/>
          <w:w w:val="100"/>
          <w:position w:val="0"/>
        </w:rPr>
        <w:t>万股，其中：由资本公积转增</w:t>
      </w:r>
      <w:r>
        <w:rPr>
          <w:rFonts w:ascii="Times New Roman" w:eastAsia="Times New Roman" w:hAnsi="Times New Roman" w:cs="Times New Roman"/>
          <w:color w:val="000000"/>
          <w:spacing w:val="0"/>
          <w:w w:val="100"/>
          <w:position w:val="0"/>
        </w:rPr>
        <w:t>13,200</w:t>
      </w:r>
      <w:r>
        <w:rPr>
          <w:color w:val="000000"/>
          <w:spacing w:val="0"/>
          <w:w w:val="100"/>
          <w:position w:val="0"/>
        </w:rPr>
        <w:t>万股，由未分配利润转增</w:t>
      </w:r>
      <w:r>
        <w:rPr>
          <w:rFonts w:ascii="Times New Roman" w:eastAsia="Times New Roman" w:hAnsi="Times New Roman" w:cs="Times New Roman"/>
          <w:color w:val="000000"/>
          <w:spacing w:val="0"/>
          <w:w w:val="100"/>
          <w:position w:val="0"/>
        </w:rPr>
        <w:t>3,300</w:t>
      </w:r>
      <w:r>
        <w:rPr>
          <w:color w:val="000000"/>
          <w:spacing w:val="0"/>
          <w:w w:val="100"/>
          <w:position w:val="0"/>
        </w:rPr>
        <w:t xml:space="preserve">万股。本次转增资本后公司的注册资本 </w:t>
      </w:r>
      <w:r>
        <w:rPr>
          <w:color w:val="000000"/>
          <w:spacing w:val="0"/>
          <w:w w:val="100"/>
          <w:position w:val="0"/>
        </w:rPr>
        <w:t>变更为</w:t>
      </w:r>
      <w:r>
        <w:rPr>
          <w:rFonts w:ascii="Times New Roman" w:eastAsia="Times New Roman" w:hAnsi="Times New Roman" w:cs="Times New Roman"/>
          <w:color w:val="000000"/>
          <w:spacing w:val="0"/>
          <w:w w:val="100"/>
          <w:position w:val="0"/>
        </w:rPr>
        <w:t>33,000</w:t>
      </w:r>
      <w:r>
        <w:rPr>
          <w:color w:val="000000"/>
          <w:spacing w:val="0"/>
          <w:w w:val="100"/>
          <w:position w:val="0"/>
        </w:rPr>
        <w:t>万元。</w:t>
      </w:r>
    </w:p>
    <w:p>
      <w:pPr>
        <w:pStyle w:val="Style69"/>
        <w:keepNext w:val="0"/>
        <w:keepLines w:val="0"/>
        <w:widowControl w:val="0"/>
        <w:shd w:val="clear" w:color="auto" w:fill="auto"/>
        <w:bidi w:val="0"/>
        <w:spacing w:before="0" w:after="0"/>
        <w:ind w:left="0" w:right="0" w:firstLine="420"/>
        <w:jc w:val="both"/>
      </w:pPr>
      <w:r>
        <w:rPr>
          <w:color w:val="000000"/>
          <w:spacing w:val="0"/>
          <w:w w:val="100"/>
          <w:position w:val="0"/>
        </w:rPr>
        <w:t>根据公司第五届董事会第十八次会议、</w:t>
      </w:r>
      <w:r>
        <w:rPr>
          <w:rFonts w:ascii="Times New Roman" w:eastAsia="Times New Roman" w:hAnsi="Times New Roman" w:cs="Times New Roman"/>
          <w:color w:val="000000"/>
          <w:spacing w:val="0"/>
          <w:w w:val="100"/>
          <w:position w:val="0"/>
        </w:rPr>
        <w:t>2011</w:t>
      </w:r>
      <w:r>
        <w:rPr>
          <w:color w:val="000000"/>
          <w:spacing w:val="0"/>
          <w:w w:val="100"/>
          <w:position w:val="0"/>
        </w:rPr>
        <w:t>年第四次临时股东大会的决议和修改后章程的规定，并经 中国证券监督管理委员会证监许可</w:t>
      </w:r>
      <w:r>
        <w:rPr>
          <w:rFonts w:ascii="Times New Roman" w:eastAsia="Times New Roman" w:hAnsi="Times New Roman" w:cs="Times New Roman"/>
          <w:color w:val="000000"/>
          <w:spacing w:val="0"/>
          <w:w w:val="100"/>
          <w:position w:val="0"/>
        </w:rPr>
        <w:t>[2012]648</w:t>
      </w:r>
      <w:r>
        <w:rPr>
          <w:color w:val="000000"/>
          <w:spacing w:val="0"/>
          <w:w w:val="100"/>
          <w:position w:val="0"/>
        </w:rPr>
        <w:t>号文《关于核准安徽鑫龙电器股份有限公司非公开发行股票的 批复》核准，鑫龙电器公司于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日向特定对象定价发行人民币普通股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rPr>
        <w:t>7,886.90</w:t>
      </w:r>
      <w:r>
        <w:rPr>
          <w:color w:val="000000"/>
          <w:spacing w:val="0"/>
          <w:w w:val="100"/>
          <w:position w:val="0"/>
        </w:rPr>
        <w:t>万股，每股 发行认购价格为人民币</w:t>
      </w:r>
      <w:r>
        <w:rPr>
          <w:rFonts w:ascii="Times New Roman" w:eastAsia="Times New Roman" w:hAnsi="Times New Roman" w:cs="Times New Roman"/>
          <w:color w:val="000000"/>
          <w:spacing w:val="0"/>
          <w:w w:val="100"/>
          <w:position w:val="0"/>
        </w:rPr>
        <w:t>6.72</w:t>
      </w:r>
      <w:r>
        <w:rPr>
          <w:color w:val="000000"/>
          <w:spacing w:val="0"/>
          <w:w w:val="100"/>
          <w:position w:val="0"/>
        </w:rPr>
        <w:t>元。经此发行后，注册资本变更为人民币</w:t>
      </w:r>
      <w:r>
        <w:rPr>
          <w:rFonts w:ascii="Times New Roman" w:eastAsia="Times New Roman" w:hAnsi="Times New Roman" w:cs="Times New Roman"/>
          <w:color w:val="000000"/>
          <w:spacing w:val="0"/>
          <w:w w:val="100"/>
          <w:position w:val="0"/>
        </w:rPr>
        <w:t>40,886.90</w:t>
      </w:r>
      <w:r>
        <w:rPr>
          <w:color w:val="000000"/>
          <w:spacing w:val="0"/>
          <w:w w:val="100"/>
          <w:position w:val="0"/>
        </w:rPr>
        <w:t>万元。</w:t>
      </w:r>
    </w:p>
    <w:p>
      <w:pPr>
        <w:pStyle w:val="Style69"/>
        <w:keepNext w:val="0"/>
        <w:keepLines w:val="0"/>
        <w:widowControl w:val="0"/>
        <w:shd w:val="clear" w:color="auto" w:fill="auto"/>
        <w:bidi w:val="0"/>
        <w:spacing w:before="0" w:after="0"/>
        <w:ind w:left="0" w:right="0" w:firstLine="42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年第一次临时股东大会审议通过的《安徽鑫龙电器股份有限公司股票期权激励计划（修 订稿）》的相关规定，公司首期股票期权激励计划首次授予第一个行权期的行权条件已经满足，经公司第 五届董事会第二十九次会议审议通过了《关于公司股票期权激励计划首次授予第一个行权期可行权的议 案》。公司实际有</w:t>
      </w:r>
      <w:r>
        <w:rPr>
          <w:rFonts w:ascii="Times New Roman" w:eastAsia="Times New Roman" w:hAnsi="Times New Roman" w:cs="Times New Roman"/>
          <w:color w:val="000000"/>
          <w:spacing w:val="0"/>
          <w:w w:val="100"/>
          <w:position w:val="0"/>
        </w:rPr>
        <w:t>101</w:t>
      </w:r>
      <w:r>
        <w:rPr>
          <w:color w:val="000000"/>
          <w:spacing w:val="0"/>
          <w:w w:val="100"/>
          <w:position w:val="0"/>
        </w:rPr>
        <w:t>名股权激励对象合计行权</w:t>
      </w:r>
      <w:r>
        <w:rPr>
          <w:rFonts w:ascii="Times New Roman" w:eastAsia="Times New Roman" w:hAnsi="Times New Roman" w:cs="Times New Roman"/>
          <w:color w:val="000000"/>
          <w:spacing w:val="0"/>
          <w:w w:val="100"/>
          <w:position w:val="0"/>
        </w:rPr>
        <w:t>497.93</w:t>
      </w:r>
      <w:r>
        <w:rPr>
          <w:color w:val="000000"/>
          <w:spacing w:val="0"/>
          <w:w w:val="100"/>
          <w:position w:val="0"/>
        </w:rPr>
        <w:t>万份股票期权，每份股票期权行权价格为人民币</w:t>
      </w:r>
      <w:r>
        <w:rPr>
          <w:rFonts w:ascii="Times New Roman" w:eastAsia="Times New Roman" w:hAnsi="Times New Roman" w:cs="Times New Roman"/>
          <w:color w:val="000000"/>
          <w:spacing w:val="0"/>
          <w:w w:val="100"/>
          <w:position w:val="0"/>
        </w:rPr>
        <w:t xml:space="preserve">7.63 </w:t>
      </w:r>
      <w:r>
        <w:rPr>
          <w:color w:val="000000"/>
          <w:spacing w:val="0"/>
          <w:w w:val="100"/>
          <w:position w:val="0"/>
        </w:rPr>
        <w:t>元，行权后的注册资本变更为人民币</w:t>
      </w:r>
      <w:r>
        <w:rPr>
          <w:rFonts w:ascii="Times New Roman" w:eastAsia="Times New Roman" w:hAnsi="Times New Roman" w:cs="Times New Roman"/>
          <w:color w:val="000000"/>
          <w:spacing w:val="0"/>
          <w:w w:val="100"/>
          <w:position w:val="0"/>
        </w:rPr>
        <w:t>41,384.83</w:t>
      </w:r>
      <w:r>
        <w:rPr>
          <w:color w:val="000000"/>
          <w:spacing w:val="0"/>
          <w:w w:val="100"/>
          <w:position w:val="0"/>
        </w:rPr>
        <w:t>万元。</w:t>
      </w:r>
    </w:p>
    <w:p>
      <w:pPr>
        <w:pStyle w:val="Style69"/>
        <w:keepNext w:val="0"/>
        <w:keepLines w:val="0"/>
        <w:widowControl w:val="0"/>
        <w:shd w:val="clear" w:color="auto" w:fill="auto"/>
        <w:bidi w:val="0"/>
        <w:spacing w:before="0" w:after="0"/>
        <w:ind w:left="0" w:right="0" w:firstLine="420"/>
        <w:jc w:val="both"/>
      </w:pPr>
      <w:r>
        <w:rPr>
          <w:color w:val="000000"/>
          <w:spacing w:val="0"/>
          <w:w w:val="100"/>
          <w:position w:val="0"/>
        </w:rPr>
        <w:t>本公司属于输配电及控制设备制造业。经营范围主要包括：电气机械及器材制造、工业过程控制及监 控系统、计算机应用服务与综合信息网络工程、电子声像工程、各种智能化系统和技术防范工程设计、制 造、施工、安装、维修、调试、销售及技术服务等。</w:t>
      </w:r>
    </w:p>
    <w:p>
      <w:pPr>
        <w:pStyle w:val="Style69"/>
        <w:keepNext w:val="0"/>
        <w:keepLines w:val="0"/>
        <w:widowControl w:val="0"/>
        <w:shd w:val="clear" w:color="auto" w:fill="auto"/>
        <w:bidi w:val="0"/>
        <w:spacing w:before="0" w:after="0"/>
        <w:ind w:left="0" w:right="0" w:firstLine="420"/>
        <w:jc w:val="both"/>
      </w:pPr>
      <w:r>
        <w:rPr>
          <w:color w:val="000000"/>
          <w:spacing w:val="0"/>
          <w:w w:val="100"/>
          <w:position w:val="0"/>
        </w:rPr>
        <w:t>本公司的主要产品包括：高、低压成套开关设备、元器件、自动化产品等，主要应用于发电厂、变电 所及城市、农村、工矿企业、交通运输、高层建筑、公用设施等领域的变、配电时接受和分配电能等。</w:t>
      </w:r>
    </w:p>
    <w:p>
      <w:pPr>
        <w:pStyle w:val="Style69"/>
        <w:keepNext w:val="0"/>
        <w:keepLines w:val="0"/>
        <w:widowControl w:val="0"/>
        <w:shd w:val="clear" w:color="auto" w:fill="auto"/>
        <w:bidi w:val="0"/>
        <w:spacing w:before="0" w:after="340"/>
        <w:ind w:left="0" w:right="0" w:firstLine="360"/>
        <w:jc w:val="left"/>
      </w:pPr>
      <w:r>
        <w:rPr>
          <w:color w:val="000000"/>
          <w:spacing w:val="0"/>
          <w:w w:val="100"/>
          <w:position w:val="0"/>
        </w:rPr>
        <w:t>公司在报告期间内主营业务未发生变更。</w:t>
      </w:r>
    </w:p>
    <w:p>
      <w:pPr>
        <w:pStyle w:val="Style25"/>
        <w:keepNext/>
        <w:keepLines/>
        <w:widowControl w:val="0"/>
        <w:shd w:val="clear" w:color="auto" w:fill="auto"/>
        <w:bidi w:val="0"/>
        <w:spacing w:before="0" w:after="30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sz w:val="24"/>
          <w:szCs w:val="24"/>
        </w:rPr>
        <w:t>四</w:t>
      </w:r>
      <w:bookmarkEnd w:id="508"/>
      <w:r>
        <w:rPr>
          <w:color w:val="000000"/>
          <w:spacing w:val="0"/>
          <w:w w:val="100"/>
          <w:position w:val="0"/>
          <w:sz w:val="24"/>
          <w:szCs w:val="24"/>
        </w:rPr>
        <w:t>、公司主要会计政策、会计估计和前期差错</w:t>
      </w:r>
      <w:bookmarkEnd w:id="506"/>
      <w:bookmarkEnd w:id="507"/>
      <w:bookmarkEnd w:id="509"/>
    </w:p>
    <w:p>
      <w:pPr>
        <w:pStyle w:val="Style34"/>
        <w:keepNext/>
        <w:keepLines/>
        <w:widowControl w:val="0"/>
        <w:shd w:val="clear" w:color="auto" w:fill="auto"/>
        <w:tabs>
          <w:tab w:pos="368" w:val="left"/>
        </w:tabs>
        <w:bidi w:val="0"/>
        <w:spacing w:before="0" w:after="300" w:line="312" w:lineRule="exact"/>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w:t>
        <w:tab/>
        <w:t>财务报表的编制基础</w:t>
      </w:r>
      <w:bookmarkEnd w:id="510"/>
      <w:bookmarkEnd w:id="511"/>
      <w:bookmarkEnd w:id="513"/>
    </w:p>
    <w:p>
      <w:pPr>
        <w:pStyle w:val="Style69"/>
        <w:keepNext w:val="0"/>
        <w:keepLines w:val="0"/>
        <w:widowControl w:val="0"/>
        <w:shd w:val="clear" w:color="auto" w:fill="auto"/>
        <w:bidi w:val="0"/>
        <w:spacing w:before="0" w:after="300" w:line="310" w:lineRule="exact"/>
        <w:ind w:left="0" w:right="0" w:firstLine="42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 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 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进行确认和计量，在此基础上编制财务报表。</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2</w:t>
      </w:r>
      <w:bookmarkEnd w:id="516"/>
      <w:r>
        <w:rPr>
          <w:color w:val="000000"/>
          <w:spacing w:val="0"/>
          <w:w w:val="100"/>
          <w:position w:val="0"/>
        </w:rPr>
        <w:t>、</w:t>
        <w:tab/>
        <w:t>遵循企业会计准则的声明</w:t>
      </w:r>
      <w:bookmarkEnd w:id="514"/>
      <w:bookmarkEnd w:id="515"/>
      <w:bookmarkEnd w:id="517"/>
    </w:p>
    <w:p>
      <w:pPr>
        <w:pStyle w:val="Style69"/>
        <w:keepNext w:val="0"/>
        <w:keepLines w:val="0"/>
        <w:widowControl w:val="0"/>
        <w:shd w:val="clear" w:color="auto" w:fill="auto"/>
        <w:bidi w:val="0"/>
        <w:spacing w:before="0" w:after="300" w:line="312" w:lineRule="exact"/>
        <w:ind w:left="0" w:right="0" w:firstLine="260"/>
        <w:jc w:val="both"/>
      </w:pPr>
      <w:r>
        <w:rPr>
          <w:color w:val="000000"/>
          <w:spacing w:val="0"/>
          <w:w w:val="100"/>
          <w:position w:val="0"/>
        </w:rPr>
        <w:t>公司所编制的财务报表符合企业会计准则的要求，真实、完整地反映了报告期公司的财务状况、经营成 果、现金流量等有关信息。</w:t>
      </w:r>
    </w:p>
    <w:p>
      <w:pPr>
        <w:pStyle w:val="Style34"/>
        <w:keepNext/>
        <w:keepLines/>
        <w:widowControl w:val="0"/>
        <w:shd w:val="clear" w:color="auto" w:fill="auto"/>
        <w:tabs>
          <w:tab w:pos="378" w:val="left"/>
        </w:tabs>
        <w:bidi w:val="0"/>
        <w:spacing w:before="0" w:after="300" w:line="312" w:lineRule="exact"/>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3</w:t>
      </w:r>
      <w:bookmarkEnd w:id="520"/>
      <w:r>
        <w:rPr>
          <w:color w:val="000000"/>
          <w:spacing w:val="0"/>
          <w:w w:val="100"/>
          <w:position w:val="0"/>
        </w:rPr>
        <w:t>、</w:t>
        <w:tab/>
        <w:t>会计期间</w:t>
      </w:r>
      <w:bookmarkEnd w:id="518"/>
      <w:bookmarkEnd w:id="519"/>
      <w:bookmarkEnd w:id="521"/>
    </w:p>
    <w:p>
      <w:pPr>
        <w:pStyle w:val="Style69"/>
        <w:keepNext w:val="0"/>
        <w:keepLines w:val="0"/>
        <w:widowControl w:val="0"/>
        <w:shd w:val="clear" w:color="auto" w:fill="auto"/>
        <w:bidi w:val="0"/>
        <w:spacing w:before="0" w:after="300"/>
        <w:ind w:left="0" w:right="0" w:firstLine="42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4</w:t>
      </w:r>
      <w:bookmarkEnd w:id="524"/>
      <w:r>
        <w:rPr>
          <w:color w:val="000000"/>
          <w:spacing w:val="0"/>
          <w:w w:val="100"/>
          <w:position w:val="0"/>
        </w:rPr>
        <w:t>、</w:t>
        <w:tab/>
        <w:t>记账本位币</w:t>
      </w:r>
      <w:bookmarkEnd w:id="522"/>
      <w:bookmarkEnd w:id="523"/>
      <w:bookmarkEnd w:id="525"/>
    </w:p>
    <w:p>
      <w:pPr>
        <w:pStyle w:val="Style69"/>
        <w:keepNext w:val="0"/>
        <w:keepLines w:val="0"/>
        <w:widowControl w:val="0"/>
        <w:shd w:val="clear" w:color="auto" w:fill="auto"/>
        <w:bidi w:val="0"/>
        <w:spacing w:before="0" w:after="300"/>
        <w:ind w:left="0" w:right="0" w:firstLine="420"/>
        <w:jc w:val="both"/>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5</w:t>
      </w:r>
      <w:bookmarkEnd w:id="528"/>
      <w:r>
        <w:rPr>
          <w:color w:val="000000"/>
          <w:spacing w:val="0"/>
          <w:w w:val="100"/>
          <w:position w:val="0"/>
        </w:rPr>
        <w:t>、</w:t>
        <w:tab/>
        <w:t>同一控制下和非同一控制下企业合并的会计处理方法</w:t>
      </w:r>
      <w:bookmarkEnd w:id="526"/>
      <w:bookmarkEnd w:id="527"/>
      <w:bookmarkEnd w:id="529"/>
    </w:p>
    <w:p>
      <w:pPr>
        <w:pStyle w:val="Style34"/>
        <w:keepNext/>
        <w:keepLines/>
        <w:widowControl w:val="0"/>
        <w:shd w:val="clear" w:color="auto" w:fill="auto"/>
        <w:bidi w:val="0"/>
        <w:spacing w:before="0" w:after="300" w:line="312" w:lineRule="exact"/>
        <w:ind w:left="0" w:right="0" w:firstLine="0"/>
        <w:jc w:val="left"/>
      </w:pPr>
      <w:bookmarkStart w:id="526" w:name="bookmark526"/>
      <w:bookmarkStart w:id="527" w:name="bookmark527"/>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526"/>
      <w:bookmarkEnd w:id="527"/>
      <w:bookmarkEnd w:id="531"/>
    </w:p>
    <w:p>
      <w:pPr>
        <w:pStyle w:val="Style69"/>
        <w:keepNext w:val="0"/>
        <w:keepLines w:val="0"/>
        <w:widowControl w:val="0"/>
        <w:shd w:val="clear" w:color="auto" w:fill="auto"/>
        <w:bidi w:val="0"/>
        <w:spacing w:before="0" w:after="0"/>
        <w:ind w:left="0" w:right="0" w:firstLine="780"/>
        <w:jc w:val="both"/>
      </w:pPr>
      <w:bookmarkStart w:id="532" w:name="bookmark532"/>
      <w:r>
        <w:rPr>
          <w:rFonts w:ascii="Times New Roman" w:eastAsia="Times New Roman" w:hAnsi="Times New Roman" w:cs="Times New Roman"/>
          <w:color w:val="000000"/>
          <w:spacing w:val="0"/>
          <w:w w:val="100"/>
          <w:position w:val="0"/>
        </w:rPr>
        <w:t>1</w:t>
      </w:r>
      <w:bookmarkEnd w:id="532"/>
      <w:r>
        <w:rPr>
          <w:color w:val="000000"/>
          <w:spacing w:val="0"/>
          <w:w w:val="100"/>
          <w:position w:val="0"/>
        </w:rPr>
        <w:t>）个别财务报表</w:t>
      </w:r>
    </w:p>
    <w:p>
      <w:pPr>
        <w:pStyle w:val="Style69"/>
        <w:keepNext w:val="0"/>
        <w:keepLines w:val="0"/>
        <w:widowControl w:val="0"/>
        <w:shd w:val="clear" w:color="auto" w:fill="auto"/>
        <w:bidi w:val="0"/>
        <w:spacing w:before="0" w:after="0"/>
        <w:ind w:left="0" w:right="0" w:firstLine="420"/>
        <w:jc w:val="both"/>
        <w:sectPr>
          <w:headerReference w:type="default" r:id="rId161"/>
          <w:footerReference w:type="default" r:id="rId162"/>
          <w:headerReference w:type="even" r:id="rId163"/>
          <w:footerReference w:type="even" r:id="rId164"/>
          <w:headerReference w:type="first" r:id="rId165"/>
          <w:footerReference w:type="first" r:id="rId166"/>
          <w:footnotePr>
            <w:pos w:val="pageBottom"/>
            <w:numFmt w:val="decimal"/>
            <w:numRestart w:val="continuous"/>
          </w:footnotePr>
          <w:pgSz w:w="11900" w:h="16840"/>
          <w:pgMar w:top="1142" w:right="992" w:bottom="1188" w:left="905" w:header="0" w:footer="3" w:gutter="0"/>
          <w:cols w:space="720"/>
          <w:noEndnote/>
          <w:titlePg/>
          <w:rtlGutter w:val="0"/>
          <w:docGrid w:linePitch="360"/>
        </w:sectPr>
      </w:pPr>
      <w:r>
        <w:rPr>
          <w:color w:val="000000"/>
          <w:spacing w:val="0"/>
          <w:w w:val="100"/>
          <w:position w:val="0"/>
        </w:rPr>
        <w:t xml:space="preserve">公司以支付现金、转让非现金资产或承担债务方式以及以发行权益性证券作为合并对价的，在合并日 </w:t>
      </w:r>
    </w:p>
    <w:p>
      <w:pPr>
        <w:pStyle w:val="Style69"/>
        <w:keepNext w:val="0"/>
        <w:keepLines w:val="0"/>
        <w:widowControl w:val="0"/>
        <w:shd w:val="clear" w:color="auto" w:fill="auto"/>
        <w:bidi w:val="0"/>
        <w:spacing w:before="0" w:after="0"/>
        <w:ind w:left="0" w:right="0" w:firstLine="0"/>
        <w:jc w:val="both"/>
      </w:pPr>
      <w:r>
        <w:rPr>
          <w:color w:val="000000"/>
          <w:spacing w:val="0"/>
          <w:w w:val="100"/>
          <w:position w:val="0"/>
        </w:rPr>
        <w:t>按照取得被合并方所有者权益账面价值的份额作为长期股权投资的初始投资成本。长期股权投资初始投资 成本与支付合并对价之间的差额，调整资本公积；资本公积不足冲减的，调整留存收益。</w:t>
      </w:r>
    </w:p>
    <w:p>
      <w:pPr>
        <w:pStyle w:val="Style69"/>
        <w:keepNext w:val="0"/>
        <w:keepLines w:val="0"/>
        <w:widowControl w:val="0"/>
        <w:shd w:val="clear" w:color="auto" w:fill="auto"/>
        <w:bidi w:val="0"/>
        <w:spacing w:before="0" w:after="80" w:line="313" w:lineRule="exact"/>
        <w:ind w:left="0" w:right="0" w:firstLine="40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发生时计入当期损益。被合并方存在合并财务报表，则以合并日被合并方合并财务报表所有者权益为基础 确定长期股权投资的初始投资成本。</w:t>
      </w:r>
    </w:p>
    <w:p>
      <w:pPr>
        <w:pStyle w:val="Style69"/>
        <w:keepNext w:val="0"/>
        <w:keepLines w:val="0"/>
        <w:widowControl w:val="0"/>
        <w:shd w:val="clear" w:color="auto" w:fill="auto"/>
        <w:bidi w:val="0"/>
        <w:spacing w:before="0" w:after="0" w:line="326" w:lineRule="auto"/>
        <w:ind w:left="0" w:right="0" w:firstLine="400"/>
        <w:jc w:val="both"/>
      </w:pPr>
      <w:bookmarkStart w:id="533" w:name="bookmark533"/>
      <w:r>
        <w:rPr>
          <w:rFonts w:ascii="Times New Roman" w:eastAsia="Times New Roman" w:hAnsi="Times New Roman" w:cs="Times New Roman"/>
          <w:color w:val="000000"/>
          <w:spacing w:val="0"/>
          <w:w w:val="100"/>
          <w:position w:val="0"/>
        </w:rPr>
        <w:t>2</w:t>
      </w:r>
      <w:bookmarkEnd w:id="533"/>
      <w:r>
        <w:rPr>
          <w:color w:val="000000"/>
          <w:spacing w:val="0"/>
          <w:w w:val="100"/>
          <w:position w:val="0"/>
        </w:rPr>
        <w:t>）合并财务报表</w:t>
      </w:r>
    </w:p>
    <w:p>
      <w:pPr>
        <w:pStyle w:val="Style69"/>
        <w:keepNext w:val="0"/>
        <w:keepLines w:val="0"/>
        <w:widowControl w:val="0"/>
        <w:shd w:val="clear" w:color="auto" w:fill="auto"/>
        <w:bidi w:val="0"/>
        <w:spacing w:before="0" w:after="600" w:line="313" w:lineRule="exact"/>
        <w:ind w:left="0" w:right="0" w:firstLine="400"/>
        <w:jc w:val="both"/>
      </w:pPr>
      <w:r>
        <w:rPr>
          <w:color w:val="000000"/>
          <w:spacing w:val="0"/>
          <w:w w:val="100"/>
          <w:position w:val="0"/>
        </w:rPr>
        <w:t>合并方在企业合并中取得的资产和负债，按照合并日在被合并方的账面价值计量。被合并各方采用的 会计政策与本公司不一致的，本公司在合并日按照本公司会计政策进行调整，在此基础上按照企业会计准 则规定确认。</w:t>
      </w:r>
    </w:p>
    <w:p>
      <w:pPr>
        <w:pStyle w:val="Style34"/>
        <w:keepNext/>
        <w:keepLines/>
        <w:widowControl w:val="0"/>
        <w:shd w:val="clear" w:color="auto" w:fill="auto"/>
        <w:bidi w:val="0"/>
        <w:spacing w:before="0" w:after="300" w:line="312" w:lineRule="exact"/>
        <w:ind w:left="0" w:right="0" w:firstLine="0"/>
        <w:jc w:val="left"/>
      </w:pPr>
      <w:bookmarkStart w:id="534" w:name="bookmark534"/>
      <w:bookmarkStart w:id="535" w:name="bookmark535"/>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534"/>
      <w:bookmarkEnd w:id="535"/>
      <w:bookmarkEnd w:id="537"/>
    </w:p>
    <w:p>
      <w:pPr>
        <w:pStyle w:val="Style6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对于非同一控制下的企业合并，合并成本为本公司在购买日为取得对被购买方的控制权而付出的资产、 发生或承担的负债以及发行的权益性证券的公允价值。在合并合同中对可能影响合并成本的未来事项作出 约定的，购买日如果估计未来事项很可能发生并且对合并成本的影响金额能够可靠计量的，也计入合并成 本。</w:t>
      </w:r>
    </w:p>
    <w:p>
      <w:pPr>
        <w:pStyle w:val="Style6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本公司为进行企业合并发生的审计、法律服务、评估咨询等中介费用以及其他相关管理费用，于发生 时计入当期损益；本公司作为合并对价发行的权益性证券或债务性证券的交易费用，计入权益性证券或债 务性证券的初始确认金额。</w:t>
      </w:r>
    </w:p>
    <w:p>
      <w:pPr>
        <w:pStyle w:val="Style6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本公司对合并成本大于合并中取得的被购买方可辨认净资产公允价值份额的差额，确认为商誉。本公 司对合并成本小于合并中取得的被购买方可辨认净资产公允价值份额的，经复核后合并成本仍小于合并中 取得的被购买方可辨认净资产公允价值份额的差额，计入当期损益。</w:t>
      </w:r>
    </w:p>
    <w:p>
      <w:pPr>
        <w:pStyle w:val="Style69"/>
        <w:keepNext w:val="0"/>
        <w:keepLines w:val="0"/>
        <w:widowControl w:val="0"/>
        <w:shd w:val="clear" w:color="auto" w:fill="auto"/>
        <w:bidi w:val="0"/>
        <w:spacing w:before="0" w:after="0" w:line="312" w:lineRule="exact"/>
        <w:ind w:left="0" w:right="0" w:firstLine="400"/>
        <w:jc w:val="left"/>
      </w:pPr>
      <w:r>
        <w:rPr>
          <w:color w:val="000000"/>
          <w:spacing w:val="0"/>
          <w:w w:val="100"/>
          <w:position w:val="0"/>
        </w:rPr>
        <w:t>通过多次交换交易分步实现的非同一控制下企业合并，区分个别财务报表和合并财务报表进行相关会 计处理：</w:t>
      </w:r>
    </w:p>
    <w:p>
      <w:pPr>
        <w:pStyle w:val="Style69"/>
        <w:keepNext w:val="0"/>
        <w:keepLines w:val="0"/>
        <w:widowControl w:val="0"/>
        <w:shd w:val="clear" w:color="auto" w:fill="auto"/>
        <w:tabs>
          <w:tab w:pos="844" w:val="left"/>
        </w:tabs>
        <w:bidi w:val="0"/>
        <w:spacing w:before="0" w:after="0" w:line="312" w:lineRule="exact"/>
        <w:ind w:left="0" w:right="0" w:firstLine="32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在个别财务报表中，以购买日之前所持被购买方的股权投资的账面价值与购买日新增投资成本之 和，作为该项投资的初始投资成本；购买日之前持有的被购买方的股权涉及其他综合收益的，在处置该项 投资时将与其相关的其他综合收益（例如，可供出售金融资产公允价值变动计入资本公积的部分，下同） 转入当期投资收益。</w:t>
      </w:r>
    </w:p>
    <w:p>
      <w:pPr>
        <w:pStyle w:val="Style69"/>
        <w:keepNext w:val="0"/>
        <w:keepLines w:val="0"/>
        <w:widowControl w:val="0"/>
        <w:shd w:val="clear" w:color="auto" w:fill="auto"/>
        <w:tabs>
          <w:tab w:pos="848" w:val="left"/>
        </w:tabs>
        <w:bidi w:val="0"/>
        <w:spacing w:before="0" w:after="180" w:line="312" w:lineRule="exact"/>
        <w:ind w:left="0" w:right="0" w:firstLine="32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在合并财务报表中，对于购买日之前持有的被购买方的股权，按照该股权在购买日的公允价值进 行重新计量，公允价值与其账面价值的差额计入当期投资收益；购买日之前持有的被购买方的股权涉及其 他综合收益的，与其相关的其他综合收益转为购买日所属当期投资收益。</w:t>
      </w:r>
    </w:p>
    <w:p>
      <w:pPr>
        <w:pStyle w:val="Style69"/>
        <w:keepNext w:val="0"/>
        <w:keepLines w:val="0"/>
        <w:widowControl w:val="0"/>
        <w:shd w:val="clear" w:color="auto" w:fill="auto"/>
        <w:tabs>
          <w:tab w:pos="378" w:val="left"/>
        </w:tabs>
        <w:bidi w:val="0"/>
        <w:spacing w:before="0" w:after="300" w:line="313" w:lineRule="exact"/>
        <w:ind w:left="0" w:right="0" w:firstLine="0"/>
        <w:jc w:val="left"/>
      </w:pPr>
      <w:bookmarkStart w:id="540" w:name="bookmark540"/>
      <w:r>
        <w:rPr>
          <w:rFonts w:ascii="Times New Roman" w:eastAsia="Times New Roman" w:hAnsi="Times New Roman" w:cs="Times New Roman"/>
          <w:b/>
          <w:bCs/>
          <w:color w:val="000000"/>
          <w:spacing w:val="0"/>
          <w:w w:val="100"/>
          <w:position w:val="0"/>
        </w:rPr>
        <w:t>6</w:t>
      </w:r>
      <w:bookmarkEnd w:id="540"/>
      <w:r>
        <w:rPr>
          <w:b/>
          <w:bCs/>
          <w:color w:val="000000"/>
          <w:spacing w:val="0"/>
          <w:w w:val="100"/>
          <w:position w:val="0"/>
        </w:rPr>
        <w:t>、</w:t>
        <w:tab/>
        <w:t>分步处置股权至丧失控制权相关的具体会计政策</w:t>
      </w:r>
    </w:p>
    <w:p>
      <w:pPr>
        <w:pStyle w:val="Style69"/>
        <w:keepNext w:val="0"/>
        <w:keepLines w:val="0"/>
        <w:widowControl w:val="0"/>
        <w:shd w:val="clear" w:color="auto" w:fill="auto"/>
        <w:tabs>
          <w:tab w:pos="493" w:val="left"/>
        </w:tabs>
        <w:bidi w:val="0"/>
        <w:spacing w:before="0" w:after="300" w:line="313" w:lineRule="exact"/>
        <w:ind w:left="0" w:right="0" w:firstLine="0"/>
        <w:jc w:val="left"/>
      </w:pPr>
      <w:bookmarkStart w:id="541" w:name="bookmark541"/>
      <w:r>
        <w:rPr>
          <w:b/>
          <w:bCs/>
          <w:color w:val="000000"/>
          <w:spacing w:val="0"/>
          <w:w w:val="100"/>
          <w:position w:val="0"/>
        </w:rPr>
        <w:t>（</w:t>
      </w:r>
      <w:bookmarkEnd w:id="54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的判断原则</w:t>
      </w:r>
    </w:p>
    <w:p>
      <w:pPr>
        <w:pStyle w:val="Style69"/>
        <w:keepNext w:val="0"/>
        <w:keepLines w:val="0"/>
        <w:widowControl w:val="0"/>
        <w:shd w:val="clear" w:color="auto" w:fill="auto"/>
        <w:tabs>
          <w:tab w:pos="493" w:val="left"/>
        </w:tabs>
        <w:bidi w:val="0"/>
        <w:spacing w:before="0" w:after="300" w:line="313" w:lineRule="exact"/>
        <w:ind w:left="0" w:right="0" w:firstLine="0"/>
        <w:jc w:val="left"/>
      </w:pPr>
      <w:bookmarkStart w:id="542" w:name="bookmark542"/>
      <w:r>
        <w:rPr>
          <w:b/>
          <w:bCs/>
          <w:color w:val="000000"/>
          <w:spacing w:val="0"/>
          <w:w w:val="100"/>
          <w:position w:val="0"/>
        </w:rPr>
        <w:t>（</w:t>
      </w:r>
      <w:bookmarkEnd w:id="54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69"/>
        <w:keepNext w:val="0"/>
        <w:keepLines w:val="0"/>
        <w:widowControl w:val="0"/>
        <w:shd w:val="clear" w:color="auto" w:fill="auto"/>
        <w:tabs>
          <w:tab w:pos="493" w:val="left"/>
        </w:tabs>
        <w:bidi w:val="0"/>
        <w:spacing w:before="0" w:after="300" w:line="313" w:lineRule="exact"/>
        <w:ind w:left="0" w:right="0" w:firstLine="0"/>
        <w:jc w:val="left"/>
      </w:pPr>
      <w:bookmarkStart w:id="543" w:name="bookmark543"/>
      <w:r>
        <w:rPr>
          <w:b/>
          <w:bCs/>
          <w:color w:val="000000"/>
          <w:spacing w:val="0"/>
          <w:w w:val="100"/>
          <w:position w:val="0"/>
        </w:rPr>
        <w:t>（</w:t>
      </w:r>
      <w:bookmarkEnd w:id="54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的会计处理方法</w:t>
      </w:r>
    </w:p>
    <w:p>
      <w:pPr>
        <w:pStyle w:val="Style69"/>
        <w:keepNext w:val="0"/>
        <w:keepLines w:val="0"/>
        <w:widowControl w:val="0"/>
        <w:shd w:val="clear" w:color="auto" w:fill="auto"/>
        <w:tabs>
          <w:tab w:pos="373" w:val="left"/>
        </w:tabs>
        <w:bidi w:val="0"/>
        <w:spacing w:before="0" w:after="300" w:line="313" w:lineRule="exact"/>
        <w:ind w:left="0" w:right="0" w:firstLine="0"/>
        <w:jc w:val="left"/>
      </w:pPr>
      <w:bookmarkStart w:id="544" w:name="bookmark544"/>
      <w:r>
        <w:rPr>
          <w:rFonts w:ascii="Times New Roman" w:eastAsia="Times New Roman" w:hAnsi="Times New Roman" w:cs="Times New Roman"/>
          <w:b/>
          <w:bCs/>
          <w:color w:val="000000"/>
          <w:spacing w:val="0"/>
          <w:w w:val="100"/>
          <w:position w:val="0"/>
        </w:rPr>
        <w:t>7</w:t>
      </w:r>
      <w:bookmarkEnd w:id="544"/>
      <w:r>
        <w:rPr>
          <w:b/>
          <w:bCs/>
          <w:color w:val="000000"/>
          <w:spacing w:val="0"/>
          <w:w w:val="100"/>
          <w:position w:val="0"/>
        </w:rPr>
        <w:t>、</w:t>
        <w:tab/>
        <w:t>合并财务报表的编制方法</w:t>
      </w:r>
    </w:p>
    <w:p>
      <w:pPr>
        <w:pStyle w:val="Style69"/>
        <w:keepNext w:val="0"/>
        <w:keepLines w:val="0"/>
        <w:widowControl w:val="0"/>
        <w:shd w:val="clear" w:color="auto" w:fill="auto"/>
        <w:tabs>
          <w:tab w:pos="493" w:val="left"/>
        </w:tabs>
        <w:bidi w:val="0"/>
        <w:spacing w:before="0" w:after="300" w:line="313" w:lineRule="exact"/>
        <w:ind w:left="0" w:right="0" w:firstLine="0"/>
        <w:jc w:val="left"/>
      </w:pPr>
      <w:bookmarkStart w:id="545" w:name="bookmark545"/>
      <w:r>
        <w:rPr>
          <w:b/>
          <w:bCs/>
          <w:color w:val="000000"/>
          <w:spacing w:val="0"/>
          <w:w w:val="100"/>
          <w:position w:val="0"/>
        </w:rPr>
        <w:t>（</w:t>
      </w:r>
      <w:bookmarkEnd w:id="54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合并财务报表的编制方法</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本公司合并财务报表的合并范围以控制为基础确定，所有子公司均纳入合并财务报表。</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子公司少数股东分担的当期亏损超过了少数股东在该子公司期初所有者权益中所享有的份额的，其余 额仍应当冲减少数股东权益。</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w:t>
      </w:r>
    </w:p>
    <w:p>
      <w:pPr>
        <w:pStyle w:val="Style69"/>
        <w:keepNext w:val="0"/>
        <w:keepLines w:val="0"/>
        <w:widowControl w:val="0"/>
        <w:shd w:val="clear" w:color="auto" w:fill="auto"/>
        <w:bidi w:val="0"/>
        <w:spacing w:before="0" w:after="300" w:line="313" w:lineRule="exact"/>
        <w:ind w:left="0" w:right="0"/>
        <w:jc w:val="both"/>
      </w:pPr>
      <w:r>
        <w:rPr>
          <w:color w:val="000000"/>
          <w:spacing w:val="0"/>
          <w:w w:val="100"/>
          <w:position w:val="0"/>
        </w:rPr>
        <w:t>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 益。</w:t>
      </w:r>
    </w:p>
    <w:p>
      <w:pPr>
        <w:pStyle w:val="Style34"/>
        <w:keepNext/>
        <w:keepLines/>
        <w:widowControl w:val="0"/>
        <w:shd w:val="clear" w:color="auto" w:fill="auto"/>
        <w:tabs>
          <w:tab w:pos="493" w:val="left"/>
        </w:tabs>
        <w:bidi w:val="0"/>
        <w:spacing w:before="0" w:after="300" w:line="313" w:lineRule="exact"/>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546"/>
      <w:bookmarkEnd w:id="547"/>
      <w:bookmarkEnd w:id="549"/>
    </w:p>
    <w:p>
      <w:pPr>
        <w:pStyle w:val="Style34"/>
        <w:keepNext/>
        <w:keepLines/>
        <w:widowControl w:val="0"/>
        <w:shd w:val="clear" w:color="auto" w:fill="auto"/>
        <w:tabs>
          <w:tab w:pos="378" w:val="left"/>
        </w:tabs>
        <w:bidi w:val="0"/>
        <w:spacing w:before="0" w:after="300" w:line="313" w:lineRule="exact"/>
        <w:ind w:left="0" w:right="0" w:firstLine="0"/>
        <w:jc w:val="left"/>
      </w:pPr>
      <w:bookmarkStart w:id="546" w:name="bookmark546"/>
      <w:bookmarkStart w:id="547" w:name="bookmark547"/>
      <w:bookmarkStart w:id="550" w:name="bookmark550"/>
      <w:bookmarkStart w:id="551" w:name="bookmark551"/>
      <w:r>
        <w:rPr>
          <w:rFonts w:ascii="Times New Roman" w:eastAsia="Times New Roman" w:hAnsi="Times New Roman" w:cs="Times New Roman"/>
          <w:color w:val="000000"/>
          <w:spacing w:val="0"/>
          <w:w w:val="100"/>
          <w:position w:val="0"/>
        </w:rPr>
        <w:t>8</w:t>
      </w:r>
      <w:bookmarkEnd w:id="550"/>
      <w:r>
        <w:rPr>
          <w:color w:val="000000"/>
          <w:spacing w:val="0"/>
          <w:w w:val="100"/>
          <w:position w:val="0"/>
        </w:rPr>
        <w:t>、</w:t>
        <w:tab/>
        <w:t>现金及现金等价物的确定标准</w:t>
      </w:r>
      <w:bookmarkEnd w:id="546"/>
      <w:bookmarkEnd w:id="547"/>
      <w:bookmarkEnd w:id="551"/>
    </w:p>
    <w:p>
      <w:pPr>
        <w:pStyle w:val="Style69"/>
        <w:keepNext w:val="0"/>
        <w:keepLines w:val="0"/>
        <w:widowControl w:val="0"/>
        <w:shd w:val="clear" w:color="auto" w:fill="auto"/>
        <w:bidi w:val="0"/>
        <w:spacing w:before="0" w:after="300" w:line="312" w:lineRule="exact"/>
        <w:ind w:left="0" w:right="0"/>
        <w:jc w:val="both"/>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11900" w:h="16840"/>
          <w:pgMar w:top="1142" w:right="992" w:bottom="1188" w:left="905" w:header="0" w:footer="3" w:gutter="0"/>
          <w:cols w:space="720"/>
          <w:noEndnote/>
          <w:titlePg/>
          <w:rtlGutter w:val="0"/>
          <w:docGrid w:linePitch="360"/>
        </w:sectPr>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短（一般从购买日起，三个月内到期）、流动性强、易于转换为已知现金、价值变动风险很小四个条件的 投资，确定为现金等价物。</w:t>
      </w:r>
    </w:p>
    <w:p>
      <w:pPr>
        <w:pStyle w:val="Style69"/>
        <w:keepNext w:val="0"/>
        <w:keepLines w:val="0"/>
        <w:widowControl w:val="0"/>
        <w:shd w:val="clear" w:color="auto" w:fill="auto"/>
        <w:bidi w:val="0"/>
        <w:spacing w:before="0" w:after="300" w:line="240" w:lineRule="auto"/>
        <w:ind w:left="0" w:right="0" w:firstLine="0"/>
        <w:jc w:val="left"/>
      </w:pPr>
      <w:bookmarkStart w:id="552" w:name="bookmark552"/>
      <w:r>
        <w:rPr>
          <w:rFonts w:ascii="Times New Roman" w:eastAsia="Times New Roman" w:hAnsi="Times New Roman" w:cs="Times New Roman"/>
          <w:b/>
          <w:bCs/>
          <w:color w:val="000000"/>
          <w:spacing w:val="0"/>
          <w:w w:val="100"/>
          <w:position w:val="0"/>
        </w:rPr>
        <w:t>9</w:t>
      </w:r>
      <w:bookmarkEnd w:id="552"/>
      <w:r>
        <w:rPr>
          <w:b/>
          <w:bCs/>
          <w:color w:val="000000"/>
          <w:spacing w:val="0"/>
          <w:w w:val="100"/>
          <w:position w:val="0"/>
        </w:rPr>
        <w:t xml:space="preserve">、外币业务和外币报表折算 </w:t>
      </w:r>
      <w:bookmarkStart w:id="553" w:name="bookmark553"/>
      <w:r>
        <w:rPr>
          <w:rFonts w:ascii="Times New Roman" w:eastAsia="Times New Roman" w:hAnsi="Times New Roman" w:cs="Times New Roman"/>
          <w:b/>
          <w:bCs/>
          <w:color w:val="000000"/>
          <w:spacing w:val="0"/>
          <w:w w:val="100"/>
          <w:position w:val="0"/>
        </w:rPr>
        <w:t>（</w:t>
      </w:r>
      <w:bookmarkEnd w:id="553"/>
      <w:r>
        <w:rPr>
          <w:rFonts w:ascii="Times New Roman" w:eastAsia="Times New Roman" w:hAnsi="Times New Roman" w:cs="Times New Roman"/>
          <w:b/>
          <w:bCs/>
          <w:color w:val="000000"/>
          <w:spacing w:val="0"/>
          <w:w w:val="100"/>
          <w:position w:val="0"/>
        </w:rPr>
        <w:t>1</w:t>
      </w:r>
      <w:r>
        <w:rPr>
          <w:b/>
          <w:bCs/>
          <w:color w:val="000000"/>
          <w:spacing w:val="0"/>
          <w:w w:val="100"/>
          <w:position w:val="0"/>
        </w:rPr>
        <w:t>）外币业务</w:t>
      </w:r>
    </w:p>
    <w:p>
      <w:pPr>
        <w:pStyle w:val="Style69"/>
        <w:keepNext w:val="0"/>
        <w:keepLines w:val="0"/>
        <w:widowControl w:val="0"/>
        <w:shd w:val="clear" w:color="auto" w:fill="auto"/>
        <w:bidi w:val="0"/>
        <w:spacing w:before="0" w:after="0" w:line="313" w:lineRule="exact"/>
        <w:ind w:left="0" w:right="0"/>
        <w:jc w:val="left"/>
      </w:pPr>
      <w:r>
        <w:rPr>
          <w:color w:val="000000"/>
          <w:spacing w:val="0"/>
          <w:w w:val="100"/>
          <w:position w:val="0"/>
        </w:rPr>
        <w:t>外币业务采用交易发生日的即期汇率作为折算汇率折合成人民币记账。</w:t>
      </w:r>
    </w:p>
    <w:p>
      <w:pPr>
        <w:pStyle w:val="Style69"/>
        <w:keepNext w:val="0"/>
        <w:keepLines w:val="0"/>
        <w:widowControl w:val="0"/>
        <w:shd w:val="clear" w:color="auto" w:fill="auto"/>
        <w:bidi w:val="0"/>
        <w:spacing w:before="0" w:after="360" w:line="313" w:lineRule="exact"/>
        <w:ind w:left="0" w:right="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69"/>
        <w:keepNext w:val="0"/>
        <w:keepLines w:val="0"/>
        <w:widowControl w:val="0"/>
        <w:shd w:val="clear" w:color="auto" w:fill="auto"/>
        <w:bidi w:val="0"/>
        <w:spacing w:before="0" w:after="300" w:line="240" w:lineRule="auto"/>
        <w:ind w:left="0" w:right="0" w:firstLine="0"/>
        <w:jc w:val="both"/>
      </w:pPr>
      <w:bookmarkStart w:id="554" w:name="bookmark554"/>
      <w:r>
        <w:rPr>
          <w:b/>
          <w:bCs/>
          <w:color w:val="000000"/>
          <w:spacing w:val="0"/>
          <w:w w:val="100"/>
          <w:position w:val="0"/>
        </w:rPr>
        <w:t>（</w:t>
      </w:r>
      <w:bookmarkEnd w:id="554"/>
      <w:r>
        <w:rPr>
          <w:rFonts w:ascii="Times New Roman" w:eastAsia="Times New Roman" w:hAnsi="Times New Roman" w:cs="Times New Roman"/>
          <w:b/>
          <w:bCs/>
          <w:color w:val="000000"/>
          <w:spacing w:val="0"/>
          <w:w w:val="100"/>
          <w:position w:val="0"/>
        </w:rPr>
        <w:t>2</w:t>
      </w:r>
      <w:r>
        <w:rPr>
          <w:b/>
          <w:bCs/>
          <w:color w:val="000000"/>
          <w:spacing w:val="0"/>
          <w:w w:val="100"/>
          <w:position w:val="0"/>
        </w:rPr>
        <w:t>）外币财务报表的折算</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69"/>
        <w:keepNext w:val="0"/>
        <w:keepLines w:val="0"/>
        <w:widowControl w:val="0"/>
        <w:shd w:val="clear" w:color="auto" w:fill="auto"/>
        <w:bidi w:val="0"/>
        <w:spacing w:before="0" w:after="360" w:line="312" w:lineRule="exact"/>
        <w:ind w:left="0" w:right="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69"/>
        <w:keepNext w:val="0"/>
        <w:keepLines w:val="0"/>
        <w:widowControl w:val="0"/>
        <w:shd w:val="clear" w:color="auto" w:fill="auto"/>
        <w:bidi w:val="0"/>
        <w:spacing w:before="0" w:after="360" w:line="240" w:lineRule="auto"/>
        <w:ind w:left="0" w:right="0" w:firstLine="0"/>
        <w:jc w:val="both"/>
      </w:pPr>
      <w:bookmarkStart w:id="555" w:name="bookmark555"/>
      <w:r>
        <w:rPr>
          <w:rFonts w:ascii="Times New Roman" w:eastAsia="Times New Roman" w:hAnsi="Times New Roman" w:cs="Times New Roman"/>
          <w:b/>
          <w:bCs/>
          <w:color w:val="000000"/>
          <w:spacing w:val="0"/>
          <w:w w:val="100"/>
          <w:position w:val="0"/>
        </w:rPr>
        <w:t>1</w:t>
      </w:r>
      <w:bookmarkEnd w:id="555"/>
      <w:r>
        <w:rPr>
          <w:rFonts w:ascii="Times New Roman" w:eastAsia="Times New Roman" w:hAnsi="Times New Roman" w:cs="Times New Roman"/>
          <w:b/>
          <w:bCs/>
          <w:color w:val="000000"/>
          <w:spacing w:val="0"/>
          <w:w w:val="100"/>
          <w:position w:val="0"/>
        </w:rPr>
        <w:t>0</w:t>
      </w:r>
      <w:r>
        <w:rPr>
          <w:b/>
          <w:bCs/>
          <w:color w:val="000000"/>
          <w:spacing w:val="0"/>
          <w:w w:val="100"/>
          <w:position w:val="0"/>
        </w:rPr>
        <w:t>、金融工具</w:t>
      </w:r>
    </w:p>
    <w:p>
      <w:pPr>
        <w:pStyle w:val="Style69"/>
        <w:keepNext w:val="0"/>
        <w:keepLines w:val="0"/>
        <w:widowControl w:val="0"/>
        <w:shd w:val="clear" w:color="auto" w:fill="auto"/>
        <w:bidi w:val="0"/>
        <w:spacing w:before="0" w:after="360" w:line="240" w:lineRule="auto"/>
        <w:ind w:left="0" w:right="0"/>
        <w:jc w:val="both"/>
      </w:pPr>
      <w:r>
        <w:rPr>
          <w:color w:val="000000"/>
          <w:spacing w:val="0"/>
          <w:w w:val="100"/>
          <w:position w:val="0"/>
        </w:rPr>
        <w:t>金融工具包括金融资产、金融负债和权益工具。</w:t>
      </w:r>
    </w:p>
    <w:p>
      <w:pPr>
        <w:pStyle w:val="Style69"/>
        <w:keepNext w:val="0"/>
        <w:keepLines w:val="0"/>
        <w:widowControl w:val="0"/>
        <w:shd w:val="clear" w:color="auto" w:fill="auto"/>
        <w:bidi w:val="0"/>
        <w:spacing w:before="0" w:after="300" w:line="240" w:lineRule="auto"/>
        <w:ind w:left="0" w:right="0" w:firstLine="0"/>
        <w:jc w:val="both"/>
      </w:pPr>
      <w:bookmarkStart w:id="556" w:name="bookmark556"/>
      <w:r>
        <w:rPr>
          <w:rFonts w:ascii="Times New Roman" w:eastAsia="Times New Roman" w:hAnsi="Times New Roman" w:cs="Times New Roman"/>
          <w:b/>
          <w:bCs/>
          <w:color w:val="000000"/>
          <w:spacing w:val="0"/>
          <w:w w:val="100"/>
          <w:position w:val="0"/>
        </w:rPr>
        <w:t>（</w:t>
      </w:r>
      <w:bookmarkEnd w:id="556"/>
      <w:r>
        <w:rPr>
          <w:rFonts w:ascii="Times New Roman" w:eastAsia="Times New Roman" w:hAnsi="Times New Roman" w:cs="Times New Roman"/>
          <w:b/>
          <w:bCs/>
          <w:color w:val="000000"/>
          <w:spacing w:val="0"/>
          <w:w w:val="100"/>
          <w:position w:val="0"/>
        </w:rPr>
        <w:t>1</w:t>
      </w:r>
      <w:r>
        <w:rPr>
          <w:b/>
          <w:bCs/>
          <w:color w:val="000000"/>
          <w:spacing w:val="0"/>
          <w:w w:val="100"/>
          <w:position w:val="0"/>
        </w:rPr>
        <w:t>）金融工具的分类</w:t>
      </w:r>
    </w:p>
    <w:p>
      <w:pPr>
        <w:pStyle w:val="Style69"/>
        <w:keepNext w:val="0"/>
        <w:keepLines w:val="0"/>
        <w:widowControl w:val="0"/>
        <w:shd w:val="clear" w:color="auto" w:fill="auto"/>
        <w:bidi w:val="0"/>
        <w:spacing w:before="0" w:after="360" w:line="314" w:lineRule="exact"/>
        <w:ind w:left="0" w:right="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期损益的金融资产或金融负债，包括交易性金融资产或金融负债（和直接指定为以公允价值计量且其变动 计入当期损益的金融资产或金融负债）；持有至到期投资；应收款项；可供出售金融资产；其他金融负债 等。</w:t>
      </w:r>
    </w:p>
    <w:p>
      <w:pPr>
        <w:pStyle w:val="Style34"/>
        <w:keepNext/>
        <w:keepLines/>
        <w:widowControl w:val="0"/>
        <w:shd w:val="clear" w:color="auto" w:fill="auto"/>
        <w:bidi w:val="0"/>
        <w:spacing w:before="0" w:after="30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w:t>
      </w:r>
      <w:bookmarkEnd w:id="559"/>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557"/>
      <w:bookmarkEnd w:id="558"/>
      <w:bookmarkEnd w:id="560"/>
    </w:p>
    <w:p>
      <w:pPr>
        <w:pStyle w:val="Style69"/>
        <w:keepNext w:val="0"/>
        <w:keepLines w:val="0"/>
        <w:widowControl w:val="0"/>
        <w:shd w:val="clear" w:color="auto" w:fill="auto"/>
        <w:tabs>
          <w:tab w:pos="713" w:val="left"/>
        </w:tabs>
        <w:bidi w:val="0"/>
        <w:spacing w:before="0" w:after="0" w:line="314" w:lineRule="exact"/>
        <w:ind w:left="0" w:right="0" w:firstLine="340"/>
        <w:jc w:val="left"/>
      </w:pPr>
      <w:bookmarkStart w:id="561" w:name="bookmark561"/>
      <w:r>
        <w:rPr>
          <w:rFonts w:ascii="Times New Roman" w:eastAsia="Times New Roman" w:hAnsi="Times New Roman" w:cs="Times New Roman"/>
          <w:color w:val="000000"/>
          <w:spacing w:val="0"/>
          <w:w w:val="100"/>
          <w:position w:val="0"/>
        </w:rPr>
        <w:t>1</w:t>
      </w:r>
      <w:bookmarkEnd w:id="561"/>
      <w:r>
        <w:rPr>
          <w:color w:val="000000"/>
          <w:spacing w:val="0"/>
          <w:w w:val="100"/>
          <w:position w:val="0"/>
        </w:rPr>
        <w:t>）</w:t>
        <w:tab/>
        <w:t>以公允价值计量且其变动计入当期损益的金融资产（金融负债）</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69"/>
        <w:keepNext w:val="0"/>
        <w:keepLines w:val="0"/>
        <w:widowControl w:val="0"/>
        <w:shd w:val="clear" w:color="auto" w:fill="auto"/>
        <w:bidi w:val="0"/>
        <w:spacing w:before="0" w:after="0" w:line="314" w:lineRule="exact"/>
        <w:ind w:left="0" w:right="0"/>
        <w:jc w:val="left"/>
      </w:pPr>
      <w:r>
        <w:rPr>
          <w:color w:val="000000"/>
          <w:spacing w:val="0"/>
          <w:w w:val="100"/>
          <w:position w:val="0"/>
        </w:rPr>
        <w:t>持有期间将取得的利息或现金股利确认为投资收益，期末将公允价值变动计入当期损益。</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69"/>
        <w:keepNext w:val="0"/>
        <w:keepLines w:val="0"/>
        <w:widowControl w:val="0"/>
        <w:shd w:val="clear" w:color="auto" w:fill="auto"/>
        <w:tabs>
          <w:tab w:pos="732" w:val="left"/>
        </w:tabs>
        <w:bidi w:val="0"/>
        <w:spacing w:before="0" w:after="0" w:line="314" w:lineRule="exact"/>
        <w:ind w:left="0" w:right="0" w:firstLine="340"/>
        <w:jc w:val="both"/>
      </w:pPr>
      <w:bookmarkStart w:id="562" w:name="bookmark562"/>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持有至到期投资</w:t>
      </w:r>
    </w:p>
    <w:p>
      <w:pPr>
        <w:pStyle w:val="Style69"/>
        <w:keepNext w:val="0"/>
        <w:keepLines w:val="0"/>
        <w:widowControl w:val="0"/>
        <w:shd w:val="clear" w:color="auto" w:fill="auto"/>
        <w:bidi w:val="0"/>
        <w:spacing w:before="0" w:after="0" w:line="314" w:lineRule="exact"/>
        <w:ind w:left="0" w:right="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处置时，将所取得价款与该投资账面价值之间的差额计入投资收益。</w:t>
      </w:r>
    </w:p>
    <w:p>
      <w:pPr>
        <w:pStyle w:val="Style69"/>
        <w:keepNext w:val="0"/>
        <w:keepLines w:val="0"/>
        <w:widowControl w:val="0"/>
        <w:shd w:val="clear" w:color="auto" w:fill="auto"/>
        <w:tabs>
          <w:tab w:pos="732" w:val="left"/>
        </w:tabs>
        <w:bidi w:val="0"/>
        <w:spacing w:before="0" w:after="0" w:line="314" w:lineRule="exact"/>
        <w:ind w:left="0" w:right="0" w:firstLine="340"/>
        <w:jc w:val="left"/>
      </w:pPr>
      <w:bookmarkStart w:id="563" w:name="bookmark563"/>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应收款项</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公司对外销售商品或提供劳务形成的应收债权，以及公司持有的其他企业的不包括在活跃市场上有报 </w:t>
      </w:r>
      <w:r>
        <w:rPr>
          <w:color w:val="000000"/>
          <w:spacing w:val="0"/>
          <w:w w:val="100"/>
          <w:position w:val="0"/>
        </w:rPr>
        <w:t>价的债务工具的债权，包括应收账款、其他应收款等，以向购货方应收的合同或协议价款作为初始确认金 额；具有融资性质的，按其现值进行初始确认。</w:t>
      </w:r>
    </w:p>
    <w:p>
      <w:pPr>
        <w:pStyle w:val="Style69"/>
        <w:keepNext w:val="0"/>
        <w:keepLines w:val="0"/>
        <w:widowControl w:val="0"/>
        <w:shd w:val="clear" w:color="auto" w:fill="auto"/>
        <w:bidi w:val="0"/>
        <w:spacing w:before="0" w:after="80" w:line="322" w:lineRule="exact"/>
        <w:ind w:left="0" w:right="0" w:firstLine="460"/>
        <w:jc w:val="both"/>
      </w:pPr>
      <w:r>
        <w:rPr>
          <w:color w:val="000000"/>
          <w:spacing w:val="0"/>
          <w:w w:val="100"/>
          <w:position w:val="0"/>
        </w:rPr>
        <w:t>收回或处置时，将取得的价款与该应收款项账面价值之间的差额计入当期损益。</w:t>
      </w:r>
    </w:p>
    <w:p>
      <w:pPr>
        <w:pStyle w:val="Style69"/>
        <w:keepNext w:val="0"/>
        <w:keepLines w:val="0"/>
        <w:widowControl w:val="0"/>
        <w:shd w:val="clear" w:color="auto" w:fill="auto"/>
        <w:tabs>
          <w:tab w:pos="752" w:val="left"/>
        </w:tabs>
        <w:bidi w:val="0"/>
        <w:spacing w:before="0" w:after="0" w:line="326" w:lineRule="auto"/>
        <w:ind w:left="0" w:right="0" w:firstLine="360"/>
        <w:jc w:val="both"/>
      </w:pPr>
      <w:bookmarkStart w:id="564" w:name="bookmark564"/>
      <w:r>
        <w:rPr>
          <w:rFonts w:ascii="Times New Roman" w:eastAsia="Times New Roman" w:hAnsi="Times New Roman" w:cs="Times New Roman"/>
          <w:color w:val="000000"/>
          <w:spacing w:val="0"/>
          <w:w w:val="100"/>
          <w:position w:val="0"/>
        </w:rPr>
        <w:t>4</w:t>
      </w:r>
      <w:bookmarkEnd w:id="564"/>
      <w:r>
        <w:rPr>
          <w:color w:val="000000"/>
          <w:spacing w:val="0"/>
          <w:w w:val="100"/>
          <w:position w:val="0"/>
        </w:rPr>
        <w:t>）</w:t>
        <w:tab/>
        <w:t>可供出售金融资产</w:t>
      </w:r>
    </w:p>
    <w:p>
      <w:pPr>
        <w:pStyle w:val="Style6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6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69"/>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69"/>
        <w:keepNext w:val="0"/>
        <w:keepLines w:val="0"/>
        <w:widowControl w:val="0"/>
        <w:shd w:val="clear" w:color="auto" w:fill="auto"/>
        <w:tabs>
          <w:tab w:pos="752" w:val="left"/>
        </w:tabs>
        <w:bidi w:val="0"/>
        <w:spacing w:before="0" w:after="0" w:line="326" w:lineRule="auto"/>
        <w:ind w:left="0" w:right="0" w:firstLine="360"/>
        <w:jc w:val="both"/>
      </w:pPr>
      <w:bookmarkStart w:id="565" w:name="bookmark565"/>
      <w:r>
        <w:rPr>
          <w:rFonts w:ascii="Times New Roman" w:eastAsia="Times New Roman" w:hAnsi="Times New Roman" w:cs="Times New Roman"/>
          <w:color w:val="000000"/>
          <w:spacing w:val="0"/>
          <w:w w:val="100"/>
          <w:position w:val="0"/>
        </w:rPr>
        <w:t>5</w:t>
      </w:r>
      <w:bookmarkEnd w:id="565"/>
      <w:r>
        <w:rPr>
          <w:color w:val="000000"/>
          <w:spacing w:val="0"/>
          <w:w w:val="100"/>
          <w:position w:val="0"/>
        </w:rPr>
        <w:t>）</w:t>
        <w:tab/>
        <w:t>其他金融负债</w:t>
      </w:r>
    </w:p>
    <w:p>
      <w:pPr>
        <w:pStyle w:val="Style69"/>
        <w:keepNext w:val="0"/>
        <w:keepLines w:val="0"/>
        <w:widowControl w:val="0"/>
        <w:shd w:val="clear" w:color="auto" w:fill="auto"/>
        <w:bidi w:val="0"/>
        <w:spacing w:before="0" w:after="280" w:line="312" w:lineRule="exact"/>
        <w:ind w:left="0" w:right="0" w:firstLine="460"/>
        <w:jc w:val="both"/>
      </w:pPr>
      <w:r>
        <w:rPr>
          <w:color w:val="000000"/>
          <w:spacing w:val="0"/>
          <w:w w:val="100"/>
          <w:position w:val="0"/>
        </w:rPr>
        <w:t>按其公允价值和相关交易费用之和作为初始确认金额。采用摊余成本进行后续计量。</w:t>
      </w:r>
    </w:p>
    <w:p>
      <w:pPr>
        <w:pStyle w:val="Style34"/>
        <w:keepNext/>
        <w:keepLines/>
        <w:widowControl w:val="0"/>
        <w:shd w:val="clear" w:color="auto" w:fill="auto"/>
        <w:bidi w:val="0"/>
        <w:spacing w:before="0" w:after="280" w:line="312" w:lineRule="exact"/>
        <w:ind w:left="0" w:right="0" w:firstLine="0"/>
        <w:jc w:val="both"/>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566"/>
      <w:bookmarkEnd w:id="567"/>
      <w:bookmarkEnd w:id="569"/>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9"/>
        <w:keepNext w:val="0"/>
        <w:keepLines w:val="0"/>
        <w:widowControl w:val="0"/>
        <w:shd w:val="clear" w:color="auto" w:fill="auto"/>
        <w:tabs>
          <w:tab w:pos="825" w:val="left"/>
        </w:tabs>
        <w:bidi w:val="0"/>
        <w:spacing w:before="0" w:after="0" w:line="318" w:lineRule="exact"/>
        <w:ind w:left="0" w:right="0" w:firstLine="380"/>
        <w:jc w:val="both"/>
      </w:pPr>
      <w:bookmarkStart w:id="570" w:name="bookmark570"/>
      <w:r>
        <w:rPr>
          <w:color w:val="000000"/>
          <w:spacing w:val="0"/>
          <w:w w:val="100"/>
          <w:position w:val="0"/>
        </w:rPr>
        <w:t>（</w:t>
      </w:r>
      <w:bookmarkEnd w:id="5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9"/>
        <w:keepNext w:val="0"/>
        <w:keepLines w:val="0"/>
        <w:widowControl w:val="0"/>
        <w:shd w:val="clear" w:color="auto" w:fill="auto"/>
        <w:bidi w:val="0"/>
        <w:spacing w:before="0" w:after="0" w:line="318" w:lineRule="exact"/>
        <w:ind w:left="0" w:right="0" w:firstLine="38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因转移而收到的对价，与原直接计入所有者权益的公允价值变动累计额（涉及转移的金融资产为可供出售金融资 产的情形）之和。</w:t>
      </w:r>
    </w:p>
    <w:p>
      <w:pPr>
        <w:pStyle w:val="Style29"/>
        <w:keepNext w:val="0"/>
        <w:keepLines w:val="0"/>
        <w:widowControl w:val="0"/>
        <w:shd w:val="clear" w:color="auto" w:fill="auto"/>
        <w:bidi w:val="0"/>
        <w:spacing w:before="0" w:after="0" w:line="318"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shd w:val="clear" w:color="auto" w:fill="auto"/>
        <w:tabs>
          <w:tab w:pos="825" w:val="left"/>
        </w:tabs>
        <w:bidi w:val="0"/>
        <w:spacing w:before="0" w:after="0" w:line="318" w:lineRule="exact"/>
        <w:ind w:left="0" w:right="0" w:firstLine="38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9"/>
        <w:keepNext w:val="0"/>
        <w:keepLines w:val="0"/>
        <w:widowControl w:val="0"/>
        <w:shd w:val="clear" w:color="auto" w:fill="auto"/>
        <w:tabs>
          <w:tab w:pos="901" w:val="left"/>
        </w:tabs>
        <w:bidi w:val="0"/>
        <w:spacing w:before="0" w:after="0" w:line="318" w:lineRule="exact"/>
        <w:ind w:left="0" w:right="0" w:firstLine="38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9"/>
        <w:keepNext w:val="0"/>
        <w:keepLines w:val="0"/>
        <w:widowControl w:val="0"/>
        <w:shd w:val="clear" w:color="auto" w:fill="auto"/>
        <w:bidi w:val="0"/>
        <w:spacing w:before="0" w:after="700" w:line="318"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34"/>
        <w:keepNext/>
        <w:keepLines/>
        <w:widowControl w:val="0"/>
        <w:shd w:val="clear" w:color="auto" w:fill="auto"/>
        <w:bidi w:val="0"/>
        <w:spacing w:before="0" w:after="28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w:t>
      </w:r>
      <w:bookmarkEnd w:id="576"/>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574"/>
      <w:bookmarkEnd w:id="575"/>
      <w:bookmarkEnd w:id="577"/>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金融负债的的现时义务全部或部分已经解除的，则终止确认该金融负债或其一部分；本公司若与债权人签定协议，以承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9"/>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34"/>
        <w:keepNext/>
        <w:keepLines/>
        <w:widowControl w:val="0"/>
        <w:shd w:val="clear" w:color="auto" w:fill="auto"/>
        <w:tabs>
          <w:tab w:pos="558" w:val="left"/>
        </w:tabs>
        <w:bidi w:val="0"/>
        <w:spacing w:before="0" w:after="28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rPr>
        <w:t>（</w:t>
      </w:r>
      <w:bookmarkEnd w:id="580"/>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78"/>
      <w:bookmarkEnd w:id="579"/>
      <w:bookmarkEnd w:id="581"/>
    </w:p>
    <w:p>
      <w:pPr>
        <w:pStyle w:val="Style29"/>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本公司采用公允价值计量的金融资产和金融负债存在活跃市场的金融资产或金融负债，以活跃市场的报价确定其公允 价值；不存在活跃市场的金融资产或金融负债，采用估值技术（包括参考熟悉情况并自愿交易的各方最近进行的市场交易中 使用的价格、参照实质上相同的其他金融工具的当前公允价值、现金流量折现法和期权定价模型等）确定其公允价值；初始 取得或源生的金融资产或承担的金融负债，以市场交易价格作为确定其公允价值的基础。</w:t>
      </w:r>
    </w:p>
    <w:p>
      <w:pPr>
        <w:pStyle w:val="Style34"/>
        <w:keepNext/>
        <w:keepLines/>
        <w:widowControl w:val="0"/>
        <w:shd w:val="clear" w:color="auto" w:fill="auto"/>
        <w:tabs>
          <w:tab w:pos="558" w:val="left"/>
        </w:tabs>
        <w:bidi w:val="0"/>
        <w:spacing w:before="0" w:after="28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82"/>
      <w:bookmarkEnd w:id="583"/>
      <w:bookmarkEnd w:id="585"/>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资产负债表日对以公允价值计量且其变动计入当期损益的金融资产以外的金融资产的账面价值进行检查，如有客观证 据表明该金融资产发生减值的，计提减值准备。</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金融资产发生减值的客观证据，包括但不限于：</w:t>
      </w:r>
    </w:p>
    <w:p>
      <w:pPr>
        <w:pStyle w:val="Style29"/>
        <w:keepNext w:val="0"/>
        <w:keepLines w:val="0"/>
        <w:widowControl w:val="0"/>
        <w:shd w:val="clear" w:color="auto" w:fill="auto"/>
        <w:tabs>
          <w:tab w:pos="636" w:val="left"/>
        </w:tabs>
        <w:bidi w:val="0"/>
        <w:spacing w:before="0" w:after="0" w:line="313" w:lineRule="exact"/>
        <w:ind w:left="0" w:right="0" w:firstLine="300"/>
        <w:jc w:val="both"/>
      </w:pPr>
      <w:bookmarkStart w:id="586" w:name="bookmark586"/>
      <w:r>
        <w:rPr>
          <w:rFonts w:ascii="Times New Roman" w:eastAsia="Times New Roman" w:hAnsi="Times New Roman" w:cs="Times New Roman"/>
          <w:color w:val="000000"/>
          <w:spacing w:val="0"/>
          <w:w w:val="100"/>
          <w:position w:val="0"/>
          <w:sz w:val="18"/>
          <w:szCs w:val="18"/>
        </w:rPr>
        <w:t>1</w:t>
      </w:r>
      <w:bookmarkEnd w:id="586"/>
      <w:r>
        <w:rPr>
          <w:color w:val="000000"/>
          <w:spacing w:val="0"/>
          <w:w w:val="100"/>
          <w:position w:val="0"/>
        </w:rPr>
        <w:t>）</w:t>
        <w:tab/>
        <w:t>发行方或债务人发生严重财务困难；</w:t>
      </w:r>
    </w:p>
    <w:p>
      <w:pPr>
        <w:pStyle w:val="Style29"/>
        <w:keepNext w:val="0"/>
        <w:keepLines w:val="0"/>
        <w:widowControl w:val="0"/>
        <w:shd w:val="clear" w:color="auto" w:fill="auto"/>
        <w:tabs>
          <w:tab w:pos="655" w:val="left"/>
        </w:tabs>
        <w:bidi w:val="0"/>
        <w:spacing w:before="0" w:after="0" w:line="313" w:lineRule="exact"/>
        <w:ind w:left="0" w:right="0" w:firstLine="300"/>
        <w:jc w:val="both"/>
      </w:pPr>
      <w:bookmarkStart w:id="587" w:name="bookmark587"/>
      <w:r>
        <w:rPr>
          <w:rFonts w:ascii="Times New Roman" w:eastAsia="Times New Roman" w:hAnsi="Times New Roman" w:cs="Times New Roman"/>
          <w:color w:val="000000"/>
          <w:spacing w:val="0"/>
          <w:w w:val="100"/>
          <w:position w:val="0"/>
          <w:sz w:val="18"/>
          <w:szCs w:val="18"/>
        </w:rPr>
        <w:t>2</w:t>
      </w:r>
      <w:bookmarkEnd w:id="587"/>
      <w:r>
        <w:rPr>
          <w:color w:val="000000"/>
          <w:spacing w:val="0"/>
          <w:w w:val="100"/>
          <w:position w:val="0"/>
        </w:rPr>
        <w:t>）</w:t>
        <w:tab/>
        <w:t>债务人违反了合同条款，如偿付利息或本金发生违约或逾期等；</w:t>
      </w:r>
    </w:p>
    <w:p>
      <w:pPr>
        <w:pStyle w:val="Style29"/>
        <w:keepNext w:val="0"/>
        <w:keepLines w:val="0"/>
        <w:widowControl w:val="0"/>
        <w:shd w:val="clear" w:color="auto" w:fill="auto"/>
        <w:tabs>
          <w:tab w:pos="655" w:val="left"/>
        </w:tabs>
        <w:bidi w:val="0"/>
        <w:spacing w:before="0" w:after="0" w:line="313" w:lineRule="exact"/>
        <w:ind w:left="0" w:right="0" w:firstLine="300"/>
        <w:jc w:val="both"/>
      </w:pPr>
      <w:bookmarkStart w:id="588" w:name="bookmark588"/>
      <w:r>
        <w:rPr>
          <w:rFonts w:ascii="Times New Roman" w:eastAsia="Times New Roman" w:hAnsi="Times New Roman" w:cs="Times New Roman"/>
          <w:color w:val="000000"/>
          <w:spacing w:val="0"/>
          <w:w w:val="100"/>
          <w:position w:val="0"/>
          <w:sz w:val="18"/>
          <w:szCs w:val="18"/>
        </w:rPr>
        <w:t>3</w:t>
      </w:r>
      <w:bookmarkEnd w:id="588"/>
      <w:r>
        <w:rPr>
          <w:color w:val="000000"/>
          <w:spacing w:val="0"/>
          <w:w w:val="100"/>
          <w:position w:val="0"/>
        </w:rPr>
        <w:t>）</w:t>
        <w:tab/>
        <w:t>债权人出于经济或法律等方面因素的考虑，对发生财务困难的债务人作出让步；</w:t>
      </w:r>
    </w:p>
    <w:p>
      <w:pPr>
        <w:pStyle w:val="Style29"/>
        <w:keepNext w:val="0"/>
        <w:keepLines w:val="0"/>
        <w:widowControl w:val="0"/>
        <w:shd w:val="clear" w:color="auto" w:fill="auto"/>
        <w:tabs>
          <w:tab w:pos="655" w:val="left"/>
        </w:tabs>
        <w:bidi w:val="0"/>
        <w:spacing w:before="0" w:after="0" w:line="313" w:lineRule="exact"/>
        <w:ind w:left="0" w:right="0" w:firstLine="300"/>
        <w:jc w:val="both"/>
      </w:pPr>
      <w:bookmarkStart w:id="589" w:name="bookmark589"/>
      <w:r>
        <w:rPr>
          <w:rFonts w:ascii="Times New Roman" w:eastAsia="Times New Roman" w:hAnsi="Times New Roman" w:cs="Times New Roman"/>
          <w:color w:val="000000"/>
          <w:spacing w:val="0"/>
          <w:w w:val="100"/>
          <w:position w:val="0"/>
          <w:sz w:val="18"/>
          <w:szCs w:val="18"/>
        </w:rPr>
        <w:t>4</w:t>
      </w:r>
      <w:bookmarkEnd w:id="589"/>
      <w:r>
        <w:rPr>
          <w:color w:val="000000"/>
          <w:spacing w:val="0"/>
          <w:w w:val="100"/>
          <w:position w:val="0"/>
        </w:rPr>
        <w:t>）</w:t>
        <w:tab/>
        <w:t>债务人很可能倒闭或进行其他财务重组；</w:t>
      </w:r>
    </w:p>
    <w:p>
      <w:pPr>
        <w:pStyle w:val="Style29"/>
        <w:keepNext w:val="0"/>
        <w:keepLines w:val="0"/>
        <w:widowControl w:val="0"/>
        <w:shd w:val="clear" w:color="auto" w:fill="auto"/>
        <w:tabs>
          <w:tab w:pos="645" w:val="left"/>
        </w:tabs>
        <w:bidi w:val="0"/>
        <w:spacing w:before="0" w:after="0" w:line="313" w:lineRule="exact"/>
        <w:ind w:left="0" w:right="0" w:firstLine="300"/>
        <w:jc w:val="both"/>
      </w:pPr>
      <w:bookmarkStart w:id="590" w:name="bookmark590"/>
      <w:r>
        <w:rPr>
          <w:rFonts w:ascii="Times New Roman" w:eastAsia="Times New Roman" w:hAnsi="Times New Roman" w:cs="Times New Roman"/>
          <w:color w:val="000000"/>
          <w:spacing w:val="0"/>
          <w:w w:val="100"/>
          <w:position w:val="0"/>
          <w:sz w:val="18"/>
          <w:szCs w:val="18"/>
        </w:rPr>
        <w:t>5</w:t>
      </w:r>
      <w:bookmarkEnd w:id="590"/>
      <w:r>
        <w:rPr>
          <w:color w:val="000000"/>
          <w:spacing w:val="0"/>
          <w:w w:val="100"/>
          <w:position w:val="0"/>
        </w:rPr>
        <w:t>）</w:t>
        <w:tab/>
        <w:t>因发行方发生重大财务困难，该金融资产无法在活跃市场继续交易；</w:t>
      </w:r>
    </w:p>
    <w:p>
      <w:pPr>
        <w:pStyle w:val="Style29"/>
        <w:keepNext w:val="0"/>
        <w:keepLines w:val="0"/>
        <w:widowControl w:val="0"/>
        <w:shd w:val="clear" w:color="auto" w:fill="auto"/>
        <w:tabs>
          <w:tab w:pos="638" w:val="left"/>
        </w:tabs>
        <w:bidi w:val="0"/>
        <w:spacing w:before="0" w:after="0" w:line="313" w:lineRule="exact"/>
        <w:ind w:left="0" w:right="0" w:firstLine="300"/>
        <w:jc w:val="both"/>
      </w:pPr>
      <w:bookmarkStart w:id="591" w:name="bookmark591"/>
      <w:r>
        <w:rPr>
          <w:rFonts w:ascii="Times New Roman" w:eastAsia="Times New Roman" w:hAnsi="Times New Roman" w:cs="Times New Roman"/>
          <w:color w:val="000000"/>
          <w:spacing w:val="0"/>
          <w:w w:val="100"/>
          <w:position w:val="0"/>
          <w:sz w:val="18"/>
          <w:szCs w:val="18"/>
        </w:rPr>
        <w:t>6</w:t>
      </w:r>
      <w:bookmarkEnd w:id="591"/>
      <w:r>
        <w:rPr>
          <w:color w:val="000000"/>
          <w:spacing w:val="0"/>
          <w:w w:val="100"/>
          <w:position w:val="0"/>
        </w:rPr>
        <w:t>）</w:t>
        <w:tab/>
        <w:t>无法辨认一组金融资产中的某项资产的现金流量是否已经减少，但根据公开的数据对其进行总体评价后发现，该组 金融资产自初始确认以来的预计未来现金流量确已减少且可计量，如该组金融资产的债务人支付能力逐步恶化，或债务人所 在国家或地区失业率提高、担保物在其所在地区的价格明显下降、所处行业不景气等；</w:t>
      </w:r>
    </w:p>
    <w:p>
      <w:pPr>
        <w:pStyle w:val="Style29"/>
        <w:keepNext w:val="0"/>
        <w:keepLines w:val="0"/>
        <w:widowControl w:val="0"/>
        <w:shd w:val="clear" w:color="auto" w:fill="auto"/>
        <w:tabs>
          <w:tab w:pos="633" w:val="left"/>
        </w:tabs>
        <w:bidi w:val="0"/>
        <w:spacing w:before="0" w:after="0" w:line="313" w:lineRule="exact"/>
        <w:ind w:left="0" w:right="0" w:firstLine="300"/>
        <w:jc w:val="both"/>
      </w:pPr>
      <w:bookmarkStart w:id="592" w:name="bookmark592"/>
      <w:r>
        <w:rPr>
          <w:rFonts w:ascii="Times New Roman" w:eastAsia="Times New Roman" w:hAnsi="Times New Roman" w:cs="Times New Roman"/>
          <w:color w:val="000000"/>
          <w:spacing w:val="0"/>
          <w:w w:val="100"/>
          <w:position w:val="0"/>
          <w:sz w:val="18"/>
          <w:szCs w:val="18"/>
        </w:rPr>
        <w:t>7</w:t>
      </w:r>
      <w:bookmarkEnd w:id="592"/>
      <w:r>
        <w:rPr>
          <w:color w:val="000000"/>
          <w:spacing w:val="0"/>
          <w:w w:val="100"/>
          <w:position w:val="0"/>
        </w:rPr>
        <w:t>）</w:t>
        <w:tab/>
        <w:t>权益工具发行方经营所处的技术、市场、经济或法律环境等发生重大不利变化，使权益工具投资人可能无法收回投 资成本；</w:t>
      </w:r>
    </w:p>
    <w:p>
      <w:pPr>
        <w:pStyle w:val="Style29"/>
        <w:keepNext w:val="0"/>
        <w:keepLines w:val="0"/>
        <w:widowControl w:val="0"/>
        <w:shd w:val="clear" w:color="auto" w:fill="auto"/>
        <w:tabs>
          <w:tab w:pos="645" w:val="left"/>
        </w:tabs>
        <w:bidi w:val="0"/>
        <w:spacing w:before="0" w:after="0" w:line="313" w:lineRule="exact"/>
        <w:ind w:left="0" w:right="0" w:firstLine="300"/>
        <w:jc w:val="both"/>
      </w:pPr>
      <w:bookmarkStart w:id="593" w:name="bookmark593"/>
      <w:r>
        <w:rPr>
          <w:rFonts w:ascii="Times New Roman" w:eastAsia="Times New Roman" w:hAnsi="Times New Roman" w:cs="Times New Roman"/>
          <w:color w:val="000000"/>
          <w:spacing w:val="0"/>
          <w:w w:val="100"/>
          <w:position w:val="0"/>
          <w:sz w:val="18"/>
          <w:szCs w:val="18"/>
        </w:rPr>
        <w:t>8</w:t>
      </w:r>
      <w:bookmarkEnd w:id="593"/>
      <w:r>
        <w:rPr>
          <w:color w:val="000000"/>
          <w:spacing w:val="0"/>
          <w:w w:val="100"/>
          <w:position w:val="0"/>
        </w:rPr>
        <w:t>）</w:t>
        <w:tab/>
        <w:t>权益工具投资的公允价值发生严重或非暂时性下跌；</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金融资产的具体减值方法如下：</w:t>
      </w:r>
    </w:p>
    <w:p>
      <w:pPr>
        <w:pStyle w:val="Style29"/>
        <w:keepNext w:val="0"/>
        <w:keepLines w:val="0"/>
        <w:widowControl w:val="0"/>
        <w:shd w:val="clear" w:color="auto" w:fill="auto"/>
        <w:tabs>
          <w:tab w:pos="776" w:val="left"/>
        </w:tabs>
        <w:bidi w:val="0"/>
        <w:spacing w:before="0" w:after="0" w:line="313" w:lineRule="exact"/>
        <w:ind w:left="0" w:right="0" w:firstLine="440"/>
        <w:jc w:val="both"/>
      </w:pPr>
      <w:bookmarkStart w:id="594" w:name="bookmark594"/>
      <w:r>
        <w:rPr>
          <w:rFonts w:ascii="Times New Roman" w:eastAsia="Times New Roman" w:hAnsi="Times New Roman" w:cs="Times New Roman"/>
          <w:color w:val="000000"/>
          <w:spacing w:val="0"/>
          <w:w w:val="100"/>
          <w:position w:val="0"/>
          <w:sz w:val="18"/>
          <w:szCs w:val="18"/>
        </w:rPr>
        <w:t>1</w:t>
      </w:r>
      <w:bookmarkEnd w:id="594"/>
      <w:r>
        <w:rPr>
          <w:color w:val="000000"/>
          <w:spacing w:val="0"/>
          <w:w w:val="100"/>
          <w:position w:val="0"/>
        </w:rPr>
        <w:t>）</w:t>
        <w:tab/>
        <w:t>可供出售金融资产的减值准备：</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对于可供出售金融资产采用个别认定的方式评估减值损失，其中：表明可供出售权益工具投资发生减值的客观证据包 括权益工具投资的公允价值发生严重或非暂时性下跌，具体量化标准为：本公司于资产负债表日对各项可供出售权益工具投 资单独进行检查，若该权益工具投资于资产负债表日的公允价值低于其初始投资成本超过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）或低于其初始投资 成本持续时间超过一年（含一年）的，则表明其发生减值。</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可供出售金融资产发生减值时，即使该金融资产没有终止确认，本公司将原直接计入所有者权益的因公允价值下降形 成的累计损失从所有者权益转出，计入当期损益。该转出的累计损失，等于可供出售金融资产的初始取得成本扣除已收回本 金和已摊余金额、当前公允价值和原已计入损益的减值损失后的余额。</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对于已确认减值损失的可供出售债务工具，在随后的会计期间公允价值已上升且客观上与确认原减值损失后发生的事 项有关的，原确认的减值损失予以转回计入当期损益；对于可供出售权益工具投资发生的减值损失，在该权益工具价值回升 时通过权益转回；但在活跃市场中没有报价且其公允价值不能可靠计量的权益工具投资，或与该权益工具挂钩并须通过交付 该权益工具结算的衍生金融资产发生的减值损失，不得转回。</w:t>
      </w:r>
    </w:p>
    <w:p>
      <w:pPr>
        <w:pStyle w:val="Style29"/>
        <w:keepNext w:val="0"/>
        <w:keepLines w:val="0"/>
        <w:widowControl w:val="0"/>
        <w:shd w:val="clear" w:color="auto" w:fill="auto"/>
        <w:tabs>
          <w:tab w:pos="795" w:val="left"/>
        </w:tabs>
        <w:bidi w:val="0"/>
        <w:spacing w:before="0" w:after="0" w:line="313" w:lineRule="exact"/>
        <w:ind w:left="0" w:right="0" w:firstLine="440"/>
        <w:jc w:val="both"/>
      </w:pPr>
      <w:bookmarkStart w:id="595" w:name="bookmark595"/>
      <w:r>
        <w:rPr>
          <w:rFonts w:ascii="Times New Roman" w:eastAsia="Times New Roman" w:hAnsi="Times New Roman" w:cs="Times New Roman"/>
          <w:color w:val="000000"/>
          <w:spacing w:val="0"/>
          <w:w w:val="100"/>
          <w:position w:val="0"/>
          <w:sz w:val="18"/>
          <w:szCs w:val="18"/>
        </w:rPr>
        <w:t>2</w:t>
      </w:r>
      <w:bookmarkEnd w:id="595"/>
      <w:r>
        <w:rPr>
          <w:color w:val="000000"/>
          <w:spacing w:val="0"/>
          <w:w w:val="100"/>
          <w:position w:val="0"/>
        </w:rPr>
        <w:t>）</w:t>
        <w:tab/>
        <w:t>持有至到期投资的减值准备：</w:t>
      </w:r>
    </w:p>
    <w:p>
      <w:pPr>
        <w:pStyle w:val="Style29"/>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对于持有至到期投资，有客观证据表明其发生了减值的，根据其账面价值与预计未来现金流量现值之间差额计算确认 减值损失；计提后如有证据表明其价值已恢复，原确认的减值损失可予以转回，记入当期损益，但该转回的账面价值不超过 假定不计提减值准备情况下该金融资产在转回日的摊余成本。</w:t>
      </w:r>
    </w:p>
    <w:p>
      <w:pPr>
        <w:pStyle w:val="Style29"/>
        <w:keepNext w:val="0"/>
        <w:keepLines w:val="0"/>
        <w:widowControl w:val="0"/>
        <w:shd w:val="clear" w:color="auto" w:fill="auto"/>
        <w:bidi w:val="0"/>
        <w:spacing w:before="0" w:after="0" w:line="313" w:lineRule="exact"/>
        <w:ind w:left="0" w:right="0" w:firstLine="0"/>
        <w:jc w:val="left"/>
        <w:sectPr>
          <w:headerReference w:type="default" r:id="rId173"/>
          <w:footerReference w:type="default" r:id="rId174"/>
          <w:headerReference w:type="even" r:id="rId175"/>
          <w:footerReference w:type="even" r:id="rId176"/>
          <w:footnotePr>
            <w:pos w:val="pageBottom"/>
            <w:numFmt w:val="decimal"/>
            <w:numRestart w:val="continuous"/>
          </w:footnotePr>
          <w:type w:val="continuous"/>
          <w:pgSz w:w="11900" w:h="16840"/>
          <w:pgMar w:top="1142" w:right="992" w:bottom="1188" w:left="905" w:header="0" w:footer="3" w:gutter="0"/>
          <w:cols w:space="720"/>
          <w:noEndnote/>
          <w:rtlGutter w:val="0"/>
          <w:docGrid w:linePitch="360"/>
        </w:sectPr>
      </w:pPr>
      <w:r>
        <w:rPr>
          <w:color w:val="000000"/>
          <w:spacing w:val="0"/>
          <w:w w:val="100"/>
          <w:position w:val="0"/>
        </w:rPr>
        <w:t>各类可供出售金融资产减值的各项认定标准</w:t>
      </w:r>
    </w:p>
    <w:p>
      <w:pPr>
        <w:pStyle w:val="Style34"/>
        <w:keepNext/>
        <w:keepLines/>
        <w:widowControl w:val="0"/>
        <w:numPr>
          <w:ilvl w:val="0"/>
          <w:numId w:val="5"/>
        </w:numPr>
        <w:shd w:val="clear" w:color="auto" w:fill="auto"/>
        <w:bidi w:val="0"/>
        <w:spacing w:before="0" w:after="380" w:line="240" w:lineRule="auto"/>
        <w:ind w:left="0" w:right="0" w:firstLine="0"/>
        <w:jc w:val="left"/>
      </w:pPr>
      <w:bookmarkStart w:id="596" w:name="bookmark596"/>
      <w:bookmarkStart w:id="597" w:name="bookmark597"/>
      <w:bookmarkStart w:id="598" w:name="bookmark598"/>
      <w:bookmarkStart w:id="599" w:name="bookmark599"/>
      <w:bookmarkEnd w:id="598"/>
      <w:r>
        <w:rPr>
          <w:color w:val="000000"/>
          <w:spacing w:val="0"/>
          <w:w w:val="100"/>
          <w:position w:val="0"/>
        </w:rPr>
        <w:t>将尚未到期的持有至到期投资重分类为可供出售金融资产的，说明持有意图或能力发生改变的依据</w:t>
      </w:r>
      <w:bookmarkEnd w:id="596"/>
      <w:bookmarkEnd w:id="597"/>
      <w:bookmarkEnd w:id="599"/>
    </w:p>
    <w:p>
      <w:pPr>
        <w:pStyle w:val="Style34"/>
        <w:keepNext/>
        <w:keepLines/>
        <w:widowControl w:val="0"/>
        <w:shd w:val="clear" w:color="auto" w:fill="auto"/>
        <w:bidi w:val="0"/>
        <w:spacing w:before="0" w:after="380" w:line="240" w:lineRule="auto"/>
        <w:ind w:left="0" w:right="0" w:firstLine="0"/>
        <w:jc w:val="left"/>
      </w:pPr>
      <w:bookmarkStart w:id="596" w:name="bookmark596"/>
      <w:bookmarkStart w:id="597" w:name="bookmark597"/>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96"/>
      <w:bookmarkEnd w:id="597"/>
      <w:bookmarkEnd w:id="601"/>
    </w:p>
    <w:p>
      <w:pPr>
        <w:pStyle w:val="Style29"/>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本公司对合并报表范围内的应收款项不计提坏账准备。除此外，按下列方法对应收款项进行减值测试，并计提坏账准备。</w:t>
      </w:r>
    </w:p>
    <w:p>
      <w:pPr>
        <w:pStyle w:val="Style34"/>
        <w:keepNext/>
        <w:keepLines/>
        <w:widowControl w:val="0"/>
        <w:numPr>
          <w:ilvl w:val="0"/>
          <w:numId w:val="7"/>
        </w:numPr>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bookmarkEnd w:id="604"/>
      <w:r>
        <w:rPr>
          <w:color w:val="000000"/>
          <w:spacing w:val="0"/>
          <w:w w:val="100"/>
          <w:position w:val="0"/>
        </w:rPr>
        <w:t>单项金额重大的应收款项坏账准备</w:t>
      </w:r>
      <w:bookmarkEnd w:id="602"/>
      <w:bookmarkEnd w:id="603"/>
      <w:bookmarkEnd w:id="605"/>
    </w:p>
    <w:tbl>
      <w:tblPr>
        <w:tblOverlap w:val="never"/>
        <w:jc w:val="center"/>
        <w:tblLayout w:type="fixed"/>
      </w:tblPr>
      <w:tblGrid>
        <w:gridCol w:w="5064"/>
        <w:gridCol w:w="45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单独进行减值测试，按预计未来现金流量现值低于其账面 价值的差额计提坏账准备，计入当期损益。单独测试未发 生减值的应收款项，将其归入相应组合计提坏账准备。</w:t>
            </w:r>
          </w:p>
        </w:tc>
      </w:tr>
    </w:tbl>
    <w:p>
      <w:pPr>
        <w:widowControl w:val="0"/>
        <w:spacing w:after="319" w:line="1" w:lineRule="exact"/>
      </w:pPr>
    </w:p>
    <w:p>
      <w:pPr>
        <w:pStyle w:val="Style34"/>
        <w:keepNext/>
        <w:keepLines/>
        <w:widowControl w:val="0"/>
        <w:numPr>
          <w:ilvl w:val="0"/>
          <w:numId w:val="7"/>
        </w:numPr>
        <w:shd w:val="clear" w:color="auto" w:fill="auto"/>
        <w:bidi w:val="0"/>
        <w:spacing w:before="0" w:after="320" w:line="240" w:lineRule="auto"/>
        <w:ind w:left="0" w:right="0" w:firstLine="0"/>
        <w:jc w:val="left"/>
      </w:pPr>
      <w:bookmarkStart w:id="606" w:name="bookmark606"/>
      <w:bookmarkStart w:id="607" w:name="bookmark607"/>
      <w:bookmarkStart w:id="608" w:name="bookmark608"/>
      <w:bookmarkStart w:id="609" w:name="bookmark609"/>
      <w:bookmarkEnd w:id="608"/>
      <w:r>
        <w:rPr>
          <w:color w:val="000000"/>
          <w:spacing w:val="0"/>
          <w:w w:val="100"/>
          <w:position w:val="0"/>
        </w:rPr>
        <w:t>按组合计提坏账准备的应收款项</w:t>
      </w:r>
      <w:bookmarkEnd w:id="606"/>
      <w:bookmarkEnd w:id="607"/>
      <w:bookmarkEnd w:id="609"/>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对于单项金额不重大的应收款项，与经单独测试后未减值的 应收款项一起按账龄组合计提坏账准备，采用账龄分析法计 提坏账准备。</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7"/>
        </w:numPr>
        <w:shd w:val="clear" w:color="auto" w:fill="auto"/>
        <w:bidi w:val="0"/>
        <w:spacing w:before="0" w:after="320" w:line="240" w:lineRule="auto"/>
        <w:ind w:left="0" w:right="0" w:firstLine="0"/>
        <w:jc w:val="left"/>
      </w:pPr>
      <w:bookmarkStart w:id="610" w:name="bookmark610"/>
      <w:bookmarkStart w:id="611" w:name="bookmark611"/>
      <w:bookmarkStart w:id="612" w:name="bookmark612"/>
      <w:bookmarkStart w:id="613" w:name="bookmark613"/>
      <w:bookmarkEnd w:id="612"/>
      <w:r>
        <w:rPr>
          <w:color w:val="000000"/>
          <w:spacing w:val="0"/>
          <w:w w:val="100"/>
          <w:position w:val="0"/>
        </w:rPr>
        <w:t>单项金额虽不重大但单项计提坏账准备的应收账款</w:t>
      </w:r>
      <w:bookmarkEnd w:id="610"/>
      <w:bookmarkEnd w:id="611"/>
      <w:bookmarkEnd w:id="613"/>
    </w:p>
    <w:tbl>
      <w:tblPr>
        <w:tblOverlap w:val="never"/>
        <w:jc w:val="center"/>
        <w:tblLayout w:type="fixed"/>
      </w:tblPr>
      <w:tblGrid>
        <w:gridCol w:w="3365"/>
        <w:gridCol w:w="6221"/>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本公司将单户金额在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万元以下的应收款项，确定为单项金额不重大的应收 款项，若其账龄在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年以上，在资产负债表日，本公司对其单独进行减值测试， 经测试发生了减值的，按其未来现金流量现值低于其账面价值的差额，确定减 值损失，计提坏账准备。</w:t>
            </w:r>
          </w:p>
        </w:tc>
      </w:tr>
    </w:tbl>
    <w:p>
      <w:pPr>
        <w:pStyle w:val="Style34"/>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14"/>
      <w:bookmarkEnd w:id="615"/>
      <w:bookmarkEnd w:id="616"/>
    </w:p>
    <w:p>
      <w:pPr>
        <w:pStyle w:val="Style34"/>
        <w:keepNext/>
        <w:keepLines/>
        <w:widowControl w:val="0"/>
        <w:shd w:val="clear" w:color="auto" w:fill="auto"/>
        <w:tabs>
          <w:tab w:pos="493" w:val="left"/>
        </w:tabs>
        <w:bidi w:val="0"/>
        <w:spacing w:before="0" w:after="260" w:line="240" w:lineRule="auto"/>
        <w:ind w:left="0" w:right="0" w:firstLine="0"/>
        <w:jc w:val="left"/>
      </w:pPr>
      <w:bookmarkStart w:id="614" w:name="bookmark614"/>
      <w:bookmarkStart w:id="615" w:name="bookmark615"/>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14"/>
      <w:bookmarkEnd w:id="615"/>
      <w:bookmarkEnd w:id="618"/>
    </w:p>
    <w:p>
      <w:pPr>
        <w:pStyle w:val="Style29"/>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中耗用的材料和物料等。主要包括原材料、周转材料、委托加工材料、包装物、低值易耗品、在产品、自制半成品、产成品 （库存商品）等。</w:t>
      </w:r>
    </w:p>
    <w:p>
      <w:pPr>
        <w:pStyle w:val="Style34"/>
        <w:keepNext/>
        <w:keepLines/>
        <w:widowControl w:val="0"/>
        <w:shd w:val="clear" w:color="auto" w:fill="auto"/>
        <w:tabs>
          <w:tab w:pos="493" w:val="left"/>
        </w:tabs>
        <w:bidi w:val="0"/>
        <w:spacing w:before="0" w:after="26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19"/>
      <w:bookmarkEnd w:id="620"/>
      <w:bookmarkEnd w:id="62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计价方法：加权平均法</w:t>
      </w:r>
    </w:p>
    <w:p>
      <w:pPr>
        <w:pStyle w:val="Style29"/>
        <w:keepNext w:val="0"/>
        <w:keepLines w:val="0"/>
        <w:widowControl w:val="0"/>
        <w:shd w:val="clear" w:color="auto" w:fill="auto"/>
        <w:bidi w:val="0"/>
        <w:spacing w:before="0" w:after="680" w:line="312" w:lineRule="exact"/>
        <w:ind w:left="0" w:right="0" w:firstLine="280"/>
        <w:jc w:val="left"/>
      </w:pPr>
      <w:r>
        <w:rPr>
          <w:color w:val="000000"/>
          <w:spacing w:val="0"/>
          <w:w w:val="100"/>
          <w:position w:val="0"/>
        </w:rPr>
        <w:t>存货在取得时，按成本进行初始计量，包括采购成本、加工成本和其他成本。存货发出时按加权平均法计价。</w:t>
      </w:r>
    </w:p>
    <w:p>
      <w:pPr>
        <w:pStyle w:val="Style34"/>
        <w:keepNext/>
        <w:keepLines/>
        <w:widowControl w:val="0"/>
        <w:shd w:val="clear" w:color="auto" w:fill="auto"/>
        <w:tabs>
          <w:tab w:pos="493"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23"/>
      <w:bookmarkEnd w:id="624"/>
      <w:bookmarkEnd w:id="626"/>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期末对存货进行全面清查后，按存货的成本与可变现净值孰低提取或调整存货跌价准备。产成品、库存商品和用于出 售的材料等直接用于出售的商品存货，在正常生产经营过程中，以该存货的估计售价减去估计的销售费用和相关税费后的金 额，确定其可变现净值；需要经过加工的材料存货，在正常生产经营过程中，以所生产的产成品的估计售价减去至完工时估 计将要发生的成本、估计的销售费用和相关税费后的金额，确定其可变现净值；为执行销售合同或者劳务合同而持有的存货， 其可变现净值以合同价格为基础计算，若持有存货的数量多于销售合同订购数量的，超出部分的存货的可变现净值以一般销 售价格为基础计算。</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以前减记存货价值的影响因素已经消失的，减记的金额予以恢复，并在原已计提的存货跌价准备金额内转回，转回的金额计 入当期损益。</w:t>
      </w:r>
    </w:p>
    <w:p>
      <w:pPr>
        <w:pStyle w:val="Style34"/>
        <w:keepNext/>
        <w:keepLines/>
        <w:widowControl w:val="0"/>
        <w:shd w:val="clear" w:color="auto" w:fill="auto"/>
        <w:tabs>
          <w:tab w:pos="493" w:val="left"/>
        </w:tabs>
        <w:bidi w:val="0"/>
        <w:spacing w:before="0" w:after="26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27"/>
      <w:bookmarkEnd w:id="628"/>
      <w:bookmarkEnd w:id="630"/>
    </w:p>
    <w:p>
      <w:pPr>
        <w:pStyle w:val="Style2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盘存制度：永续盘存制</w:t>
      </w:r>
    </w:p>
    <w:p>
      <w:pPr>
        <w:pStyle w:val="Style34"/>
        <w:keepNext/>
        <w:keepLines/>
        <w:widowControl w:val="0"/>
        <w:shd w:val="clear" w:color="auto" w:fill="auto"/>
        <w:tabs>
          <w:tab w:pos="493" w:val="left"/>
        </w:tabs>
        <w:bidi w:val="0"/>
        <w:spacing w:before="0" w:after="22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31"/>
      <w:bookmarkEnd w:id="632"/>
      <w:bookmarkEnd w:id="634"/>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低值易耗品 摊销方法：一次摊销法 包装物</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摊销方法：一次摊销法</w:t>
      </w:r>
    </w:p>
    <w:p>
      <w:pPr>
        <w:pStyle w:val="Style34"/>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35"/>
      <w:bookmarkEnd w:id="636"/>
      <w:bookmarkEnd w:id="638"/>
    </w:p>
    <w:p>
      <w:pPr>
        <w:pStyle w:val="Style34"/>
        <w:keepNext/>
        <w:keepLines/>
        <w:widowControl w:val="0"/>
        <w:shd w:val="clear" w:color="auto" w:fill="auto"/>
        <w:bidi w:val="0"/>
        <w:spacing w:before="0" w:after="260" w:line="240" w:lineRule="auto"/>
        <w:ind w:left="0" w:right="0" w:firstLine="0"/>
        <w:jc w:val="left"/>
      </w:pPr>
      <w:bookmarkStart w:id="635" w:name="bookmark635"/>
      <w:bookmarkStart w:id="636" w:name="bookmark636"/>
      <w:bookmarkStart w:id="639" w:name="bookmark639"/>
      <w:bookmarkStart w:id="640" w:name="bookmark640"/>
      <w:r>
        <w:rPr>
          <w:color w:val="000000"/>
          <w:spacing w:val="0"/>
          <w:w w:val="100"/>
          <w:position w:val="0"/>
        </w:rPr>
        <w:t>（</w:t>
      </w:r>
      <w:bookmarkEnd w:id="63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35"/>
      <w:bookmarkEnd w:id="636"/>
      <w:bookmarkEnd w:id="640"/>
    </w:p>
    <w:p>
      <w:pPr>
        <w:pStyle w:val="Style29"/>
        <w:keepNext w:val="0"/>
        <w:keepLines w:val="0"/>
        <w:widowControl w:val="0"/>
        <w:shd w:val="clear" w:color="auto" w:fill="auto"/>
        <w:bidi w:val="0"/>
        <w:spacing w:before="0" w:after="320" w:line="313" w:lineRule="exact"/>
        <w:ind w:left="0" w:right="0" w:firstLine="280"/>
        <w:jc w:val="left"/>
        <w:sectPr>
          <w:headerReference w:type="default" r:id="rId177"/>
          <w:footerReference w:type="default" r:id="rId178"/>
          <w:headerReference w:type="even" r:id="rId179"/>
          <w:footerReference w:type="even" r:id="rId180"/>
          <w:headerReference w:type="first" r:id="rId181"/>
          <w:footerReference w:type="first" r:id="rId182"/>
          <w:footnotePr>
            <w:pos w:val="pageBottom"/>
            <w:numFmt w:val="decimal"/>
            <w:numRestart w:val="continuous"/>
          </w:footnotePr>
          <w:pgSz w:w="11900" w:h="16840"/>
          <w:pgMar w:top="1142" w:right="992" w:bottom="1188" w:left="905"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）企业合并形成的长期股权投资，具体会计政策详见本报告第十节、四、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w:t>
      </w:r>
    </w:p>
    <w:p>
      <w:pPr>
        <w:pStyle w:val="Style29"/>
        <w:keepNext w:val="0"/>
        <w:keepLines w:val="0"/>
        <w:widowControl w:val="0"/>
        <w:shd w:val="clear" w:color="auto" w:fill="auto"/>
        <w:tabs>
          <w:tab w:pos="2750" w:val="left"/>
        </w:tabs>
        <w:bidi w:val="0"/>
        <w:spacing w:before="0" w:after="0" w:line="315" w:lineRule="exact"/>
        <w:ind w:left="0" w:right="0" w:firstLine="0"/>
        <w:jc w:val="both"/>
      </w:pPr>
      <w:r>
        <w:rPr>
          <w:color w:val="000000"/>
          <w:spacing w:val="0"/>
          <w:w w:val="100"/>
          <w:position w:val="0"/>
        </w:rPr>
        <w:t xml:space="preserve">处理方法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）其他方式取得的长期股权投资以支付现金方式取得的长期股权投资，按照实际支付的购买价款作为初始 投资成本。以发行权益性证券取得的长期股权投资，按照发行权益性证券的公允价值作为初始投资成本。投资者投入 的长期股权投资，按照投资合同或协议约定的价值（扣除已宣告但尚未发放的现金股利或利润）作为初始投资成本，但合同 或协议约定价值不公允的除外。</w:t>
        <w:tab/>
        <w:t>在非货币性资产交换具备商业实质和换入资产或换出资产的公允价值能够可靠计量的前</w:t>
      </w:r>
    </w:p>
    <w:p>
      <w:pPr>
        <w:pStyle w:val="Style29"/>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提下，非货币性资产交换换入的长期股权投资以换出资产的公允价值为基础确定其初始投资成本，除非有确凿证据表明换入 资产的公允价值更加可靠；不满足上述前提的非货币性资产交换，以换出资产的账面价值和应支付的相关税费作为换入长期 股权投资的初始投资成本。通过债务重组取得的长期股权投资，其初始投资成本按照公允价值为基础确定。</w:t>
      </w:r>
    </w:p>
    <w:p>
      <w:pPr>
        <w:pStyle w:val="Style34"/>
        <w:keepNext/>
        <w:keepLines/>
        <w:widowControl w:val="0"/>
        <w:shd w:val="clear" w:color="auto" w:fill="auto"/>
        <w:tabs>
          <w:tab w:pos="553" w:val="left"/>
        </w:tabs>
        <w:bidi w:val="0"/>
        <w:spacing w:before="0" w:after="30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rPr>
        <w:t>（</w:t>
      </w:r>
      <w:bookmarkEnd w:id="643"/>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41"/>
      <w:bookmarkEnd w:id="642"/>
      <w:bookmarkEnd w:id="644"/>
    </w:p>
    <w:p>
      <w:pPr>
        <w:pStyle w:val="Style29"/>
        <w:keepNext w:val="0"/>
        <w:keepLines w:val="0"/>
        <w:widowControl w:val="0"/>
        <w:shd w:val="clear" w:color="auto" w:fill="auto"/>
        <w:tabs>
          <w:tab w:pos="1690" w:val="left"/>
          <w:tab w:pos="9411" w:val="left"/>
        </w:tabs>
        <w:bidi w:val="0"/>
        <w:spacing w:before="0" w:after="0" w:line="311" w:lineRule="exact"/>
        <w:ind w:left="0" w:right="0" w:firstLine="380"/>
        <w:jc w:val="both"/>
      </w:pPr>
      <w:bookmarkStart w:id="645" w:name="bookmark645"/>
      <w:r>
        <w:rPr>
          <w:rFonts w:ascii="Times New Roman" w:eastAsia="Times New Roman" w:hAnsi="Times New Roman" w:cs="Times New Roman"/>
          <w:color w:val="000000"/>
          <w:spacing w:val="0"/>
          <w:w w:val="100"/>
          <w:position w:val="0"/>
          <w:sz w:val="18"/>
          <w:szCs w:val="18"/>
        </w:rPr>
        <w:t>1</w:t>
      </w:r>
      <w:bookmarkEnd w:id="645"/>
      <w:r>
        <w:rPr>
          <w:color w:val="000000"/>
          <w:spacing w:val="0"/>
          <w:w w:val="100"/>
          <w:position w:val="0"/>
        </w:rPr>
        <w:t>） 后续计量</w:t>
        <w:tab/>
        <w:t>公司对子公司的长期股权投资，采用成本法核算，编制合并财务报表时按照权益法进行调整。</w:t>
        <w:tab/>
        <w:t>对</w:t>
      </w:r>
    </w:p>
    <w:p>
      <w:pPr>
        <w:pStyle w:val="Style29"/>
        <w:keepNext w:val="0"/>
        <w:keepLines w:val="0"/>
        <w:widowControl w:val="0"/>
        <w:shd w:val="clear" w:color="auto" w:fill="auto"/>
        <w:tabs>
          <w:tab w:pos="4214" w:val="left"/>
        </w:tabs>
        <w:bidi w:val="0"/>
        <w:spacing w:before="0" w:after="0" w:line="311" w:lineRule="exact"/>
        <w:ind w:left="0" w:right="0" w:firstLine="0"/>
        <w:jc w:val="both"/>
      </w:pPr>
      <w:r>
        <w:rPr>
          <w:color w:val="000000"/>
          <w:spacing w:val="0"/>
          <w:w w:val="100"/>
          <w:position w:val="0"/>
        </w:rPr>
        <w:t>被投资单位不具有共同控制或重大影响，并且在活跃市场中没有报价、公允价值不能可靠计量的长期股权投资，采用成本法 核算。对被投资单位具有共同控制或重大影响的长期股权投资，采用权益法核算。初始投资成本大于投资时应享有被投资单 位可辨认净资产公允价值份额的差额，不调整长期股权投资的初始投资成本；初始投资成本小于投资时应享有被投资单位可 辨认净资产公允价值份额的差额，计入当期损益。</w:t>
        <w:tab/>
        <w:t>被投资单位除净损益以外所有者权益其他变动的处理：对于被投资单</w:t>
      </w:r>
    </w:p>
    <w:p>
      <w:pPr>
        <w:pStyle w:val="Style29"/>
        <w:keepNext w:val="0"/>
        <w:keepLines w:val="0"/>
        <w:widowControl w:val="0"/>
        <w:shd w:val="clear" w:color="auto" w:fill="auto"/>
        <w:tabs>
          <w:tab w:pos="5371" w:val="left"/>
        </w:tabs>
        <w:bidi w:val="0"/>
        <w:spacing w:before="0" w:after="0" w:line="311" w:lineRule="exact"/>
        <w:ind w:left="0" w:right="0" w:firstLine="0"/>
        <w:jc w:val="both"/>
      </w:pPr>
      <w:r>
        <w:rPr>
          <w:color w:val="000000"/>
          <w:spacing w:val="0"/>
          <w:w w:val="100"/>
          <w:position w:val="0"/>
        </w:rPr>
        <w:t>位除净损益以外所有者权益的其他变动，在持股比例不变的情况下，公司按照持股比例计算应享有或承担的部分，调整长期 股权投资的账面价值，同时增加或减少资本公积（其他资本公积）。在持有投资期间，被投资单位能够提供合并财务报表的， 应当以合并财务报表，净利润和其他投资变动为基础进行核算。</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）损益确认 成本法下，除取得投资时实际支付的</w:t>
      </w:r>
    </w:p>
    <w:p>
      <w:pPr>
        <w:pStyle w:val="Style29"/>
        <w:keepNext w:val="0"/>
        <w:keepLines w:val="0"/>
        <w:widowControl w:val="0"/>
        <w:shd w:val="clear" w:color="auto" w:fill="auto"/>
        <w:tabs>
          <w:tab w:pos="840" w:val="left"/>
        </w:tabs>
        <w:bidi w:val="0"/>
        <w:spacing w:before="0" w:after="0" w:line="311" w:lineRule="exact"/>
        <w:ind w:left="0" w:right="0" w:firstLine="0"/>
        <w:jc w:val="both"/>
      </w:pPr>
      <w:r>
        <w:rPr>
          <w:color w:val="000000"/>
          <w:spacing w:val="0"/>
          <w:w w:val="100"/>
          <w:position w:val="0"/>
        </w:rPr>
        <w:t>价款或对价中包含的已宣告但尚未发放的现金股利或利润外，公司按照享有被投资单位宣告发放的现金股利或利润确认投资 收益。</w:t>
        <w:tab/>
        <w:t>权益法下，投资企业在确认应享有被投资单位的净利润或净亏损时，以取得投资时被投资单位各项可辨认资产等</w:t>
      </w:r>
    </w:p>
    <w:p>
      <w:pPr>
        <w:pStyle w:val="Style29"/>
        <w:keepNext w:val="0"/>
        <w:keepLines w:val="0"/>
        <w:widowControl w:val="0"/>
        <w:shd w:val="clear" w:color="auto" w:fill="auto"/>
        <w:tabs>
          <w:tab w:pos="9411" w:val="left"/>
        </w:tabs>
        <w:bidi w:val="0"/>
        <w:spacing w:before="0" w:after="0" w:line="311" w:lineRule="exact"/>
        <w:ind w:left="0" w:right="0" w:firstLine="0"/>
        <w:jc w:val="both"/>
      </w:pPr>
      <w:r>
        <w:rPr>
          <w:color w:val="000000"/>
          <w:spacing w:val="0"/>
          <w:w w:val="100"/>
          <w:position w:val="0"/>
        </w:rPr>
        <w:t>的公允价值为基础，对被投资单位的净利润进行调整后确认，投资企业与联营企业及合营企业之间发生的内部交易损益按照 持股比例计算归属于投资企业的部分，应当予以抵销，在此基础上确认投资损益；在公司确认应分担被投资单位发生的亏损 时，按照以下顺序进行处理：首先，冲减长期股权投资的账面价值。其次，长期股权投资的账面价值不足以冲减的，以其他 实质上构成对被投资单位净投资的长期权益账面价值为限继续确认投资损失，冲减长期应收项目等的账面价值。最后，经过 上述处理，按照投资合同或协议约定企业仍承担额外义务的，按预计承担的义务确认预计负债，计入当期投资损失。</w:t>
        <w:tab/>
        <w:t>被</w:t>
      </w:r>
    </w:p>
    <w:p>
      <w:pPr>
        <w:pStyle w:val="Style2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投资单位以后期间实现盈利的，公司在扣除未确认的亏损分担额后，按与上述相反的顺序处理，减记已确认预计负债的账面 余额、恢复其他实质上构成对被投资单位净投资的长期权益及长期股权投资的账面价值，同时确认投资收益。</w:t>
      </w:r>
    </w:p>
    <w:p>
      <w:pPr>
        <w:pStyle w:val="Style34"/>
        <w:keepNext/>
        <w:keepLines/>
        <w:widowControl w:val="0"/>
        <w:shd w:val="clear" w:color="auto" w:fill="auto"/>
        <w:tabs>
          <w:tab w:pos="553" w:val="left"/>
        </w:tabs>
        <w:bidi w:val="0"/>
        <w:spacing w:before="0" w:after="300" w:line="240" w:lineRule="auto"/>
        <w:ind w:left="0" w:right="0" w:firstLine="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3</w:t>
      </w:r>
      <w:r>
        <w:rPr>
          <w:color w:val="000000"/>
          <w:spacing w:val="0"/>
          <w:w w:val="100"/>
          <w:position w:val="0"/>
        </w:rPr>
        <w:t>）</w:t>
        <w:tab/>
        <w:t>分步处置对子公司投资</w:t>
      </w:r>
      <w:bookmarkEnd w:id="646"/>
      <w:bookmarkEnd w:id="647"/>
      <w:bookmarkEnd w:id="649"/>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处置对子公司股权投资的各项交易的条款、条件以及经济影响符合以下一种或多种情况，将多次交易事项作为一揽子交易进 行会计处理：</w:t>
      </w:r>
    </w:p>
    <w:p>
      <w:pPr>
        <w:pStyle w:val="Style29"/>
        <w:keepNext w:val="0"/>
        <w:keepLines w:val="0"/>
        <w:widowControl w:val="0"/>
        <w:shd w:val="clear" w:color="auto" w:fill="auto"/>
        <w:tabs>
          <w:tab w:pos="596" w:val="left"/>
        </w:tabs>
        <w:bidi w:val="0"/>
        <w:spacing w:before="0" w:after="0" w:line="313" w:lineRule="exact"/>
        <w:ind w:left="0" w:right="0" w:firstLine="300"/>
        <w:jc w:val="both"/>
      </w:pPr>
      <w:bookmarkStart w:id="650" w:name="bookmark650"/>
      <w:r>
        <w:rPr>
          <w:rFonts w:ascii="Times New Roman" w:eastAsia="Times New Roman" w:hAnsi="Times New Roman" w:cs="Times New Roman"/>
          <w:color w:val="000000"/>
          <w:spacing w:val="0"/>
          <w:w w:val="100"/>
          <w:position w:val="0"/>
          <w:sz w:val="18"/>
          <w:szCs w:val="18"/>
        </w:rPr>
        <w:t>1</w:t>
      </w:r>
      <w:bookmarkEnd w:id="650"/>
      <w:r>
        <w:rPr>
          <w:color w:val="000000"/>
          <w:spacing w:val="0"/>
          <w:w w:val="100"/>
          <w:position w:val="0"/>
        </w:rPr>
        <w:t>）</w:t>
        <w:tab/>
        <w:t>这些交易是同时或者在考虑了彼此影响的情况下订立的；</w:t>
      </w:r>
    </w:p>
    <w:p>
      <w:pPr>
        <w:pStyle w:val="Style29"/>
        <w:keepNext w:val="0"/>
        <w:keepLines w:val="0"/>
        <w:widowControl w:val="0"/>
        <w:shd w:val="clear" w:color="auto" w:fill="auto"/>
        <w:tabs>
          <w:tab w:pos="616" w:val="left"/>
        </w:tabs>
        <w:bidi w:val="0"/>
        <w:spacing w:before="0" w:after="0" w:line="313" w:lineRule="exact"/>
        <w:ind w:left="0" w:right="0" w:firstLine="300"/>
        <w:jc w:val="both"/>
      </w:pPr>
      <w:bookmarkStart w:id="651" w:name="bookmark651"/>
      <w:r>
        <w:rPr>
          <w:rFonts w:ascii="Times New Roman" w:eastAsia="Times New Roman" w:hAnsi="Times New Roman" w:cs="Times New Roman"/>
          <w:color w:val="000000"/>
          <w:spacing w:val="0"/>
          <w:w w:val="100"/>
          <w:position w:val="0"/>
          <w:sz w:val="18"/>
          <w:szCs w:val="18"/>
        </w:rPr>
        <w:t>2</w:t>
      </w:r>
      <w:bookmarkEnd w:id="651"/>
      <w:r>
        <w:rPr>
          <w:color w:val="000000"/>
          <w:spacing w:val="0"/>
          <w:w w:val="100"/>
          <w:position w:val="0"/>
        </w:rPr>
        <w:t>）</w:t>
        <w:tab/>
        <w:t>这些交易整体才能达成一项完整的商业结果；</w:t>
      </w:r>
    </w:p>
    <w:p>
      <w:pPr>
        <w:pStyle w:val="Style29"/>
        <w:keepNext w:val="0"/>
        <w:keepLines w:val="0"/>
        <w:widowControl w:val="0"/>
        <w:shd w:val="clear" w:color="auto" w:fill="auto"/>
        <w:tabs>
          <w:tab w:pos="616" w:val="left"/>
        </w:tabs>
        <w:bidi w:val="0"/>
        <w:spacing w:before="0" w:after="0" w:line="313" w:lineRule="exact"/>
        <w:ind w:left="0" w:right="0" w:firstLine="300"/>
        <w:jc w:val="both"/>
      </w:pPr>
      <w:bookmarkStart w:id="652" w:name="bookmark652"/>
      <w:r>
        <w:rPr>
          <w:rFonts w:ascii="Times New Roman" w:eastAsia="Times New Roman" w:hAnsi="Times New Roman" w:cs="Times New Roman"/>
          <w:color w:val="000000"/>
          <w:spacing w:val="0"/>
          <w:w w:val="100"/>
          <w:position w:val="0"/>
          <w:sz w:val="18"/>
          <w:szCs w:val="18"/>
        </w:rPr>
        <w:t>3</w:t>
      </w:r>
      <w:bookmarkEnd w:id="652"/>
      <w:r>
        <w:rPr>
          <w:color w:val="000000"/>
          <w:spacing w:val="0"/>
          <w:w w:val="100"/>
          <w:position w:val="0"/>
        </w:rPr>
        <w:t>）</w:t>
        <w:tab/>
        <w:t>一项交易的发生取决于其他至少一项交易的发生；</w:t>
      </w:r>
    </w:p>
    <w:p>
      <w:pPr>
        <w:pStyle w:val="Style29"/>
        <w:keepNext w:val="0"/>
        <w:keepLines w:val="0"/>
        <w:widowControl w:val="0"/>
        <w:shd w:val="clear" w:color="auto" w:fill="auto"/>
        <w:tabs>
          <w:tab w:pos="616" w:val="left"/>
        </w:tabs>
        <w:bidi w:val="0"/>
        <w:spacing w:before="0" w:after="0" w:line="313" w:lineRule="exact"/>
        <w:ind w:left="0" w:right="0" w:firstLine="300"/>
        <w:jc w:val="both"/>
      </w:pPr>
      <w:bookmarkStart w:id="653" w:name="bookmark653"/>
      <w:r>
        <w:rPr>
          <w:rFonts w:ascii="Times New Roman" w:eastAsia="Times New Roman" w:hAnsi="Times New Roman" w:cs="Times New Roman"/>
          <w:color w:val="000000"/>
          <w:spacing w:val="0"/>
          <w:w w:val="100"/>
          <w:position w:val="0"/>
          <w:sz w:val="18"/>
          <w:szCs w:val="18"/>
        </w:rPr>
        <w:t>4</w:t>
      </w:r>
      <w:bookmarkEnd w:id="653"/>
      <w:r>
        <w:rPr>
          <w:color w:val="000000"/>
          <w:spacing w:val="0"/>
          <w:w w:val="100"/>
          <w:position w:val="0"/>
        </w:rPr>
        <w:t>）</w:t>
        <w:tab/>
        <w:t>一项交易单独看是不经济的，但是和其他交易一并考虑时是经济的。</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企业因处置部分股权投资或其他原因丧失了对原有子公司控制权的，不属于一缆子交易的，应当区分个别财务报表和合并财 务报表进行相关会计处理：</w:t>
      </w:r>
    </w:p>
    <w:p>
      <w:pPr>
        <w:pStyle w:val="Style29"/>
        <w:keepNext w:val="0"/>
        <w:keepLines w:val="0"/>
        <w:widowControl w:val="0"/>
        <w:shd w:val="clear" w:color="auto" w:fill="auto"/>
        <w:bidi w:val="0"/>
        <w:spacing w:before="0" w:after="0" w:line="313"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）在个别财务报表中，对于处置的股权，应当按照《企业会计准则第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号——长期股权投资》的规定进行会计处理；同 时，对于剩余股权，应当按其账面价值确认为长期股权投资或其他相关金融资产。处置后的剩余股权能够对原有子公司实施 共同控制或重大影响的，按有关成本法转为权益法的相关规定进行会计处理。</w:t>
      </w:r>
    </w:p>
    <w:p>
      <w:pPr>
        <w:pStyle w:val="Style29"/>
        <w:keepNext w:val="0"/>
        <w:keepLines w:val="0"/>
        <w:widowControl w:val="0"/>
        <w:shd w:val="clear" w:color="auto" w:fill="auto"/>
        <w:tabs>
          <w:tab w:pos="666" w:val="left"/>
        </w:tabs>
        <w:bidi w:val="0"/>
        <w:spacing w:before="0" w:after="0" w:line="313" w:lineRule="exact"/>
        <w:ind w:left="0" w:right="0" w:firstLine="380"/>
        <w:jc w:val="both"/>
      </w:pPr>
      <w:bookmarkStart w:id="654" w:name="bookmark654"/>
      <w:r>
        <w:rPr>
          <w:rFonts w:ascii="Times New Roman" w:eastAsia="Times New Roman" w:hAnsi="Times New Roman" w:cs="Times New Roman"/>
          <w:color w:val="000000"/>
          <w:spacing w:val="0"/>
          <w:w w:val="100"/>
          <w:position w:val="0"/>
          <w:sz w:val="18"/>
          <w:szCs w:val="18"/>
        </w:rPr>
        <w:t>2</w:t>
      </w:r>
      <w:bookmarkEnd w:id="654"/>
      <w:r>
        <w:rPr>
          <w:color w:val="000000"/>
          <w:spacing w:val="0"/>
          <w:w w:val="100"/>
          <w:position w:val="0"/>
        </w:rPr>
        <w:t>）</w:t>
        <w:tab/>
        <w:t>在合并财务报表中，对于剩余股权，应当按照其在丧失控制权日的公允价值进行重新计量。处置股权取得的对价与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丧失控制权当期的投资收益。与原有子公司股权投资相关的其他综合收益，应当在丧失控制权时转为当期投资收益。企业应 当在附注中披露处置后的剩余股权在丧失控制权日的公允价值、按照公允价值重新计量产生的相关利得或扁生的</w:t>
      </w:r>
      <w:r>
        <w:rPr>
          <w:color w:val="000000"/>
          <w:spacing w:val="0"/>
          <w:w w:val="100"/>
          <w:position w:val="0"/>
        </w:rPr>
        <w:t>d</w:t>
      </w:r>
      <w:r>
        <w:rPr>
          <w:color w:val="000000"/>
          <w:spacing w:val="0"/>
          <w:w w:val="100"/>
          <w:position w:val="0"/>
        </w:rPr>
        <w:t xml:space="preserve">稀 </w:t>
      </w:r>
      <w:r>
        <w:rPr>
          <w:color w:val="000000"/>
          <w:spacing w:val="0"/>
          <w:w w:val="100"/>
          <w:position w:val="0"/>
        </w:rPr>
        <w:t>处置对子公司股权投资直至丧失控制权的各项交易属于一揽子交易的，区分个别财务报表和合并财务报表进行相关会计处 理：</w:t>
      </w:r>
    </w:p>
    <w:p>
      <w:pPr>
        <w:pStyle w:val="Style29"/>
        <w:keepNext w:val="0"/>
        <w:keepLines w:val="0"/>
        <w:widowControl w:val="0"/>
        <w:shd w:val="clear" w:color="auto" w:fill="auto"/>
        <w:tabs>
          <w:tab w:pos="623" w:val="left"/>
        </w:tabs>
        <w:bidi w:val="0"/>
        <w:spacing w:before="0" w:after="0" w:line="315" w:lineRule="exact"/>
        <w:ind w:left="0" w:right="0" w:firstLine="300"/>
        <w:jc w:val="left"/>
      </w:pPr>
      <w:bookmarkStart w:id="655" w:name="bookmark655"/>
      <w:r>
        <w:rPr>
          <w:rFonts w:ascii="Times New Roman" w:eastAsia="Times New Roman" w:hAnsi="Times New Roman" w:cs="Times New Roman"/>
          <w:color w:val="000000"/>
          <w:spacing w:val="0"/>
          <w:w w:val="100"/>
          <w:position w:val="0"/>
          <w:sz w:val="18"/>
          <w:szCs w:val="18"/>
        </w:rPr>
        <w:t>1</w:t>
      </w:r>
      <w:bookmarkEnd w:id="655"/>
      <w:r>
        <w:rPr>
          <w:color w:val="000000"/>
          <w:spacing w:val="0"/>
          <w:w w:val="100"/>
          <w:position w:val="0"/>
        </w:rPr>
        <w:t>）</w:t>
        <w:tab/>
        <w:t>在个别财务报表中，将各项交易作为一项处置子公司并丧失控制权的交易进行会计处理，企业处置对子公司的投资， 处置价款与处置投资对应的账面价值的差额，在母公司个别财务报表中应当确认为当期投资收益；</w:t>
      </w:r>
    </w:p>
    <w:p>
      <w:pPr>
        <w:pStyle w:val="Style29"/>
        <w:keepNext w:val="0"/>
        <w:keepLines w:val="0"/>
        <w:widowControl w:val="0"/>
        <w:shd w:val="clear" w:color="auto" w:fill="auto"/>
        <w:tabs>
          <w:tab w:pos="637" w:val="left"/>
        </w:tabs>
        <w:bidi w:val="0"/>
        <w:spacing w:before="0" w:after="380" w:line="315" w:lineRule="exact"/>
        <w:ind w:left="0" w:right="0" w:firstLine="300"/>
        <w:jc w:val="left"/>
      </w:pPr>
      <w:bookmarkStart w:id="656" w:name="bookmark656"/>
      <w:r>
        <w:rPr>
          <w:rFonts w:ascii="Times New Roman" w:eastAsia="Times New Roman" w:hAnsi="Times New Roman" w:cs="Times New Roman"/>
          <w:color w:val="000000"/>
          <w:spacing w:val="0"/>
          <w:w w:val="100"/>
          <w:position w:val="0"/>
          <w:sz w:val="18"/>
          <w:szCs w:val="18"/>
        </w:rPr>
        <w:t>2</w:t>
      </w:r>
      <w:bookmarkEnd w:id="656"/>
      <w:r>
        <w:rPr>
          <w:color w:val="000000"/>
          <w:spacing w:val="0"/>
          <w:w w:val="100"/>
          <w:position w:val="0"/>
        </w:rPr>
        <w:t>）</w:t>
        <w:tab/>
        <w:t>在合并财务报表中，在丧失控制权之前每一次处置价款与处置投资对应的享有该子公司净资产份额的差额，确认为 其他综合收益，在丧失控制权时一并转入丧失控制权当期的损益。</w:t>
      </w:r>
    </w:p>
    <w:p>
      <w:pPr>
        <w:pStyle w:val="Style34"/>
        <w:keepNext/>
        <w:keepLines/>
        <w:widowControl w:val="0"/>
        <w:shd w:val="clear" w:color="auto" w:fill="auto"/>
        <w:tabs>
          <w:tab w:pos="479" w:val="left"/>
        </w:tabs>
        <w:bidi w:val="0"/>
        <w:spacing w:before="0" w:after="2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4</w:t>
      </w:r>
      <w:r>
        <w:rPr>
          <w:color w:val="000000"/>
          <w:spacing w:val="0"/>
          <w:w w:val="100"/>
          <w:position w:val="0"/>
        </w:rPr>
        <w:t>）</w:t>
        <w:tab/>
        <w:t>确定对被投资单位具有共同控制、重大影响的依据</w:t>
      </w:r>
      <w:bookmarkEnd w:id="657"/>
      <w:bookmarkEnd w:id="658"/>
      <w:bookmarkEnd w:id="660"/>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按照合同约定对某项经济活动所共有的控制，仅在与该项经济活动相关的重要财务和经营决策需要分享控制权的投资方 一致同意时存在，则视为与其他方对被投资单位实施共同控制；对一个企业的财务和经营决策有参与决策的权力，但并不能 够控制或者与其他方一起共同控制这些政策的制定，则视为投资企业能够对被投资单位施加重大影响。</w:t>
      </w:r>
    </w:p>
    <w:p>
      <w:pPr>
        <w:pStyle w:val="Style34"/>
        <w:keepNext/>
        <w:keepLines/>
        <w:widowControl w:val="0"/>
        <w:shd w:val="clear" w:color="auto" w:fill="auto"/>
        <w:tabs>
          <w:tab w:pos="479" w:val="left"/>
        </w:tabs>
        <w:bidi w:val="0"/>
        <w:spacing w:before="0" w:after="2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bookmarkEnd w:id="661"/>
      <w:bookmarkEnd w:id="662"/>
      <w:bookmarkEnd w:id="664"/>
    </w:p>
    <w:p>
      <w:pPr>
        <w:pStyle w:val="Style29"/>
        <w:keepNext w:val="0"/>
        <w:keepLines w:val="0"/>
        <w:widowControl w:val="0"/>
        <w:shd w:val="clear" w:color="auto" w:fill="auto"/>
        <w:tabs>
          <w:tab w:pos="1243" w:val="left"/>
        </w:tabs>
        <w:bidi w:val="0"/>
        <w:spacing w:before="0" w:after="0" w:line="312" w:lineRule="exact"/>
        <w:ind w:left="0" w:right="0" w:firstLine="380"/>
        <w:jc w:val="both"/>
      </w:pPr>
      <w:r>
        <w:rPr>
          <w:color w:val="000000"/>
          <w:spacing w:val="0"/>
          <w:w w:val="100"/>
          <w:position w:val="0"/>
        </w:rPr>
        <w:t>资产负债表日，若因市价持续下跌或被投资单位经营状况恶化等原因使长期股权投资存在减值迹象时，根据单项长期股 权投资的公允价值减去处置费用后的净额与长期股权投资预计未来现金流量的现值两者之间较高者确定长期股权投资的可 收回金额。长期股权投资的可收回金额低于账面价值时，将资产的账面价值减记至可收回金额，减记的金额确认为资产减值 损失，计入当期损益，同时计提相应的资产减值准备。重大影响以下的、在活跃市场中没有报价、公允价值不能可靠计量的 长期股权投资，其减值损失是根据其账面价值与按类似金融资产当时市场收益率对未来现金流量折现确定的现值之间的差额 进行确定。</w:t>
        <w:tab/>
        <w:t>除因企业合并形成的商誉以外的存在减值迹象的其他长期股权投资，如果可收回金额的计量结果表明，该长</w:t>
      </w:r>
    </w:p>
    <w:p>
      <w:pPr>
        <w:pStyle w:val="Style29"/>
        <w:keepNext w:val="0"/>
        <w:keepLines w:val="0"/>
        <w:widowControl w:val="0"/>
        <w:shd w:val="clear" w:color="auto" w:fill="auto"/>
        <w:tabs>
          <w:tab w:pos="5885" w:val="left"/>
        </w:tabs>
        <w:bidi w:val="0"/>
        <w:spacing w:before="0" w:after="0" w:line="312" w:lineRule="exact"/>
        <w:ind w:left="0" w:right="0" w:firstLine="0"/>
        <w:jc w:val="left"/>
      </w:pPr>
      <w:r>
        <w:rPr>
          <w:color w:val="000000"/>
          <w:spacing w:val="0"/>
          <w:w w:val="100"/>
          <w:position w:val="0"/>
        </w:rPr>
        <w:t>期股权投资的可收回金额低于其账面价值的，将差额确认为减值损失。</w:t>
        <w:tab/>
        <w:t>采用成本法核算的长期股权投资，因被投资单位</w:t>
      </w:r>
    </w:p>
    <w:p>
      <w:pPr>
        <w:pStyle w:val="Style29"/>
        <w:keepNext w:val="0"/>
        <w:keepLines w:val="0"/>
        <w:widowControl w:val="0"/>
        <w:shd w:val="clear" w:color="auto" w:fill="auto"/>
        <w:tabs>
          <w:tab w:pos="6427" w:val="left"/>
        </w:tabs>
        <w:bidi w:val="0"/>
        <w:spacing w:before="0" w:after="120" w:line="312" w:lineRule="exact"/>
        <w:ind w:left="0" w:right="0" w:firstLine="0"/>
        <w:jc w:val="left"/>
      </w:pPr>
      <w:r>
        <w:rPr>
          <w:color w:val="000000"/>
          <w:spacing w:val="0"/>
          <w:w w:val="100"/>
          <w:position w:val="0"/>
        </w:rPr>
        <w:t>宣告分派现金股利或利润确认投资收益后，考虑长期股权投资是否发生减值。</w:t>
        <w:tab/>
        <w:t>长期股权投资减值损失一经确认，不再转</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回。</w:t>
      </w:r>
    </w:p>
    <w:p>
      <w:pPr>
        <w:pStyle w:val="Style34"/>
        <w:keepNext/>
        <w:keepLines/>
        <w:widowControl w:val="0"/>
        <w:shd w:val="clear" w:color="auto" w:fill="auto"/>
        <w:tabs>
          <w:tab w:pos="460" w:val="left"/>
        </w:tabs>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65"/>
      <w:bookmarkEnd w:id="666"/>
      <w:bookmarkEnd w:id="668"/>
    </w:p>
    <w:p>
      <w:pPr>
        <w:pStyle w:val="Style34"/>
        <w:keepNext/>
        <w:keepLines/>
        <w:widowControl w:val="0"/>
        <w:shd w:val="clear" w:color="auto" w:fill="auto"/>
        <w:tabs>
          <w:tab w:pos="460" w:val="left"/>
        </w:tabs>
        <w:bidi w:val="0"/>
        <w:spacing w:before="0" w:after="380" w:line="240" w:lineRule="auto"/>
        <w:ind w:left="0" w:right="0" w:firstLine="0"/>
        <w:jc w:val="left"/>
      </w:pPr>
      <w:bookmarkStart w:id="665" w:name="bookmark665"/>
      <w:bookmarkStart w:id="666" w:name="bookmark666"/>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65"/>
      <w:bookmarkEnd w:id="666"/>
      <w:bookmarkEnd w:id="670"/>
    </w:p>
    <w:p>
      <w:pPr>
        <w:pStyle w:val="Style34"/>
        <w:keepNext/>
        <w:keepLines/>
        <w:widowControl w:val="0"/>
        <w:shd w:val="clear" w:color="auto" w:fill="auto"/>
        <w:tabs>
          <w:tab w:pos="479" w:val="left"/>
        </w:tabs>
        <w:bidi w:val="0"/>
        <w:spacing w:before="0" w:after="280" w:line="240" w:lineRule="auto"/>
        <w:ind w:left="0" w:right="0" w:firstLine="0"/>
        <w:jc w:val="left"/>
      </w:pPr>
      <w:bookmarkStart w:id="665" w:name="bookmark665"/>
      <w:bookmarkStart w:id="666" w:name="bookmark666"/>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65"/>
      <w:bookmarkEnd w:id="666"/>
      <w:bookmarkEnd w:id="672"/>
    </w:p>
    <w:p>
      <w:pPr>
        <w:pStyle w:val="Style29"/>
        <w:keepNext w:val="0"/>
        <w:keepLines w:val="0"/>
        <w:widowControl w:val="0"/>
        <w:shd w:val="clear" w:color="auto" w:fill="auto"/>
        <w:tabs>
          <w:tab w:pos="2851" w:val="left"/>
          <w:tab w:pos="7110" w:val="left"/>
        </w:tabs>
        <w:bidi w:val="0"/>
        <w:spacing w:before="0" w:after="0" w:line="312"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地计量。</w:t>
      </w:r>
    </w:p>
    <w:p>
      <w:pPr>
        <w:pStyle w:val="Style34"/>
        <w:keepNext/>
        <w:keepLines/>
        <w:widowControl w:val="0"/>
        <w:shd w:val="clear" w:color="auto" w:fill="auto"/>
        <w:tabs>
          <w:tab w:pos="479"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73"/>
      <w:bookmarkEnd w:id="674"/>
      <w:bookmarkEnd w:id="676"/>
    </w:p>
    <w:p>
      <w:pPr>
        <w:pStyle w:val="Style29"/>
        <w:keepNext w:val="0"/>
        <w:keepLines w:val="0"/>
        <w:widowControl w:val="0"/>
        <w:shd w:val="clear" w:color="auto" w:fill="auto"/>
        <w:tabs>
          <w:tab w:pos="7110" w:val="left"/>
        </w:tabs>
        <w:bidi w:val="0"/>
        <w:spacing w:before="0" w:after="0" w:line="315" w:lineRule="exact"/>
        <w:ind w:left="0" w:right="0" w:firstLine="280"/>
        <w:jc w:val="left"/>
      </w:pPr>
      <w:r>
        <w:rPr>
          <w:color w:val="000000"/>
          <w:spacing w:val="0"/>
          <w:w w:val="100"/>
          <w:position w:val="0"/>
        </w:rPr>
        <w:t>当本公司租入的固定资产符合下列一项或数项标准时，确认为融资租入固定资产：</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w:t>
      </w:r>
    </w:p>
    <w:p>
      <w:pPr>
        <w:pStyle w:val="Style29"/>
        <w:keepNext w:val="0"/>
        <w:keepLines w:val="0"/>
        <w:widowControl w:val="0"/>
        <w:shd w:val="clear" w:color="auto" w:fill="auto"/>
        <w:tabs>
          <w:tab w:pos="5318" w:val="left"/>
        </w:tabs>
        <w:bidi w:val="0"/>
        <w:spacing w:before="0" w:after="0" w:line="315" w:lineRule="exact"/>
        <w:ind w:left="0" w:right="0" w:firstLine="0"/>
        <w:jc w:val="both"/>
      </w:pPr>
      <w:r>
        <w:rPr>
          <w:color w:val="000000"/>
          <w:spacing w:val="0"/>
          <w:w w:val="100"/>
          <w:position w:val="0"/>
        </w:rPr>
        <w:t>所有权转移给本公司。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 允价值，因而在租赁开始日就可以合理确定本公司将会行使这种选择权。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 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租赁资产性质特殊，如果不作较大改造，只有本公司才能使用。</w:t>
        <w:tab/>
        <w:t>融资租赁租入的固定资产，按租赁开始日租赁资产公允</w:t>
      </w:r>
    </w:p>
    <w:p>
      <w:pPr>
        <w:pStyle w:val="Style29"/>
        <w:keepNext w:val="0"/>
        <w:keepLines w:val="0"/>
        <w:widowControl w:val="0"/>
        <w:shd w:val="clear" w:color="auto" w:fill="auto"/>
        <w:bidi w:val="0"/>
        <w:spacing w:before="0" w:after="320" w:line="371" w:lineRule="exact"/>
        <w:ind w:left="0" w:right="0" w:firstLine="0"/>
        <w:jc w:val="both"/>
        <w:rPr>
          <w:sz w:val="36"/>
          <w:szCs w:val="36"/>
        </w:rPr>
        <w:sectPr>
          <w:headerReference w:type="default" r:id="rId183"/>
          <w:footerReference w:type="default" r:id="rId184"/>
          <w:headerReference w:type="even" r:id="rId185"/>
          <w:footerReference w:type="even" r:id="rId186"/>
          <w:headerReference w:type="first" r:id="rId187"/>
          <w:footerReference w:type="first" r:id="rId188"/>
          <w:footnotePr>
            <w:pos w:val="pageBottom"/>
            <w:numFmt w:val="decimal"/>
            <w:numRestart w:val="continuous"/>
          </w:footnotePr>
          <w:pgSz w:w="11900" w:h="16840"/>
          <w:pgMar w:top="1142" w:right="992" w:bottom="1188" w:left="905" w:header="0" w:footer="3" w:gutter="0"/>
          <w:cols w:space="720"/>
          <w:noEndnote/>
          <w:titlePg/>
          <w:rtlGutter w:val="0"/>
          <w:docGrid w:linePitch="360"/>
        </w:sectPr>
      </w:pPr>
      <w:r>
        <w:rPr>
          <w:color w:val="000000"/>
          <w:spacing w:val="0"/>
          <w:w w:val="100"/>
          <w:position w:val="0"/>
          <w:sz w:val="17"/>
          <w:szCs w:val="17"/>
        </w:rPr>
        <w:t xml:space="preserve">价值与最低租赁付款额的现值两者中较低者，作为入账价值。最低租赁付款额作为长期应付款的入账价值，其差额作为未确 认融资费用。在租赁谈判和签订租赁合同过程中发生的，可归属于租赁项目的手续费、律师费、差旅费、印花税等初始直接 费用，计入租入资产价值。未确认融资费用在租赁期内各个期间采用实际利率法进行分摊。 本公司采用与自有固定资产 </w:t>
      </w:r>
      <w:r>
        <w:rPr>
          <w:rFonts w:ascii="Arial" w:eastAsia="Arial" w:hAnsi="Arial" w:cs="Arial"/>
          <w:b/>
          <w:bCs/>
          <w:color w:val="D2D2D2"/>
          <w:spacing w:val="0"/>
          <w:w w:val="100"/>
          <w:position w:val="0"/>
          <w:sz w:val="36"/>
          <w:szCs w:val="36"/>
        </w:rPr>
        <w:t xml:space="preserve">cnii </w:t>
      </w:r>
      <w:r>
        <w:rPr>
          <w:rFonts w:ascii="Arial" w:eastAsia="Arial" w:hAnsi="Arial" w:cs="Arial"/>
          <w:b/>
          <w:bCs/>
          <w:color w:val="646464"/>
          <w:spacing w:val="0"/>
          <w:w w:val="100"/>
          <w:position w:val="0"/>
          <w:sz w:val="36"/>
          <w:szCs w:val="36"/>
          <w:vertAlign w:val="subscript"/>
        </w:rPr>
        <w:t>82</w:t>
      </w:r>
      <w:r>
        <w:rPr>
          <w:rFonts w:ascii="Arial" w:eastAsia="Arial" w:hAnsi="Arial" w:cs="Arial"/>
          <w:b/>
          <w:bCs/>
          <w:color w:val="646464"/>
          <w:spacing w:val="0"/>
          <w:w w:val="100"/>
          <w:position w:val="0"/>
          <w:sz w:val="36"/>
          <w:szCs w:val="36"/>
        </w:rPr>
        <w:t xml:space="preserve"> </w:t>
      </w:r>
      <w:r>
        <w:rPr>
          <w:rFonts w:ascii="Arial" w:eastAsia="Arial" w:hAnsi="Arial" w:cs="Arial"/>
          <w:b/>
          <w:bCs/>
          <w:color w:val="D2D2D2"/>
          <w:spacing w:val="0"/>
          <w:w w:val="100"/>
          <w:position w:val="0"/>
          <w:sz w:val="36"/>
          <w:szCs w:val="36"/>
        </w:rPr>
        <w:t>!</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相一致的折旧政策计提融资租入固定资产折旧。能够合理确定租赁期届满时取得租赁资产所有权的，在租赁资产使用寿命内 计提折旧。无法合理确定租赁期届满时能够取得租赁资产所有权的，在租赁期与租赁资产使用寿命两者中较短的期间内计提 折旧。</w:t>
      </w:r>
    </w:p>
    <w:p>
      <w:pPr>
        <w:pStyle w:val="Style34"/>
        <w:keepNext/>
        <w:keepLines/>
        <w:widowControl w:val="0"/>
        <w:shd w:val="clear" w:color="auto" w:fill="auto"/>
        <w:bidi w:val="0"/>
        <w:spacing w:before="0" w:after="2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77"/>
      <w:bookmarkEnd w:id="678"/>
      <w:bookmarkEnd w:id="680"/>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除已提足折旧仍继续使用的固定资产之外，固定资产折旧采用年限平均法分类计提，根据固定资产类别、预计使用寿 命和预计净残值率确定折旧率。</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融资租赁方式租入的固定资产，能合理确定租赁期届满时将会取得租赁资产所有权的，在租赁资产尚可使用年限内计 提折旧；无法合理确定租赁期届满时能够取得租赁资产所有权的，在租赁期与租赁资产尚可使用年限两者中较短的期间内计 提折旧。</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利用专项储备支出形成的固定资产，按照形成固定资产的成本冲减专项储备，并确认相同金额的累计折旧。该固定资 产在以后期间不再计提折旧。</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本公司根据固定资产的性质和使用情况，确定固定资产的使用寿命和预计净残值。并在年度终了，对固定资产的使用 寿命、预计净残值和折旧方法进行复核，如与原先估计数存在差异的，进行相应的调整。</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59" w:line="1" w:lineRule="exact"/>
      </w:pPr>
    </w:p>
    <w:p>
      <w:pPr>
        <w:pStyle w:val="Style34"/>
        <w:keepNext/>
        <w:keepLines/>
        <w:widowControl w:val="0"/>
        <w:shd w:val="clear" w:color="auto" w:fill="auto"/>
        <w:tabs>
          <w:tab w:pos="492" w:val="left"/>
        </w:tabs>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681"/>
      <w:bookmarkEnd w:id="682"/>
      <w:bookmarkEnd w:id="684"/>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公司在每期末判断固定资产是否存在可能发生减值的迹象。</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固定资产存在减值迹象的，估计其可收回金额。可收回金额根据固定资产的公允价值减去处置费用后的净额与固定资 产预计未来现金流量的现值两者之间较高者确定。</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当固定资产的可收回金额低于其账面价值的，将固定资产的账面价值减记至可收回金额，减记的金额确认为固定资产 减值损失，计入当期损益，同时计提相应的固定资产减值准备。</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固定资产减值损失确认后，减值固定资产的折旧在未来期间作相应调整，以使该固定资产在剩余使用寿命内，系统地 分摊调整后的固定资产账面价值（扣除预计净残值）。</w:t>
      </w:r>
    </w:p>
    <w:p>
      <w:pPr>
        <w:pStyle w:val="Style29"/>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固定资产的减值损失一经确认，在以后会计期间不再转回。</w:t>
      </w:r>
    </w:p>
    <w:p>
      <w:pPr>
        <w:pStyle w:val="Style29"/>
        <w:keepNext w:val="0"/>
        <w:keepLines w:val="0"/>
        <w:widowControl w:val="0"/>
        <w:shd w:val="clear" w:color="auto" w:fill="auto"/>
        <w:bidi w:val="0"/>
        <w:spacing w:before="0" w:after="360" w:line="311" w:lineRule="exact"/>
        <w:ind w:left="0" w:right="0" w:firstLine="440"/>
        <w:jc w:val="left"/>
      </w:pPr>
      <w:r>
        <w:rPr>
          <w:color w:val="000000"/>
          <w:spacing w:val="0"/>
          <w:w w:val="100"/>
          <w:position w:val="0"/>
        </w:rPr>
        <w:t>有迹象表明一项固定资产可能发生减值的，企业以单项固定资产为基础估计其可收回金额。企业难以对单项固定资产 的可收回金额进行估计的，以该固定资产所属的资产组为基础确定资产组的可收回金额。</w:t>
      </w:r>
    </w:p>
    <w:p>
      <w:pPr>
        <w:pStyle w:val="Style34"/>
        <w:keepNext/>
        <w:keepLines/>
        <w:widowControl w:val="0"/>
        <w:shd w:val="clear" w:color="auto" w:fill="auto"/>
        <w:tabs>
          <w:tab w:pos="492" w:val="left"/>
        </w:tabs>
        <w:bidi w:val="0"/>
        <w:spacing w:before="0" w:after="36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685"/>
      <w:bookmarkEnd w:id="686"/>
      <w:bookmarkEnd w:id="688"/>
    </w:p>
    <w:p>
      <w:pPr>
        <w:pStyle w:val="Style34"/>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685"/>
      <w:bookmarkEnd w:id="686"/>
      <w:bookmarkEnd w:id="690"/>
    </w:p>
    <w:p>
      <w:pPr>
        <w:pStyle w:val="Style34"/>
        <w:keepNext/>
        <w:keepLines/>
        <w:widowControl w:val="0"/>
        <w:shd w:val="clear" w:color="auto" w:fill="auto"/>
        <w:bidi w:val="0"/>
        <w:spacing w:before="0" w:after="260" w:line="240" w:lineRule="auto"/>
        <w:ind w:left="0" w:right="0" w:firstLine="0"/>
        <w:jc w:val="left"/>
      </w:pPr>
      <w:bookmarkStart w:id="685" w:name="bookmark685"/>
      <w:bookmarkStart w:id="686" w:name="bookmark686"/>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）在建工程的类别</w:t>
      </w:r>
      <w:bookmarkEnd w:id="685"/>
      <w:bookmarkEnd w:id="686"/>
      <w:bookmarkEnd w:id="692"/>
    </w:p>
    <w:p>
      <w:pPr>
        <w:pStyle w:val="Style29"/>
        <w:keepNext w:val="0"/>
        <w:keepLines w:val="0"/>
        <w:widowControl w:val="0"/>
        <w:shd w:val="clear" w:color="auto" w:fill="auto"/>
        <w:bidi w:val="0"/>
        <w:spacing w:before="0" w:after="260" w:line="312" w:lineRule="exact"/>
        <w:ind w:left="0" w:right="0" w:firstLine="44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包括工程用物资成本、人工成本、交纳的相关税费、应予资本化的借款费用以及应分摊的间接费用等。本公司的在建工程以 项目分类核算。</w:t>
      </w:r>
    </w:p>
    <w:p>
      <w:pPr>
        <w:pStyle w:val="Style34"/>
        <w:keepNext/>
        <w:keepLines/>
        <w:widowControl w:val="0"/>
        <w:shd w:val="clear" w:color="auto" w:fill="auto"/>
        <w:tabs>
          <w:tab w:pos="493" w:val="left"/>
        </w:tabs>
        <w:bidi w:val="0"/>
        <w:spacing w:before="0" w:after="280" w:line="314"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3"/>
      <w:bookmarkEnd w:id="694"/>
      <w:bookmarkEnd w:id="696"/>
    </w:p>
    <w:p>
      <w:pPr>
        <w:pStyle w:val="Style29"/>
        <w:keepNext w:val="0"/>
        <w:keepLines w:val="0"/>
        <w:widowControl w:val="0"/>
        <w:shd w:val="clear" w:color="auto" w:fill="auto"/>
        <w:bidi w:val="0"/>
        <w:spacing w:before="0" w:after="280" w:line="312" w:lineRule="exact"/>
        <w:ind w:left="0" w:right="0" w:firstLine="28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4"/>
        <w:keepNext/>
        <w:keepLines/>
        <w:widowControl w:val="0"/>
        <w:shd w:val="clear" w:color="auto" w:fill="auto"/>
        <w:tabs>
          <w:tab w:pos="493" w:val="left"/>
        </w:tabs>
        <w:bidi w:val="0"/>
        <w:spacing w:before="0" w:after="280" w:line="314" w:lineRule="exact"/>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w:t>
      </w:r>
      <w:bookmarkEnd w:id="699"/>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97"/>
      <w:bookmarkEnd w:id="698"/>
      <w:bookmarkEnd w:id="700"/>
    </w:p>
    <w:p>
      <w:pPr>
        <w:pStyle w:val="Style69"/>
        <w:keepNext w:val="0"/>
        <w:keepLines w:val="0"/>
        <w:widowControl w:val="0"/>
        <w:shd w:val="clear" w:color="auto" w:fill="auto"/>
        <w:bidi w:val="0"/>
        <w:spacing w:before="0" w:after="0" w:line="317" w:lineRule="exact"/>
        <w:ind w:left="0" w:right="0"/>
        <w:jc w:val="left"/>
      </w:pPr>
      <w:r>
        <w:rPr>
          <w:color w:val="000000"/>
          <w:spacing w:val="0"/>
          <w:w w:val="100"/>
          <w:position w:val="0"/>
        </w:rPr>
        <w:t>公司在每期末判断在建工程是否存在可能发生减值的迹象。</w:t>
      </w:r>
    </w:p>
    <w:p>
      <w:pPr>
        <w:pStyle w:val="Style69"/>
        <w:keepNext w:val="0"/>
        <w:keepLines w:val="0"/>
        <w:widowControl w:val="0"/>
        <w:shd w:val="clear" w:color="auto" w:fill="auto"/>
        <w:bidi w:val="0"/>
        <w:spacing w:before="0" w:after="0" w:line="317" w:lineRule="exact"/>
        <w:ind w:left="0" w:right="0"/>
        <w:jc w:val="both"/>
      </w:pPr>
      <w:r>
        <w:rPr>
          <w:color w:val="000000"/>
          <w:spacing w:val="0"/>
          <w:w w:val="100"/>
          <w:position w:val="0"/>
        </w:rPr>
        <w:t>在建工程存在减值迹象的，估计其可收回金额。可收回金额根据在建工程的公允价值减去处置费用后 的净额与在建工程预计未来现金流量的现值两者之间较高者确定。</w:t>
      </w:r>
    </w:p>
    <w:p>
      <w:pPr>
        <w:pStyle w:val="Style69"/>
        <w:keepNext w:val="0"/>
        <w:keepLines w:val="0"/>
        <w:widowControl w:val="0"/>
        <w:shd w:val="clear" w:color="auto" w:fill="auto"/>
        <w:bidi w:val="0"/>
        <w:spacing w:before="0" w:after="0" w:line="317" w:lineRule="exact"/>
        <w:ind w:left="0" w:right="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69"/>
        <w:keepNext w:val="0"/>
        <w:keepLines w:val="0"/>
        <w:widowControl w:val="0"/>
        <w:shd w:val="clear" w:color="auto" w:fill="auto"/>
        <w:bidi w:val="0"/>
        <w:spacing w:before="0" w:after="0" w:line="317" w:lineRule="exact"/>
        <w:ind w:left="0" w:right="0"/>
        <w:jc w:val="left"/>
      </w:pPr>
      <w:r>
        <w:rPr>
          <w:color w:val="000000"/>
          <w:spacing w:val="0"/>
          <w:w w:val="100"/>
          <w:position w:val="0"/>
        </w:rPr>
        <w:t>在建工程的减值损失一经确认，在以后会计期间不再转回。</w:t>
      </w:r>
    </w:p>
    <w:p>
      <w:pPr>
        <w:pStyle w:val="Style69"/>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有迹象表明一项在建工程可能发生减值的，企业以单项在建工程为基础估计其可收回金额。企业难以对单 项在建工程的可收回金额进行估计的，以该在建工程所属的资产组为基础确定资产组的可收回金额。</w:t>
      </w:r>
    </w:p>
    <w:p>
      <w:pPr>
        <w:pStyle w:val="Style34"/>
        <w:keepNext/>
        <w:keepLines/>
        <w:widowControl w:val="0"/>
        <w:shd w:val="clear" w:color="auto" w:fill="auto"/>
        <w:bidi w:val="0"/>
        <w:spacing w:before="0" w:after="280" w:line="314" w:lineRule="exact"/>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701"/>
      <w:bookmarkEnd w:id="702"/>
      <w:bookmarkEnd w:id="704"/>
    </w:p>
    <w:p>
      <w:pPr>
        <w:pStyle w:val="Style34"/>
        <w:keepNext/>
        <w:keepLines/>
        <w:widowControl w:val="0"/>
        <w:shd w:val="clear" w:color="auto" w:fill="auto"/>
        <w:tabs>
          <w:tab w:pos="493" w:val="left"/>
        </w:tabs>
        <w:bidi w:val="0"/>
        <w:spacing w:before="0" w:after="280" w:line="314" w:lineRule="exact"/>
        <w:ind w:left="0" w:right="0" w:firstLine="0"/>
        <w:jc w:val="both"/>
      </w:pPr>
      <w:bookmarkStart w:id="701" w:name="bookmark701"/>
      <w:bookmarkStart w:id="702" w:name="bookmark702"/>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01"/>
      <w:bookmarkEnd w:id="702"/>
      <w:bookmarkEnd w:id="706"/>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借款费用同时满足下列条件时开始资本化：</w:t>
      </w:r>
    </w:p>
    <w:p>
      <w:pPr>
        <w:pStyle w:val="Style69"/>
        <w:keepNext w:val="0"/>
        <w:keepLines w:val="0"/>
        <w:widowControl w:val="0"/>
        <w:shd w:val="clear" w:color="auto" w:fill="auto"/>
        <w:tabs>
          <w:tab w:pos="810" w:val="left"/>
        </w:tabs>
        <w:bidi w:val="0"/>
        <w:spacing w:before="0" w:after="0" w:line="314" w:lineRule="exact"/>
        <w:ind w:left="0" w:right="0"/>
        <w:jc w:val="both"/>
      </w:pPr>
      <w:bookmarkStart w:id="707" w:name="bookmark707"/>
      <w:r>
        <w:rPr>
          <w:rFonts w:ascii="Times New Roman" w:eastAsia="Times New Roman" w:hAnsi="Times New Roman" w:cs="Times New Roman"/>
          <w:color w:val="000000"/>
          <w:spacing w:val="0"/>
          <w:w w:val="100"/>
          <w:position w:val="0"/>
        </w:rPr>
        <w:t>1</w:t>
      </w:r>
      <w:bookmarkEnd w:id="707"/>
      <w:r>
        <w:rPr>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69"/>
        <w:keepNext w:val="0"/>
        <w:keepLines w:val="0"/>
        <w:widowControl w:val="0"/>
        <w:shd w:val="clear" w:color="auto" w:fill="auto"/>
        <w:tabs>
          <w:tab w:pos="832" w:val="left"/>
        </w:tabs>
        <w:bidi w:val="0"/>
        <w:spacing w:before="0" w:after="0" w:line="314" w:lineRule="exact"/>
        <w:ind w:left="0" w:right="0"/>
        <w:jc w:val="both"/>
      </w:pPr>
      <w:bookmarkStart w:id="708" w:name="bookmark708"/>
      <w:r>
        <w:rPr>
          <w:rFonts w:ascii="Times New Roman" w:eastAsia="Times New Roman" w:hAnsi="Times New Roman" w:cs="Times New Roman"/>
          <w:color w:val="000000"/>
          <w:spacing w:val="0"/>
          <w:w w:val="100"/>
          <w:position w:val="0"/>
        </w:rPr>
        <w:t>2</w:t>
      </w:r>
      <w:bookmarkEnd w:id="708"/>
      <w:r>
        <w:rPr>
          <w:color w:val="000000"/>
          <w:spacing w:val="0"/>
          <w:w w:val="100"/>
          <w:position w:val="0"/>
        </w:rPr>
        <w:t>）</w:t>
        <w:tab/>
        <w:t>借款费用已经发生；</w:t>
      </w:r>
    </w:p>
    <w:p>
      <w:pPr>
        <w:pStyle w:val="Style69"/>
        <w:keepNext w:val="0"/>
        <w:keepLines w:val="0"/>
        <w:widowControl w:val="0"/>
        <w:shd w:val="clear" w:color="auto" w:fill="auto"/>
        <w:tabs>
          <w:tab w:pos="832" w:val="left"/>
        </w:tabs>
        <w:bidi w:val="0"/>
        <w:spacing w:before="0" w:after="280" w:line="314" w:lineRule="exact"/>
        <w:ind w:left="0" w:right="0"/>
        <w:jc w:val="left"/>
      </w:pPr>
      <w:bookmarkStart w:id="709" w:name="bookmark709"/>
      <w:r>
        <w:rPr>
          <w:rFonts w:ascii="Times New Roman" w:eastAsia="Times New Roman" w:hAnsi="Times New Roman" w:cs="Times New Roman"/>
          <w:color w:val="000000"/>
          <w:spacing w:val="0"/>
          <w:w w:val="100"/>
          <w:position w:val="0"/>
        </w:rPr>
        <w:t>3</w:t>
      </w:r>
      <w:bookmarkEnd w:id="709"/>
      <w:r>
        <w:rPr>
          <w:color w:val="000000"/>
          <w:spacing w:val="0"/>
          <w:w w:val="100"/>
          <w:position w:val="0"/>
        </w:rPr>
        <w:t>）</w:t>
        <w:tab/>
        <w:t>为使资产达到预定可使用或者可销售状态所必要的购建或者生产活动已经开始。</w:t>
      </w:r>
    </w:p>
    <w:p>
      <w:pPr>
        <w:pStyle w:val="Style34"/>
        <w:keepNext/>
        <w:keepLines/>
        <w:widowControl w:val="0"/>
        <w:shd w:val="clear" w:color="auto" w:fill="auto"/>
        <w:tabs>
          <w:tab w:pos="493" w:val="left"/>
        </w:tabs>
        <w:bidi w:val="0"/>
        <w:spacing w:before="0" w:after="280" w:line="314" w:lineRule="exact"/>
        <w:ind w:left="0" w:right="0" w:firstLine="0"/>
        <w:jc w:val="both"/>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10"/>
      <w:bookmarkEnd w:id="711"/>
      <w:bookmarkEnd w:id="713"/>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当购建或者生产符合资本化条件的资产达到预定可使用或者可销售状态时，借款费用停止资本化。</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当购建或者生产符合资本化条件的资产中部分项目分别完工且可单独使用时，该部分资产借款费用停 止资本化。</w:t>
      </w:r>
    </w:p>
    <w:p>
      <w:pPr>
        <w:pStyle w:val="Style69"/>
        <w:keepNext w:val="0"/>
        <w:keepLines w:val="0"/>
        <w:widowControl w:val="0"/>
        <w:shd w:val="clear" w:color="auto" w:fill="auto"/>
        <w:bidi w:val="0"/>
        <w:spacing w:before="0" w:after="280" w:line="312" w:lineRule="exact"/>
        <w:ind w:left="0" w:right="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4"/>
        <w:keepNext/>
        <w:keepLines/>
        <w:widowControl w:val="0"/>
        <w:shd w:val="clear" w:color="auto" w:fill="auto"/>
        <w:tabs>
          <w:tab w:pos="493" w:val="left"/>
        </w:tabs>
        <w:bidi w:val="0"/>
        <w:spacing w:before="0" w:after="280" w:line="314" w:lineRule="exact"/>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14"/>
      <w:bookmarkEnd w:id="715"/>
      <w:bookmarkEnd w:id="717"/>
    </w:p>
    <w:p>
      <w:pPr>
        <w:pStyle w:val="Style69"/>
        <w:keepNext w:val="0"/>
        <w:keepLines w:val="0"/>
        <w:widowControl w:val="0"/>
        <w:shd w:val="clear" w:color="auto" w:fill="auto"/>
        <w:bidi w:val="0"/>
        <w:spacing w:before="0" w:after="300" w:line="314"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个月的，则借 </w:t>
      </w:r>
      <w:r>
        <w:rPr>
          <w:color w:val="000000"/>
          <w:spacing w:val="0"/>
          <w:w w:val="100"/>
          <w:position w:val="0"/>
        </w:rPr>
        <w:t>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4"/>
        <w:keepNext/>
        <w:keepLines/>
        <w:widowControl w:val="0"/>
        <w:shd w:val="clear" w:color="auto" w:fill="auto"/>
        <w:bidi w:val="0"/>
        <w:spacing w:before="0" w:after="300" w:line="311" w:lineRule="exact"/>
        <w:ind w:left="0" w:right="0" w:firstLine="0"/>
        <w:jc w:val="both"/>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718"/>
      <w:bookmarkEnd w:id="719"/>
      <w:bookmarkEnd w:id="721"/>
    </w:p>
    <w:p>
      <w:pPr>
        <w:pStyle w:val="Style69"/>
        <w:keepNext w:val="0"/>
        <w:keepLines w:val="0"/>
        <w:widowControl w:val="0"/>
        <w:shd w:val="clear" w:color="auto" w:fill="auto"/>
        <w:bidi w:val="0"/>
        <w:spacing w:before="0" w:after="0" w:line="310" w:lineRule="exact"/>
        <w:ind w:left="0" w:right="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69"/>
        <w:keepNext w:val="0"/>
        <w:keepLines w:val="0"/>
        <w:widowControl w:val="0"/>
        <w:shd w:val="clear" w:color="auto" w:fill="auto"/>
        <w:bidi w:val="0"/>
        <w:spacing w:before="0" w:after="0" w:line="310" w:lineRule="exact"/>
        <w:ind w:left="0" w:right="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69"/>
        <w:keepNext w:val="0"/>
        <w:keepLines w:val="0"/>
        <w:widowControl w:val="0"/>
        <w:shd w:val="clear" w:color="auto" w:fill="auto"/>
        <w:bidi w:val="0"/>
        <w:spacing w:before="0" w:after="380" w:line="310" w:lineRule="exact"/>
        <w:ind w:left="0" w:right="0"/>
        <w:jc w:val="both"/>
      </w:pPr>
      <w:r>
        <w:rPr>
          <w:color w:val="000000"/>
          <w:spacing w:val="0"/>
          <w:w w:val="100"/>
          <w:position w:val="0"/>
        </w:rPr>
        <w:t>借款存在折价或者溢价的，按照实际利率法确定每一会计期间应摊销的折价或者溢价金额，调整每期 利息金额。</w:t>
      </w:r>
    </w:p>
    <w:p>
      <w:pPr>
        <w:pStyle w:val="Style69"/>
        <w:keepNext w:val="0"/>
        <w:keepLines w:val="0"/>
        <w:widowControl w:val="0"/>
        <w:shd w:val="clear" w:color="auto" w:fill="auto"/>
        <w:tabs>
          <w:tab w:pos="474" w:val="left"/>
        </w:tabs>
        <w:bidi w:val="0"/>
        <w:spacing w:before="0" w:after="300" w:line="324" w:lineRule="auto"/>
        <w:ind w:left="0" w:right="0" w:firstLine="0"/>
        <w:jc w:val="left"/>
      </w:pPr>
      <w:bookmarkStart w:id="722" w:name="bookmark722"/>
      <w:r>
        <w:rPr>
          <w:rFonts w:ascii="Times New Roman" w:eastAsia="Times New Roman" w:hAnsi="Times New Roman" w:cs="Times New Roman"/>
          <w:b/>
          <w:bCs/>
          <w:color w:val="000000"/>
          <w:spacing w:val="0"/>
          <w:w w:val="100"/>
          <w:position w:val="0"/>
        </w:rPr>
        <w:t>1</w:t>
      </w:r>
      <w:bookmarkEnd w:id="722"/>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生物资产</w:t>
      </w:r>
    </w:p>
    <w:p>
      <w:pPr>
        <w:pStyle w:val="Style69"/>
        <w:keepNext w:val="0"/>
        <w:keepLines w:val="0"/>
        <w:widowControl w:val="0"/>
        <w:shd w:val="clear" w:color="auto" w:fill="auto"/>
        <w:tabs>
          <w:tab w:pos="474" w:val="left"/>
        </w:tabs>
        <w:bidi w:val="0"/>
        <w:spacing w:before="0" w:after="300" w:line="324" w:lineRule="auto"/>
        <w:ind w:left="0" w:right="0" w:firstLine="0"/>
        <w:jc w:val="left"/>
      </w:pPr>
      <w:bookmarkStart w:id="723" w:name="bookmark723"/>
      <w:r>
        <w:rPr>
          <w:rFonts w:ascii="Times New Roman" w:eastAsia="Times New Roman" w:hAnsi="Times New Roman" w:cs="Times New Roman"/>
          <w:b/>
          <w:bCs/>
          <w:color w:val="000000"/>
          <w:spacing w:val="0"/>
          <w:w w:val="100"/>
          <w:position w:val="0"/>
        </w:rPr>
        <w:t>1</w:t>
      </w:r>
      <w:bookmarkEnd w:id="72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油气资产</w:t>
      </w:r>
    </w:p>
    <w:p>
      <w:pPr>
        <w:pStyle w:val="Style69"/>
        <w:keepNext w:val="0"/>
        <w:keepLines w:val="0"/>
        <w:widowControl w:val="0"/>
        <w:shd w:val="clear" w:color="auto" w:fill="auto"/>
        <w:tabs>
          <w:tab w:pos="483" w:val="left"/>
        </w:tabs>
        <w:bidi w:val="0"/>
        <w:spacing w:before="0" w:after="200" w:line="324" w:lineRule="auto"/>
        <w:ind w:left="0" w:right="0" w:firstLine="0"/>
        <w:jc w:val="left"/>
      </w:pPr>
      <w:bookmarkStart w:id="724" w:name="bookmark724"/>
      <w:r>
        <w:rPr>
          <w:rFonts w:ascii="Times New Roman" w:eastAsia="Times New Roman" w:hAnsi="Times New Roman" w:cs="Times New Roman"/>
          <w:b/>
          <w:bCs/>
          <w:color w:val="000000"/>
          <w:spacing w:val="0"/>
          <w:w w:val="100"/>
          <w:position w:val="0"/>
        </w:rPr>
        <w:t>2</w:t>
      </w:r>
      <w:bookmarkEnd w:id="724"/>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无形资产</w:t>
      </w:r>
    </w:p>
    <w:p>
      <w:pPr>
        <w:pStyle w:val="Style69"/>
        <w:keepNext w:val="0"/>
        <w:keepLines w:val="0"/>
        <w:widowControl w:val="0"/>
        <w:shd w:val="clear" w:color="auto" w:fill="auto"/>
        <w:bidi w:val="0"/>
        <w:spacing w:before="0" w:after="380" w:line="311" w:lineRule="exact"/>
        <w:ind w:left="0" w:right="0" w:firstLine="0"/>
        <w:jc w:val="left"/>
      </w:pPr>
      <w:bookmarkStart w:id="725" w:name="bookmark725"/>
      <w:r>
        <w:rPr>
          <w:b/>
          <w:bCs/>
          <w:color w:val="000000"/>
          <w:spacing w:val="0"/>
          <w:w w:val="100"/>
          <w:position w:val="0"/>
        </w:rPr>
        <w:t>（</w:t>
      </w:r>
      <w:bookmarkEnd w:id="725"/>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）无形资产的计价方法</w:t>
      </w:r>
    </w:p>
    <w:p>
      <w:pPr>
        <w:pStyle w:val="Style69"/>
        <w:keepNext w:val="0"/>
        <w:keepLines w:val="0"/>
        <w:widowControl w:val="0"/>
        <w:shd w:val="clear" w:color="auto" w:fill="auto"/>
        <w:tabs>
          <w:tab w:pos="813" w:val="left"/>
        </w:tabs>
        <w:bidi w:val="0"/>
        <w:spacing w:before="0" w:after="0" w:line="324" w:lineRule="auto"/>
        <w:ind w:left="0" w:right="0"/>
        <w:jc w:val="both"/>
      </w:pPr>
      <w:bookmarkStart w:id="726" w:name="bookmark726"/>
      <w:r>
        <w:rPr>
          <w:rFonts w:ascii="Times New Roman" w:eastAsia="Times New Roman" w:hAnsi="Times New Roman" w:cs="Times New Roman"/>
          <w:color w:val="000000"/>
          <w:spacing w:val="0"/>
          <w:w w:val="100"/>
          <w:position w:val="0"/>
        </w:rPr>
        <w:t>1</w:t>
      </w:r>
      <w:bookmarkEnd w:id="726"/>
      <w:r>
        <w:rPr>
          <w:color w:val="000000"/>
          <w:spacing w:val="0"/>
          <w:w w:val="100"/>
          <w:position w:val="0"/>
        </w:rPr>
        <w:t>）</w:t>
        <w:tab/>
        <w:t>公司取得无形资产时按成本进行初始计量；</w:t>
      </w:r>
    </w:p>
    <w:p>
      <w:pPr>
        <w:pStyle w:val="Style69"/>
        <w:keepNext w:val="0"/>
        <w:keepLines w:val="0"/>
        <w:widowControl w:val="0"/>
        <w:shd w:val="clear" w:color="auto" w:fill="auto"/>
        <w:bidi w:val="0"/>
        <w:spacing w:before="0" w:after="0" w:line="311" w:lineRule="exact"/>
        <w:ind w:left="0" w:right="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69"/>
        <w:keepNext w:val="0"/>
        <w:keepLines w:val="0"/>
        <w:widowControl w:val="0"/>
        <w:shd w:val="clear" w:color="auto" w:fill="auto"/>
        <w:bidi w:val="0"/>
        <w:spacing w:before="0" w:after="0" w:line="311" w:lineRule="exact"/>
        <w:ind w:left="0" w:right="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69"/>
        <w:keepNext w:val="0"/>
        <w:keepLines w:val="0"/>
        <w:widowControl w:val="0"/>
        <w:shd w:val="clear" w:color="auto" w:fill="auto"/>
        <w:bidi w:val="0"/>
        <w:spacing w:before="0" w:after="0" w:line="311" w:lineRule="exact"/>
        <w:ind w:left="0" w:right="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69"/>
        <w:keepNext w:val="0"/>
        <w:keepLines w:val="0"/>
        <w:widowControl w:val="0"/>
        <w:shd w:val="clear" w:color="auto" w:fill="auto"/>
        <w:bidi w:val="0"/>
        <w:spacing w:before="0" w:after="0" w:line="311" w:lineRule="exact"/>
        <w:ind w:left="0" w:right="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69"/>
        <w:keepNext w:val="0"/>
        <w:keepLines w:val="0"/>
        <w:widowControl w:val="0"/>
        <w:shd w:val="clear" w:color="auto" w:fill="auto"/>
        <w:bidi w:val="0"/>
        <w:spacing w:before="0" w:after="80" w:line="311" w:lineRule="exact"/>
        <w:ind w:left="0" w:right="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69"/>
        <w:keepNext w:val="0"/>
        <w:keepLines w:val="0"/>
        <w:widowControl w:val="0"/>
        <w:shd w:val="clear" w:color="auto" w:fill="auto"/>
        <w:tabs>
          <w:tab w:pos="832" w:val="left"/>
        </w:tabs>
        <w:bidi w:val="0"/>
        <w:spacing w:before="0" w:after="0" w:line="324" w:lineRule="auto"/>
        <w:ind w:left="0" w:right="0"/>
        <w:jc w:val="both"/>
      </w:pPr>
      <w:bookmarkStart w:id="727" w:name="bookmark727"/>
      <w:r>
        <w:rPr>
          <w:rFonts w:ascii="Times New Roman" w:eastAsia="Times New Roman" w:hAnsi="Times New Roman" w:cs="Times New Roman"/>
          <w:color w:val="000000"/>
          <w:spacing w:val="0"/>
          <w:w w:val="100"/>
          <w:position w:val="0"/>
        </w:rPr>
        <w:t>2</w:t>
      </w:r>
      <w:bookmarkEnd w:id="727"/>
      <w:r>
        <w:rPr>
          <w:color w:val="000000"/>
          <w:spacing w:val="0"/>
          <w:w w:val="100"/>
          <w:position w:val="0"/>
        </w:rPr>
        <w:t>）</w:t>
        <w:tab/>
        <w:t>后续计量</w:t>
      </w:r>
    </w:p>
    <w:p>
      <w:pPr>
        <w:pStyle w:val="Style69"/>
        <w:keepNext w:val="0"/>
        <w:keepLines w:val="0"/>
        <w:widowControl w:val="0"/>
        <w:shd w:val="clear" w:color="auto" w:fill="auto"/>
        <w:bidi w:val="0"/>
        <w:spacing w:before="0" w:after="0" w:line="311" w:lineRule="exact"/>
        <w:ind w:left="0" w:right="0"/>
        <w:jc w:val="both"/>
      </w:pPr>
      <w:r>
        <w:rPr>
          <w:color w:val="000000"/>
          <w:spacing w:val="0"/>
          <w:w w:val="100"/>
          <w:position w:val="0"/>
        </w:rPr>
        <w:t>在取得无形资产时分析判断其使用寿命。</w:t>
      </w:r>
    </w:p>
    <w:p>
      <w:pPr>
        <w:pStyle w:val="Style69"/>
        <w:keepNext w:val="0"/>
        <w:keepLines w:val="0"/>
        <w:widowControl w:val="0"/>
        <w:shd w:val="clear" w:color="auto" w:fill="auto"/>
        <w:bidi w:val="0"/>
        <w:spacing w:before="0" w:after="300" w:line="311" w:lineRule="exact"/>
        <w:ind w:left="0" w:right="0"/>
        <w:jc w:val="both"/>
        <w:sectPr>
          <w:headerReference w:type="default" r:id="rId189"/>
          <w:footerReference w:type="default" r:id="rId190"/>
          <w:headerReference w:type="even" r:id="rId191"/>
          <w:footerReference w:type="even" r:id="rId192"/>
          <w:headerReference w:type="first" r:id="rId193"/>
          <w:footerReference w:type="first" r:id="rId194"/>
          <w:footnotePr>
            <w:pos w:val="pageBottom"/>
            <w:numFmt w:val="decimal"/>
            <w:numRestart w:val="continuous"/>
          </w:footnotePr>
          <w:pgSz w:w="11900" w:h="16840"/>
          <w:pgMar w:top="1378" w:right="913" w:bottom="1527" w:left="983" w:header="0" w:footer="3" w:gutter="0"/>
          <w:cols w:space="720"/>
          <w:noEndnote/>
          <w:titlePg/>
          <w:rtlGutter w:val="0"/>
          <w:docGrid w:linePitch="360"/>
        </w:sectPr>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）使用寿命有限的无形资产的使用寿命估计情况</w:t>
      </w:r>
    </w:p>
    <w:tbl>
      <w:tblPr>
        <w:tblOverlap w:val="never"/>
        <w:jc w:val="left"/>
        <w:tblLayout w:type="fixed"/>
      </w:tblPr>
      <w:tblGrid>
        <w:gridCol w:w="3086"/>
        <w:gridCol w:w="2285"/>
        <w:gridCol w:w="3091"/>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预计使用寿命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r>
    </w:tbl>
    <w:p>
      <w:pPr>
        <w:widowControl w:val="0"/>
        <w:spacing w:after="79" w:line="1" w:lineRule="exact"/>
      </w:pPr>
    </w:p>
    <w:p>
      <w:pPr>
        <w:pStyle w:val="Style69"/>
        <w:keepNext w:val="0"/>
        <w:keepLines w:val="0"/>
        <w:widowControl w:val="0"/>
        <w:shd w:val="clear" w:color="auto" w:fill="auto"/>
        <w:bidi w:val="0"/>
        <w:spacing w:before="0" w:after="340" w:line="312" w:lineRule="exact"/>
        <w:ind w:left="0" w:right="0"/>
        <w:jc w:val="both"/>
      </w:pPr>
      <w:r>
        <w:rPr>
          <w:color w:val="000000"/>
          <w:spacing w:val="0"/>
          <w:w w:val="100"/>
          <w:position w:val="0"/>
        </w:rPr>
        <w:t>每期末，对使用寿命有限的无形资产的使用寿命及摊销方法进行复核。 经复核，本期期末无形资产的使用寿命及摊销方法与以前估计未有不同。</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279" w:line="1" w:lineRule="exact"/>
      </w:pPr>
    </w:p>
    <w:p>
      <w:pPr>
        <w:pStyle w:val="Style34"/>
        <w:keepNext/>
        <w:keepLines/>
        <w:widowControl w:val="0"/>
        <w:shd w:val="clear" w:color="auto" w:fill="auto"/>
        <w:tabs>
          <w:tab w:pos="493" w:val="left"/>
        </w:tabs>
        <w:bidi w:val="0"/>
        <w:spacing w:before="0" w:after="280" w:line="314" w:lineRule="exact"/>
        <w:ind w:left="0" w:right="0" w:firstLine="0"/>
        <w:jc w:val="both"/>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28"/>
      <w:bookmarkEnd w:id="729"/>
      <w:bookmarkEnd w:id="731"/>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每期末，对使用寿命不确定的无形资产的使用寿命进行复核。</w:t>
      </w:r>
    </w:p>
    <w:p>
      <w:pPr>
        <w:pStyle w:val="Style69"/>
        <w:keepNext w:val="0"/>
        <w:keepLines w:val="0"/>
        <w:widowControl w:val="0"/>
        <w:shd w:val="clear" w:color="auto" w:fill="auto"/>
        <w:bidi w:val="0"/>
        <w:spacing w:before="0" w:after="280" w:line="314" w:lineRule="exact"/>
        <w:ind w:left="0" w:right="0" w:firstLine="340"/>
        <w:jc w:val="both"/>
      </w:pPr>
      <w:r>
        <w:rPr>
          <w:color w:val="000000"/>
          <w:spacing w:val="0"/>
          <w:w w:val="100"/>
          <w:position w:val="0"/>
        </w:rPr>
        <w:t>经复核，该类无形资产的使用寿命仍为不确定。</w:t>
      </w:r>
    </w:p>
    <w:p>
      <w:pPr>
        <w:pStyle w:val="Style34"/>
        <w:keepNext/>
        <w:keepLines/>
        <w:widowControl w:val="0"/>
        <w:shd w:val="clear" w:color="auto" w:fill="auto"/>
        <w:tabs>
          <w:tab w:pos="493" w:val="left"/>
        </w:tabs>
        <w:bidi w:val="0"/>
        <w:spacing w:before="0" w:after="280" w:line="314" w:lineRule="exact"/>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w:t>
      </w:r>
      <w:bookmarkEnd w:id="73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32"/>
      <w:bookmarkEnd w:id="733"/>
      <w:bookmarkEnd w:id="735"/>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对于使用寿命确定的无形资产，如有明显减值迹象的，期末进行减值测试。</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对于使用寿命不确定的无形资产，每期末进行减值测试。</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无形资产的减值损失一经确认，在以后会计期间不再转回。</w:t>
      </w:r>
    </w:p>
    <w:p>
      <w:pPr>
        <w:pStyle w:val="Style69"/>
        <w:keepNext w:val="0"/>
        <w:keepLines w:val="0"/>
        <w:widowControl w:val="0"/>
        <w:shd w:val="clear" w:color="auto" w:fill="auto"/>
        <w:bidi w:val="0"/>
        <w:spacing w:before="0" w:after="280" w:line="314" w:lineRule="exact"/>
        <w:ind w:left="0" w:right="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34"/>
        <w:keepNext/>
        <w:keepLines/>
        <w:widowControl w:val="0"/>
        <w:shd w:val="clear" w:color="auto" w:fill="auto"/>
        <w:tabs>
          <w:tab w:pos="493" w:val="left"/>
        </w:tabs>
        <w:bidi w:val="0"/>
        <w:spacing w:before="0" w:after="280" w:line="314" w:lineRule="exact"/>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w:t>
      </w:r>
      <w:bookmarkEnd w:id="73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36"/>
      <w:bookmarkEnd w:id="737"/>
      <w:bookmarkEnd w:id="739"/>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69"/>
        <w:keepNext w:val="0"/>
        <w:keepLines w:val="0"/>
        <w:widowControl w:val="0"/>
        <w:shd w:val="clear" w:color="auto" w:fill="auto"/>
        <w:bidi w:val="0"/>
        <w:spacing w:before="0" w:after="280" w:line="314" w:lineRule="exact"/>
        <w:ind w:left="0" w:right="0"/>
        <w:jc w:val="both"/>
      </w:pPr>
      <w:r>
        <w:rPr>
          <w:color w:val="000000"/>
          <w:spacing w:val="0"/>
          <w:w w:val="100"/>
          <w:position w:val="0"/>
        </w:rPr>
        <w:t>内部研究开发项目研究阶段的支出，在发生时计入当期损益。</w:t>
      </w:r>
    </w:p>
    <w:p>
      <w:pPr>
        <w:pStyle w:val="Style34"/>
        <w:keepNext/>
        <w:keepLines/>
        <w:widowControl w:val="0"/>
        <w:shd w:val="clear" w:color="auto" w:fill="auto"/>
        <w:tabs>
          <w:tab w:pos="493" w:val="left"/>
        </w:tabs>
        <w:bidi w:val="0"/>
        <w:spacing w:before="0" w:after="280" w:line="314" w:lineRule="exact"/>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6</w:t>
      </w:r>
      <w:r>
        <w:rPr>
          <w:color w:val="000000"/>
          <w:spacing w:val="0"/>
          <w:w w:val="100"/>
          <w:position w:val="0"/>
        </w:rPr>
        <w:t>）</w:t>
        <w:tab/>
        <w:t>开发阶段支出符合资本化的具体标准</w:t>
      </w:r>
      <w:bookmarkEnd w:id="740"/>
      <w:bookmarkEnd w:id="741"/>
      <w:bookmarkEnd w:id="743"/>
    </w:p>
    <w:p>
      <w:pPr>
        <w:pStyle w:val="Style69"/>
        <w:keepNext w:val="0"/>
        <w:keepLines w:val="0"/>
        <w:widowControl w:val="0"/>
        <w:shd w:val="clear" w:color="auto" w:fill="auto"/>
        <w:bidi w:val="0"/>
        <w:spacing w:before="0" w:after="0" w:line="314" w:lineRule="exact"/>
        <w:ind w:left="0" w:right="0"/>
        <w:jc w:val="both"/>
      </w:pPr>
      <w:r>
        <w:rPr>
          <w:color w:val="000000"/>
          <w:spacing w:val="0"/>
          <w:w w:val="100"/>
          <w:position w:val="0"/>
        </w:rPr>
        <w:t>内部研究开发项目开发阶段的支出，同时满足下列条件时确认为无形资产：</w:t>
      </w:r>
    </w:p>
    <w:p>
      <w:pPr>
        <w:pStyle w:val="Style69"/>
        <w:keepNext w:val="0"/>
        <w:keepLines w:val="0"/>
        <w:widowControl w:val="0"/>
        <w:shd w:val="clear" w:color="auto" w:fill="auto"/>
        <w:tabs>
          <w:tab w:pos="813" w:val="left"/>
        </w:tabs>
        <w:bidi w:val="0"/>
        <w:spacing w:before="0" w:after="0" w:line="314" w:lineRule="exact"/>
        <w:ind w:left="0" w:right="0"/>
        <w:jc w:val="both"/>
      </w:pPr>
      <w:bookmarkStart w:id="744" w:name="bookmark744"/>
      <w:r>
        <w:rPr>
          <w:rFonts w:ascii="Times New Roman" w:eastAsia="Times New Roman" w:hAnsi="Times New Roman" w:cs="Times New Roman"/>
          <w:color w:val="000000"/>
          <w:spacing w:val="0"/>
          <w:w w:val="100"/>
          <w:position w:val="0"/>
        </w:rPr>
        <w:t>1</w:t>
      </w:r>
      <w:bookmarkEnd w:id="744"/>
      <w:r>
        <w:rPr>
          <w:color w:val="000000"/>
          <w:spacing w:val="0"/>
          <w:w w:val="100"/>
          <w:position w:val="0"/>
        </w:rPr>
        <w:t>）</w:t>
        <w:tab/>
        <w:t>完成该无形资产以使其能够使用或出售在技术上具有可行性；</w:t>
      </w:r>
    </w:p>
    <w:p>
      <w:pPr>
        <w:pStyle w:val="Style69"/>
        <w:keepNext w:val="0"/>
        <w:keepLines w:val="0"/>
        <w:widowControl w:val="0"/>
        <w:shd w:val="clear" w:color="auto" w:fill="auto"/>
        <w:tabs>
          <w:tab w:pos="832" w:val="left"/>
        </w:tabs>
        <w:bidi w:val="0"/>
        <w:spacing w:before="0" w:after="0" w:line="314" w:lineRule="exact"/>
        <w:ind w:left="0" w:right="0"/>
        <w:jc w:val="both"/>
      </w:pPr>
      <w:bookmarkStart w:id="745" w:name="bookmark745"/>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具有完成该无形资产并使用或出售的意图；</w:t>
      </w:r>
    </w:p>
    <w:p>
      <w:pPr>
        <w:pStyle w:val="Style69"/>
        <w:keepNext w:val="0"/>
        <w:keepLines w:val="0"/>
        <w:widowControl w:val="0"/>
        <w:shd w:val="clear" w:color="auto" w:fill="auto"/>
        <w:tabs>
          <w:tab w:pos="392" w:val="left"/>
        </w:tabs>
        <w:bidi w:val="0"/>
        <w:spacing w:before="0" w:after="0" w:line="314" w:lineRule="exact"/>
        <w:ind w:left="0" w:right="0"/>
        <w:jc w:val="both"/>
      </w:pPr>
      <w:bookmarkStart w:id="746" w:name="bookmark746"/>
      <w:r>
        <w:rPr>
          <w:rFonts w:ascii="Times New Roman" w:eastAsia="Times New Roman" w:hAnsi="Times New Roman" w:cs="Times New Roman"/>
          <w:color w:val="000000"/>
          <w:spacing w:val="0"/>
          <w:w w:val="100"/>
          <w:position w:val="0"/>
        </w:rPr>
        <w:t>3</w:t>
      </w:r>
      <w:bookmarkEnd w:id="746"/>
      <w:r>
        <w:rPr>
          <w:color w:val="000000"/>
          <w:spacing w:val="0"/>
          <w:w w:val="100"/>
          <w:position w:val="0"/>
        </w:rPr>
        <w:t>）</w:t>
        <w:tab/>
        <w:t xml:space="preserve">无形资产产生经济利益的方式，包括能够证明运用该无形资产生产的产品存在市场或无形资产自 </w:t>
      </w:r>
      <w:r>
        <w:rPr>
          <w:color w:val="000000"/>
          <w:spacing w:val="0"/>
          <w:w w:val="100"/>
          <w:position w:val="0"/>
        </w:rPr>
        <w:t>身存在市场，无形资产将在内部使用的，能够证明其有用性；</w:t>
      </w:r>
    </w:p>
    <w:p>
      <w:pPr>
        <w:pStyle w:val="Style69"/>
        <w:keepNext w:val="0"/>
        <w:keepLines w:val="0"/>
        <w:widowControl w:val="0"/>
        <w:shd w:val="clear" w:color="auto" w:fill="auto"/>
        <w:bidi w:val="0"/>
        <w:spacing w:before="0" w:after="80" w:line="331" w:lineRule="exact"/>
        <w:ind w:left="0" w:right="0"/>
        <w:jc w:val="both"/>
      </w:pPr>
      <w:bookmarkStart w:id="747" w:name="bookmark747"/>
      <w:r>
        <w:rPr>
          <w:rFonts w:ascii="Times New Roman" w:eastAsia="Times New Roman" w:hAnsi="Times New Roman" w:cs="Times New Roman"/>
          <w:color w:val="000000"/>
          <w:spacing w:val="0"/>
          <w:w w:val="100"/>
          <w:position w:val="0"/>
        </w:rPr>
        <w:t>4</w:t>
      </w:r>
      <w:bookmarkEnd w:id="747"/>
      <w:r>
        <w:rPr>
          <w:color w:val="000000"/>
          <w:spacing w:val="0"/>
          <w:w w:val="100"/>
          <w:position w:val="0"/>
        </w:rPr>
        <w:t>）有足够的技术、财务资源和其他资源支持，以完成该无形资产的开发，并有能力使用或出售该无 形资产；</w:t>
      </w:r>
    </w:p>
    <w:p>
      <w:pPr>
        <w:pStyle w:val="Style69"/>
        <w:keepNext w:val="0"/>
        <w:keepLines w:val="0"/>
        <w:widowControl w:val="0"/>
        <w:shd w:val="clear" w:color="auto" w:fill="auto"/>
        <w:bidi w:val="0"/>
        <w:spacing w:before="0" w:after="200" w:line="326" w:lineRule="auto"/>
        <w:ind w:left="0" w:right="0" w:firstLine="680"/>
        <w:jc w:val="left"/>
      </w:pPr>
      <w:bookmarkStart w:id="748" w:name="bookmark748"/>
      <w:r>
        <w:rPr>
          <w:rFonts w:ascii="Times New Roman" w:eastAsia="Times New Roman" w:hAnsi="Times New Roman" w:cs="Times New Roman"/>
          <w:color w:val="000000"/>
          <w:spacing w:val="0"/>
          <w:w w:val="100"/>
          <w:position w:val="0"/>
        </w:rPr>
        <w:t>5</w:t>
      </w:r>
      <w:bookmarkEnd w:id="748"/>
      <w:r>
        <w:rPr>
          <w:color w:val="000000"/>
          <w:spacing w:val="0"/>
          <w:w w:val="100"/>
          <w:position w:val="0"/>
        </w:rPr>
        <w:t>）归属于该无形资产开发阶段的支出能够可靠地计量。</w:t>
      </w:r>
    </w:p>
    <w:p>
      <w:pPr>
        <w:pStyle w:val="Style34"/>
        <w:keepNext/>
        <w:keepLines/>
        <w:widowControl w:val="0"/>
        <w:shd w:val="clear" w:color="auto" w:fill="auto"/>
        <w:bidi w:val="0"/>
        <w:spacing w:before="0" w:after="380" w:line="312" w:lineRule="exact"/>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7</w:t>
      </w:r>
      <w:r>
        <w:rPr>
          <w:color w:val="000000"/>
          <w:spacing w:val="0"/>
          <w:w w:val="100"/>
          <w:position w:val="0"/>
        </w:rPr>
        <w:t>）内部研究开发项目支出的核算</w:t>
      </w:r>
      <w:bookmarkEnd w:id="749"/>
      <w:bookmarkEnd w:id="750"/>
      <w:bookmarkEnd w:id="752"/>
    </w:p>
    <w:p>
      <w:pPr>
        <w:pStyle w:val="Style34"/>
        <w:keepNext/>
        <w:keepLines/>
        <w:widowControl w:val="0"/>
        <w:shd w:val="clear" w:color="auto" w:fill="auto"/>
        <w:tabs>
          <w:tab w:pos="483" w:val="left"/>
        </w:tabs>
        <w:bidi w:val="0"/>
        <w:spacing w:before="0" w:after="200" w:line="326" w:lineRule="auto"/>
        <w:ind w:left="0" w:right="0" w:firstLine="0"/>
        <w:jc w:val="left"/>
      </w:pPr>
      <w:bookmarkStart w:id="749" w:name="bookmark749"/>
      <w:bookmarkStart w:id="750" w:name="bookmark750"/>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749"/>
      <w:bookmarkEnd w:id="750"/>
      <w:bookmarkEnd w:id="754"/>
    </w:p>
    <w:p>
      <w:pPr>
        <w:pStyle w:val="Style69"/>
        <w:keepNext w:val="0"/>
        <w:keepLines w:val="0"/>
        <w:widowControl w:val="0"/>
        <w:shd w:val="clear" w:color="auto" w:fill="auto"/>
        <w:bidi w:val="0"/>
        <w:spacing w:before="0" w:after="380" w:line="314" w:lineRule="exact"/>
        <w:ind w:left="0" w:right="0"/>
        <w:jc w:val="both"/>
      </w:pPr>
      <w:r>
        <w:rPr>
          <w:color w:val="000000"/>
          <w:spacing w:val="0"/>
          <w:w w:val="100"/>
          <w:position w:val="0"/>
        </w:rPr>
        <w:t>本公司长期待摊费用是指已经支出，但受益期限在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年）的各项费用，有明确受益期限 的，按受益期限平均摊销；无明确受益期的，分</w:t>
      </w:r>
      <w:r>
        <w:rPr>
          <w:rFonts w:ascii="Times New Roman" w:eastAsia="Times New Roman" w:hAnsi="Times New Roman" w:cs="Times New Roman"/>
          <w:color w:val="000000"/>
          <w:spacing w:val="0"/>
          <w:w w:val="100"/>
          <w:position w:val="0"/>
        </w:rPr>
        <w:t>5</w:t>
      </w:r>
      <w:r>
        <w:rPr>
          <w:color w:val="000000"/>
          <w:spacing w:val="0"/>
          <w:w w:val="100"/>
          <w:position w:val="0"/>
        </w:rPr>
        <w:t>年平均摊销，一旦预计对以后会计期间不能带来经济利 益流入，就将摊余价值一次性计入当期损益。</w:t>
      </w:r>
    </w:p>
    <w:p>
      <w:pPr>
        <w:pStyle w:val="Style69"/>
        <w:keepNext w:val="0"/>
        <w:keepLines w:val="0"/>
        <w:widowControl w:val="0"/>
        <w:shd w:val="clear" w:color="auto" w:fill="auto"/>
        <w:tabs>
          <w:tab w:pos="483" w:val="left"/>
        </w:tabs>
        <w:bidi w:val="0"/>
        <w:spacing w:before="0" w:after="280" w:line="326" w:lineRule="auto"/>
        <w:ind w:left="0" w:right="0" w:firstLine="0"/>
        <w:jc w:val="left"/>
      </w:pPr>
      <w:bookmarkStart w:id="755" w:name="bookmark755"/>
      <w:r>
        <w:rPr>
          <w:rFonts w:ascii="Times New Roman" w:eastAsia="Times New Roman" w:hAnsi="Times New Roman" w:cs="Times New Roman"/>
          <w:b/>
          <w:bCs/>
          <w:color w:val="000000"/>
          <w:spacing w:val="0"/>
          <w:w w:val="100"/>
          <w:position w:val="0"/>
        </w:rPr>
        <w:t>2</w:t>
      </w:r>
      <w:bookmarkEnd w:id="75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附回购条件的资产转让</w:t>
      </w:r>
    </w:p>
    <w:p>
      <w:pPr>
        <w:pStyle w:val="Style69"/>
        <w:keepNext w:val="0"/>
        <w:keepLines w:val="0"/>
        <w:widowControl w:val="0"/>
        <w:shd w:val="clear" w:color="auto" w:fill="auto"/>
        <w:tabs>
          <w:tab w:pos="483" w:val="left"/>
        </w:tabs>
        <w:bidi w:val="0"/>
        <w:spacing w:before="0" w:after="200" w:line="326" w:lineRule="auto"/>
        <w:ind w:left="0" w:right="0" w:firstLine="0"/>
        <w:jc w:val="left"/>
      </w:pPr>
      <w:bookmarkStart w:id="756" w:name="bookmark756"/>
      <w:r>
        <w:rPr>
          <w:rFonts w:ascii="Times New Roman" w:eastAsia="Times New Roman" w:hAnsi="Times New Roman" w:cs="Times New Roman"/>
          <w:b/>
          <w:bCs/>
          <w:color w:val="000000"/>
          <w:spacing w:val="0"/>
          <w:w w:val="100"/>
          <w:position w:val="0"/>
        </w:rPr>
        <w:t>2</w:t>
      </w:r>
      <w:bookmarkEnd w:id="75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预计负债</w:t>
      </w:r>
    </w:p>
    <w:p>
      <w:pPr>
        <w:pStyle w:val="Style69"/>
        <w:keepNext w:val="0"/>
        <w:keepLines w:val="0"/>
        <w:widowControl w:val="0"/>
        <w:shd w:val="clear" w:color="auto" w:fill="auto"/>
        <w:tabs>
          <w:tab w:pos="493" w:val="left"/>
        </w:tabs>
        <w:bidi w:val="0"/>
        <w:spacing w:before="0" w:after="280" w:line="312" w:lineRule="exact"/>
        <w:ind w:left="0" w:right="0" w:firstLine="0"/>
        <w:jc w:val="left"/>
      </w:pPr>
      <w:bookmarkStart w:id="757" w:name="bookmark757"/>
      <w:r>
        <w:rPr>
          <w:b/>
          <w:bCs/>
          <w:color w:val="000000"/>
          <w:spacing w:val="0"/>
          <w:w w:val="100"/>
          <w:position w:val="0"/>
        </w:rPr>
        <w:t>（</w:t>
      </w:r>
      <w:bookmarkEnd w:id="75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预计负债的确认标准</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与或有事项相关的义务同时满足下列条件时，本公司确认为预计负债：</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该义务是本公司承担的现时义务；</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履行该义务很可能导致经济利益流出本公司；</w:t>
      </w:r>
    </w:p>
    <w:p>
      <w:pPr>
        <w:pStyle w:val="Style69"/>
        <w:keepNext w:val="0"/>
        <w:keepLines w:val="0"/>
        <w:widowControl w:val="0"/>
        <w:shd w:val="clear" w:color="auto" w:fill="auto"/>
        <w:bidi w:val="0"/>
        <w:spacing w:before="0" w:after="280" w:line="312" w:lineRule="exact"/>
        <w:ind w:left="0" w:right="0"/>
        <w:jc w:val="both"/>
      </w:pPr>
      <w:r>
        <w:rPr>
          <w:color w:val="000000"/>
          <w:spacing w:val="0"/>
          <w:w w:val="100"/>
          <w:position w:val="0"/>
        </w:rPr>
        <w:t>该义务的金额能够可靠地计量。</w:t>
      </w:r>
    </w:p>
    <w:p>
      <w:pPr>
        <w:pStyle w:val="Style34"/>
        <w:keepNext/>
        <w:keepLines/>
        <w:widowControl w:val="0"/>
        <w:shd w:val="clear" w:color="auto" w:fill="auto"/>
        <w:tabs>
          <w:tab w:pos="493" w:val="left"/>
        </w:tabs>
        <w:bidi w:val="0"/>
        <w:spacing w:before="0" w:after="280" w:line="312" w:lineRule="exact"/>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58"/>
      <w:bookmarkEnd w:id="759"/>
      <w:bookmarkEnd w:id="761"/>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本公司预计负债按履行相关现时义务所需的支出的最佳估计数进行初始计量。</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最佳估计数分别以下情况处理：</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69"/>
        <w:keepNext w:val="0"/>
        <w:keepLines w:val="0"/>
        <w:widowControl w:val="0"/>
        <w:shd w:val="clear" w:color="auto" w:fill="auto"/>
        <w:bidi w:val="0"/>
        <w:spacing w:before="0" w:after="0" w:line="312" w:lineRule="exact"/>
        <w:ind w:left="0" w:right="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69"/>
        <w:keepNext w:val="0"/>
        <w:keepLines w:val="0"/>
        <w:widowControl w:val="0"/>
        <w:shd w:val="clear" w:color="auto" w:fill="auto"/>
        <w:bidi w:val="0"/>
        <w:spacing w:before="0" w:after="380" w:line="312" w:lineRule="exact"/>
        <w:ind w:left="0" w:right="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4"/>
        <w:keepNext/>
        <w:keepLines/>
        <w:widowControl w:val="0"/>
        <w:shd w:val="clear" w:color="auto" w:fill="auto"/>
        <w:tabs>
          <w:tab w:pos="483" w:val="left"/>
        </w:tabs>
        <w:bidi w:val="0"/>
        <w:spacing w:before="0" w:after="200" w:line="326"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762"/>
      <w:bookmarkEnd w:id="763"/>
      <w:bookmarkEnd w:id="765"/>
    </w:p>
    <w:p>
      <w:pPr>
        <w:pStyle w:val="Style34"/>
        <w:keepNext/>
        <w:keepLines/>
        <w:widowControl w:val="0"/>
        <w:shd w:val="clear" w:color="auto" w:fill="auto"/>
        <w:bidi w:val="0"/>
        <w:spacing w:before="0" w:after="380" w:line="312" w:lineRule="exact"/>
        <w:ind w:left="0" w:right="0" w:firstLine="0"/>
        <w:jc w:val="left"/>
      </w:pPr>
      <w:bookmarkStart w:id="762" w:name="bookmark762"/>
      <w:bookmarkStart w:id="763" w:name="bookmark763"/>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762"/>
      <w:bookmarkEnd w:id="763"/>
      <w:bookmarkEnd w:id="767"/>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本公司的股份支付分为以权益结算的股份支付和以现金结算的股份支付。</w:t>
      </w:r>
    </w:p>
    <w:p>
      <w:pPr>
        <w:pStyle w:val="Style34"/>
        <w:keepNext/>
        <w:keepLines/>
        <w:widowControl w:val="0"/>
        <w:shd w:val="clear" w:color="auto" w:fill="auto"/>
        <w:tabs>
          <w:tab w:pos="448" w:val="left"/>
        </w:tabs>
        <w:bidi w:val="0"/>
        <w:spacing w:before="0" w:after="280" w:line="311" w:lineRule="exact"/>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68"/>
      <w:bookmarkEnd w:id="769"/>
      <w:bookmarkEnd w:id="771"/>
    </w:p>
    <w:p>
      <w:pPr>
        <w:pStyle w:val="Style69"/>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）股份的 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69"/>
        <w:keepNext w:val="0"/>
        <w:keepLines w:val="0"/>
        <w:widowControl w:val="0"/>
        <w:shd w:val="clear" w:color="auto" w:fill="auto"/>
        <w:bidi w:val="0"/>
        <w:spacing w:before="0" w:after="280" w:line="311" w:lineRule="exact"/>
        <w:ind w:left="0" w:right="0" w:firstLine="42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4"/>
        <w:keepNext/>
        <w:keepLines/>
        <w:widowControl w:val="0"/>
        <w:shd w:val="clear" w:color="auto" w:fill="auto"/>
        <w:tabs>
          <w:tab w:pos="448" w:val="left"/>
        </w:tabs>
        <w:bidi w:val="0"/>
        <w:spacing w:before="0" w:after="280" w:line="311" w:lineRule="exact"/>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72"/>
      <w:bookmarkEnd w:id="773"/>
      <w:bookmarkEnd w:id="775"/>
    </w:p>
    <w:p>
      <w:pPr>
        <w:pStyle w:val="Style29"/>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34"/>
        <w:keepNext/>
        <w:keepLines/>
        <w:widowControl w:val="0"/>
        <w:shd w:val="clear" w:color="auto" w:fill="auto"/>
        <w:tabs>
          <w:tab w:pos="448" w:val="left"/>
        </w:tabs>
        <w:bidi w:val="0"/>
        <w:spacing w:before="0" w:after="280" w:line="311" w:lineRule="exact"/>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76"/>
      <w:bookmarkEnd w:id="777"/>
      <w:bookmarkEnd w:id="779"/>
    </w:p>
    <w:p>
      <w:pPr>
        <w:pStyle w:val="Style69"/>
        <w:keepNext w:val="0"/>
        <w:keepLines w:val="0"/>
        <w:widowControl w:val="0"/>
        <w:shd w:val="clear" w:color="auto" w:fill="auto"/>
        <w:bidi w:val="0"/>
        <w:spacing w:before="0" w:after="0" w:line="312" w:lineRule="exact"/>
        <w:ind w:left="0" w:right="0" w:firstLine="42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69"/>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4"/>
        <w:keepNext/>
        <w:keepLines/>
        <w:widowControl w:val="0"/>
        <w:shd w:val="clear" w:color="auto" w:fill="auto"/>
        <w:tabs>
          <w:tab w:pos="448" w:val="left"/>
        </w:tabs>
        <w:bidi w:val="0"/>
        <w:spacing w:before="0" w:after="280" w:line="311" w:lineRule="exact"/>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5</w:t>
      </w:r>
      <w:r>
        <w:rPr>
          <w:color w:val="000000"/>
          <w:spacing w:val="0"/>
          <w:w w:val="100"/>
          <w:position w:val="0"/>
        </w:rPr>
        <w:t>）</w:t>
        <w:tab/>
        <w:t>对于存在修改条款和条件的情况的，本期的修改情况及相关会计处理</w:t>
      </w:r>
      <w:bookmarkEnd w:id="780"/>
      <w:bookmarkEnd w:id="781"/>
      <w:bookmarkEnd w:id="783"/>
    </w:p>
    <w:p>
      <w:pPr>
        <w:pStyle w:val="Style69"/>
        <w:keepNext w:val="0"/>
        <w:keepLines w:val="0"/>
        <w:widowControl w:val="0"/>
        <w:shd w:val="clear" w:color="auto" w:fill="auto"/>
        <w:bidi w:val="0"/>
        <w:spacing w:before="0" w:after="280" w:line="309" w:lineRule="exact"/>
        <w:ind w:left="0" w:right="0" w:firstLine="420"/>
        <w:jc w:val="both"/>
      </w:pPr>
      <w:r>
        <w:rPr>
          <w:color w:val="000000"/>
          <w:spacing w:val="0"/>
          <w:w w:val="100"/>
          <w:position w:val="0"/>
        </w:rPr>
        <w:t>若在等待期内取消了授予的权益工具（因未满足可行权条件而被取消的除外），本公司对取消所授予 的权益性工具作为加速行权处理，将剩余等待期内应确认的金额立即计入当期损益，同时确认资本公积。 职工或其他方能够选择满足非可行权条件但在等待期内未满足的，本公司将其作为授予权益工具的取消处 理。</w:t>
      </w:r>
    </w:p>
    <w:p>
      <w:pPr>
        <w:pStyle w:val="Style69"/>
        <w:keepNext w:val="0"/>
        <w:keepLines w:val="0"/>
        <w:widowControl w:val="0"/>
        <w:shd w:val="clear" w:color="auto" w:fill="auto"/>
        <w:tabs>
          <w:tab w:pos="438" w:val="left"/>
        </w:tabs>
        <w:bidi w:val="0"/>
        <w:spacing w:before="0" w:after="280" w:line="311" w:lineRule="exact"/>
        <w:ind w:left="0" w:right="0" w:firstLine="0"/>
        <w:jc w:val="left"/>
      </w:pPr>
      <w:bookmarkStart w:id="784" w:name="bookmark784"/>
      <w:r>
        <w:rPr>
          <w:rFonts w:ascii="Times New Roman" w:eastAsia="Times New Roman" w:hAnsi="Times New Roman" w:cs="Times New Roman"/>
          <w:b/>
          <w:bCs/>
          <w:color w:val="000000"/>
          <w:spacing w:val="0"/>
          <w:w w:val="100"/>
          <w:position w:val="0"/>
        </w:rPr>
        <w:t>2</w:t>
      </w:r>
      <w:bookmarkEnd w:id="784"/>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回购本公司股份</w:t>
      </w:r>
    </w:p>
    <w:p>
      <w:pPr>
        <w:pStyle w:val="Style69"/>
        <w:keepNext w:val="0"/>
        <w:keepLines w:val="0"/>
        <w:widowControl w:val="0"/>
        <w:shd w:val="clear" w:color="auto" w:fill="auto"/>
        <w:tabs>
          <w:tab w:pos="438" w:val="left"/>
        </w:tabs>
        <w:bidi w:val="0"/>
        <w:spacing w:before="0" w:after="280" w:line="311" w:lineRule="exact"/>
        <w:ind w:left="0" w:right="0" w:firstLine="0"/>
        <w:jc w:val="left"/>
      </w:pPr>
      <w:bookmarkStart w:id="785" w:name="bookmark785"/>
      <w:r>
        <w:rPr>
          <w:rFonts w:ascii="Times New Roman" w:eastAsia="Times New Roman" w:hAnsi="Times New Roman" w:cs="Times New Roman"/>
          <w:b/>
          <w:bCs/>
          <w:color w:val="000000"/>
          <w:spacing w:val="0"/>
          <w:w w:val="100"/>
          <w:position w:val="0"/>
        </w:rPr>
        <w:t>2</w:t>
      </w:r>
      <w:bookmarkEnd w:id="785"/>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收入</w:t>
      </w:r>
    </w:p>
    <w:p>
      <w:pPr>
        <w:pStyle w:val="Style69"/>
        <w:keepNext w:val="0"/>
        <w:keepLines w:val="0"/>
        <w:widowControl w:val="0"/>
        <w:shd w:val="clear" w:color="auto" w:fill="auto"/>
        <w:bidi w:val="0"/>
        <w:spacing w:before="0" w:after="280" w:line="311" w:lineRule="exact"/>
        <w:ind w:left="0" w:right="0" w:firstLine="0"/>
        <w:jc w:val="left"/>
      </w:pPr>
      <w:bookmarkStart w:id="786" w:name="bookmark786"/>
      <w:r>
        <w:rPr>
          <w:b/>
          <w:bCs/>
          <w:color w:val="000000"/>
          <w:spacing w:val="0"/>
          <w:w w:val="100"/>
          <w:position w:val="0"/>
        </w:rPr>
        <w:t>（</w:t>
      </w:r>
      <w:bookmarkEnd w:id="786"/>
      <w:r>
        <w:rPr>
          <w:rFonts w:ascii="Times New Roman" w:eastAsia="Times New Roman" w:hAnsi="Times New Roman" w:cs="Times New Roman"/>
          <w:b/>
          <w:bCs/>
          <w:color w:val="000000"/>
          <w:spacing w:val="0"/>
          <w:w w:val="100"/>
          <w:position w:val="0"/>
        </w:rPr>
        <w:t>1</w:t>
      </w:r>
      <w:r>
        <w:rPr>
          <w:b/>
          <w:bCs/>
          <w:color w:val="000000"/>
          <w:spacing w:val="0"/>
          <w:w w:val="100"/>
          <w:position w:val="0"/>
        </w:rPr>
        <w:t>）销售商品收入确认时间的具体判断标准</w:t>
      </w:r>
    </w:p>
    <w:p>
      <w:pPr>
        <w:pStyle w:val="Style29"/>
        <w:keepNext w:val="0"/>
        <w:keepLines w:val="0"/>
        <w:widowControl w:val="0"/>
        <w:shd w:val="clear" w:color="auto" w:fill="auto"/>
        <w:tabs>
          <w:tab w:pos="3509" w:val="left"/>
        </w:tabs>
        <w:bidi w:val="0"/>
        <w:spacing w:before="0" w:after="280" w:line="312" w:lineRule="exact"/>
        <w:ind w:left="0" w:right="0" w:firstLine="420"/>
        <w:jc w:val="both"/>
        <w:sectPr>
          <w:headerReference w:type="default" r:id="rId195"/>
          <w:footerReference w:type="default" r:id="rId196"/>
          <w:headerReference w:type="even" r:id="rId197"/>
          <w:footerReference w:type="even" r:id="rId198"/>
          <w:footnotePr>
            <w:pos w:val="pageBottom"/>
            <w:numFmt w:val="decimal"/>
            <w:numRestart w:val="continuous"/>
          </w:footnotePr>
          <w:type w:val="continuous"/>
          <w:pgSz w:w="11900" w:h="16840"/>
          <w:pgMar w:top="1378" w:right="913" w:bottom="1527" w:left="983" w:header="0" w:footer="3" w:gutter="0"/>
          <w:cols w:space="720"/>
          <w:noEndnote/>
          <w:rtlGutter w:val="0"/>
          <w:docGrid w:linePitch="360"/>
        </w:sectPr>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tab/>
        <w:t>具体地，成套开关设备收入确认的时点是：本公司与客户签订销售合同后，根</w:t>
      </w:r>
    </w:p>
    <w:p>
      <w:pPr>
        <w:pStyle w:val="Style29"/>
        <w:keepNext w:val="0"/>
        <w:keepLines w:val="0"/>
        <w:widowControl w:val="0"/>
        <w:shd w:val="clear" w:color="auto" w:fill="auto"/>
        <w:tabs>
          <w:tab w:pos="5002" w:val="left"/>
        </w:tabs>
        <w:bidi w:val="0"/>
        <w:spacing w:before="0" w:after="0" w:line="317" w:lineRule="exact"/>
        <w:ind w:left="0" w:right="0" w:firstLine="0"/>
        <w:jc w:val="left"/>
      </w:pPr>
      <w:r>
        <w:rPr>
          <w:color w:val="000000"/>
          <w:spacing w:val="0"/>
          <w:w w:val="100"/>
          <w:position w:val="0"/>
        </w:rPr>
        <w:t>据合同要求组织生产，产品完工后验收入库，根据客户要求开具出库单将产品发到指定地点进行安装调试，安装调试达到验 收标准后即获得收取货款的权利，据此开具发票确认收入。</w:t>
        <w:tab/>
        <w:t>其他产品确认的时点是：本公司根据合同要求组织生产，于</w:t>
      </w:r>
    </w:p>
    <w:p>
      <w:pPr>
        <w:pStyle w:val="Style29"/>
        <w:keepNext w:val="0"/>
        <w:keepLines w:val="0"/>
        <w:widowControl w:val="0"/>
        <w:shd w:val="clear" w:color="auto" w:fill="auto"/>
        <w:bidi w:val="0"/>
        <w:spacing w:before="0" w:after="300" w:line="317" w:lineRule="exact"/>
        <w:ind w:left="0" w:right="0" w:firstLine="0"/>
        <w:jc w:val="left"/>
      </w:pPr>
      <w:r>
        <w:rPr>
          <w:color w:val="000000"/>
          <w:spacing w:val="0"/>
          <w:w w:val="100"/>
          <w:position w:val="0"/>
        </w:rPr>
        <w:t>仓库发出产品，开具出库单，获得收取货款的权利，据此开具发票确认收入。</w:t>
      </w:r>
    </w:p>
    <w:p>
      <w:pPr>
        <w:pStyle w:val="Style34"/>
        <w:keepNext/>
        <w:keepLines/>
        <w:widowControl w:val="0"/>
        <w:shd w:val="clear" w:color="auto" w:fill="auto"/>
        <w:tabs>
          <w:tab w:pos="493" w:val="left"/>
        </w:tabs>
        <w:bidi w:val="0"/>
        <w:spacing w:before="0" w:after="300" w:line="316" w:lineRule="exact"/>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87"/>
      <w:bookmarkEnd w:id="788"/>
      <w:bookmarkEnd w:id="790"/>
    </w:p>
    <w:p>
      <w:pPr>
        <w:pStyle w:val="Style69"/>
        <w:keepNext w:val="0"/>
        <w:keepLines w:val="0"/>
        <w:widowControl w:val="0"/>
        <w:shd w:val="clear" w:color="auto" w:fill="auto"/>
        <w:bidi w:val="0"/>
        <w:spacing w:before="0" w:after="80" w:line="317" w:lineRule="exact"/>
        <w:ind w:left="0" w:right="0" w:firstLine="420"/>
        <w:jc w:val="both"/>
      </w:pPr>
      <w:r>
        <w:rPr>
          <w:color w:val="000000"/>
          <w:spacing w:val="0"/>
          <w:w w:val="100"/>
          <w:position w:val="0"/>
        </w:rPr>
        <w:t>与交易相关的经济利益很可能流入企业，收入的金额能够可靠地计量时。分别下列情况确定让渡资产 使用权收入金额：</w:t>
      </w:r>
    </w:p>
    <w:p>
      <w:pPr>
        <w:pStyle w:val="Style69"/>
        <w:keepNext w:val="0"/>
        <w:keepLines w:val="0"/>
        <w:widowControl w:val="0"/>
        <w:shd w:val="clear" w:color="auto" w:fill="auto"/>
        <w:tabs>
          <w:tab w:pos="733" w:val="left"/>
        </w:tabs>
        <w:bidi w:val="0"/>
        <w:spacing w:before="0" w:after="0" w:line="331" w:lineRule="auto"/>
        <w:ind w:left="0" w:right="0" w:firstLine="360"/>
        <w:jc w:val="left"/>
      </w:pPr>
      <w:bookmarkStart w:id="791" w:name="bookmark791"/>
      <w:r>
        <w:rPr>
          <w:rFonts w:ascii="Times New Roman" w:eastAsia="Times New Roman" w:hAnsi="Times New Roman" w:cs="Times New Roman"/>
          <w:color w:val="000000"/>
          <w:spacing w:val="0"/>
          <w:w w:val="100"/>
          <w:position w:val="0"/>
        </w:rPr>
        <w:t>1</w:t>
      </w:r>
      <w:bookmarkEnd w:id="791"/>
      <w:r>
        <w:rPr>
          <w:color w:val="000000"/>
          <w:spacing w:val="0"/>
          <w:w w:val="100"/>
          <w:position w:val="0"/>
        </w:rPr>
        <w:t>）</w:t>
        <w:tab/>
        <w:t>利息收入金额，按照他人使用本企业货币资金的时间和实际利率计算确定。</w:t>
      </w:r>
    </w:p>
    <w:p>
      <w:pPr>
        <w:pStyle w:val="Style69"/>
        <w:keepNext w:val="0"/>
        <w:keepLines w:val="0"/>
        <w:widowControl w:val="0"/>
        <w:shd w:val="clear" w:color="auto" w:fill="auto"/>
        <w:tabs>
          <w:tab w:pos="752" w:val="left"/>
        </w:tabs>
        <w:bidi w:val="0"/>
        <w:spacing w:before="0" w:after="180" w:line="331" w:lineRule="auto"/>
        <w:ind w:left="0" w:right="0" w:firstLine="360"/>
        <w:jc w:val="left"/>
      </w:pPr>
      <w:bookmarkStart w:id="792" w:name="bookmark792"/>
      <w:r>
        <w:rPr>
          <w:rFonts w:ascii="Times New Roman" w:eastAsia="Times New Roman" w:hAnsi="Times New Roman" w:cs="Times New Roman"/>
          <w:color w:val="000000"/>
          <w:spacing w:val="0"/>
          <w:w w:val="100"/>
          <w:position w:val="0"/>
        </w:rPr>
        <w:t>2</w:t>
      </w:r>
      <w:bookmarkEnd w:id="792"/>
      <w:r>
        <w:rPr>
          <w:color w:val="000000"/>
          <w:spacing w:val="0"/>
          <w:w w:val="100"/>
          <w:position w:val="0"/>
        </w:rPr>
        <w:t>）</w:t>
        <w:tab/>
        <w:t>使用费收入金额，按照有关合同或协议约定的收费时间和方法计算确定。</w:t>
      </w:r>
    </w:p>
    <w:p>
      <w:pPr>
        <w:pStyle w:val="Style34"/>
        <w:keepNext/>
        <w:keepLines/>
        <w:widowControl w:val="0"/>
        <w:shd w:val="clear" w:color="auto" w:fill="auto"/>
        <w:tabs>
          <w:tab w:pos="493" w:val="left"/>
        </w:tabs>
        <w:bidi w:val="0"/>
        <w:spacing w:before="0" w:after="300" w:line="316" w:lineRule="exact"/>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93"/>
      <w:bookmarkEnd w:id="794"/>
      <w:bookmarkEnd w:id="796"/>
    </w:p>
    <w:p>
      <w:pPr>
        <w:pStyle w:val="Style34"/>
        <w:keepNext/>
        <w:keepLines/>
        <w:widowControl w:val="0"/>
        <w:shd w:val="clear" w:color="auto" w:fill="auto"/>
        <w:tabs>
          <w:tab w:pos="493" w:val="left"/>
        </w:tabs>
        <w:bidi w:val="0"/>
        <w:spacing w:before="0" w:after="300" w:line="316" w:lineRule="exact"/>
        <w:ind w:left="0" w:right="0" w:firstLine="0"/>
        <w:jc w:val="left"/>
      </w:pPr>
      <w:bookmarkStart w:id="793" w:name="bookmark793"/>
      <w:bookmarkStart w:id="794" w:name="bookmark794"/>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793"/>
      <w:bookmarkEnd w:id="794"/>
      <w:bookmarkEnd w:id="798"/>
    </w:p>
    <w:p>
      <w:pPr>
        <w:pStyle w:val="Style69"/>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69"/>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69"/>
        <w:keepNext w:val="0"/>
        <w:keepLines w:val="0"/>
        <w:widowControl w:val="0"/>
        <w:shd w:val="clear" w:color="auto" w:fill="auto"/>
        <w:bidi w:val="0"/>
        <w:spacing w:before="0" w:after="0" w:line="316" w:lineRule="exact"/>
        <w:ind w:left="0" w:right="0" w:firstLine="360"/>
        <w:jc w:val="left"/>
      </w:pPr>
      <w:r>
        <w:rPr>
          <w:color w:val="000000"/>
          <w:spacing w:val="0"/>
          <w:w w:val="100"/>
          <w:position w:val="0"/>
        </w:rPr>
        <w:t>在资产负债表日提供劳务交易结果不能够可靠估计的，分别下列情况处理：</w:t>
      </w:r>
    </w:p>
    <w:p>
      <w:pPr>
        <w:pStyle w:val="Style69"/>
        <w:keepNext w:val="0"/>
        <w:keepLines w:val="0"/>
        <w:widowControl w:val="0"/>
        <w:shd w:val="clear" w:color="auto" w:fill="auto"/>
        <w:tabs>
          <w:tab w:pos="805" w:val="left"/>
        </w:tabs>
        <w:bidi w:val="0"/>
        <w:spacing w:before="0" w:after="0" w:line="316" w:lineRule="exact"/>
        <w:ind w:left="0" w:right="0" w:firstLine="420"/>
        <w:jc w:val="both"/>
      </w:pPr>
      <w:bookmarkStart w:id="799" w:name="bookmark799"/>
      <w:r>
        <w:rPr>
          <w:rFonts w:ascii="Times New Roman" w:eastAsia="Times New Roman" w:hAnsi="Times New Roman" w:cs="Times New Roman"/>
          <w:color w:val="000000"/>
          <w:spacing w:val="0"/>
          <w:w w:val="100"/>
          <w:position w:val="0"/>
        </w:rPr>
        <w:t>1</w:t>
      </w:r>
      <w:bookmarkEnd w:id="799"/>
      <w:r>
        <w:rPr>
          <w:color w:val="000000"/>
          <w:spacing w:val="0"/>
          <w:w w:val="100"/>
          <w:position w:val="0"/>
        </w:rPr>
        <w:t>）</w:t>
        <w:tab/>
        <w:t>已经发生的劳务成本预计能够得到补偿的，按照已经发生的劳务成本金额确认提供劳务收入，并 按相同金额结转劳务成本。</w:t>
      </w:r>
    </w:p>
    <w:p>
      <w:pPr>
        <w:pStyle w:val="Style69"/>
        <w:keepNext w:val="0"/>
        <w:keepLines w:val="0"/>
        <w:widowControl w:val="0"/>
        <w:shd w:val="clear" w:color="auto" w:fill="auto"/>
        <w:tabs>
          <w:tab w:pos="805" w:val="left"/>
        </w:tabs>
        <w:bidi w:val="0"/>
        <w:spacing w:before="0" w:after="0" w:line="316" w:lineRule="exact"/>
        <w:ind w:left="0" w:right="0" w:firstLine="420"/>
        <w:jc w:val="both"/>
      </w:pPr>
      <w:bookmarkStart w:id="800" w:name="bookmark800"/>
      <w:r>
        <w:rPr>
          <w:rFonts w:ascii="Times New Roman" w:eastAsia="Times New Roman" w:hAnsi="Times New Roman" w:cs="Times New Roman"/>
          <w:color w:val="000000"/>
          <w:spacing w:val="0"/>
          <w:w w:val="100"/>
          <w:position w:val="0"/>
        </w:rPr>
        <w:t>2</w:t>
      </w:r>
      <w:bookmarkEnd w:id="800"/>
      <w:r>
        <w:rPr>
          <w:color w:val="000000"/>
          <w:spacing w:val="0"/>
          <w:w w:val="100"/>
          <w:position w:val="0"/>
        </w:rPr>
        <w:t>）</w:t>
        <w:tab/>
        <w:t>已经发生的劳务成本预计不能够得到补偿的，将已经发生的劳务成本计入当期损益，不确认提供 劳务收入。</w:t>
      </w:r>
    </w:p>
    <w:p>
      <w:pPr>
        <w:pStyle w:val="Style69"/>
        <w:keepNext w:val="0"/>
        <w:keepLines w:val="0"/>
        <w:widowControl w:val="0"/>
        <w:shd w:val="clear" w:color="auto" w:fill="auto"/>
        <w:bidi w:val="0"/>
        <w:spacing w:before="0" w:after="380" w:line="316" w:lineRule="exact"/>
        <w:ind w:left="0" w:right="0" w:firstLine="360"/>
        <w:jc w:val="left"/>
      </w:pPr>
      <w:r>
        <w:rPr>
          <w:color w:val="000000"/>
          <w:spacing w:val="0"/>
          <w:w w:val="100"/>
          <w:position w:val="0"/>
        </w:rPr>
        <w:t>本公司与其他企业签订的合同或协议包括销售商品和提供劳务时，销售商品部分和提供劳务部分能够 区分且能够单独计量的，将销售商品的部分作为销售商品处理，将提供劳务的部分作为提供劳务处理。销 售商品部分和提供劳务部分不能够区分，或虽能区分但不能够单独计量的，将销售商品部分和提供劳务部 分全部作为销售商品处理。</w:t>
      </w:r>
    </w:p>
    <w:p>
      <w:pPr>
        <w:pStyle w:val="Style34"/>
        <w:keepNext/>
        <w:keepLines/>
        <w:widowControl w:val="0"/>
        <w:shd w:val="clear" w:color="auto" w:fill="auto"/>
        <w:bidi w:val="0"/>
        <w:spacing w:before="0" w:after="180" w:line="331"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801"/>
      <w:bookmarkEnd w:id="802"/>
      <w:bookmarkEnd w:id="804"/>
    </w:p>
    <w:p>
      <w:pPr>
        <w:pStyle w:val="Style34"/>
        <w:keepNext/>
        <w:keepLines/>
        <w:widowControl w:val="0"/>
        <w:shd w:val="clear" w:color="auto" w:fill="auto"/>
        <w:tabs>
          <w:tab w:pos="493" w:val="left"/>
        </w:tabs>
        <w:bidi w:val="0"/>
        <w:spacing w:before="0" w:after="300" w:line="316" w:lineRule="exact"/>
        <w:ind w:left="0" w:right="0" w:firstLine="0"/>
        <w:jc w:val="left"/>
      </w:pPr>
      <w:bookmarkStart w:id="801" w:name="bookmark801"/>
      <w:bookmarkStart w:id="802" w:name="bookmark802"/>
      <w:bookmarkStart w:id="805" w:name="bookmark805"/>
      <w:bookmarkStart w:id="806" w:name="bookmark806"/>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01"/>
      <w:bookmarkEnd w:id="802"/>
      <w:bookmarkEnd w:id="806"/>
    </w:p>
    <w:p>
      <w:pPr>
        <w:pStyle w:val="Style29"/>
        <w:keepNext w:val="0"/>
        <w:keepLines w:val="0"/>
        <w:widowControl w:val="0"/>
        <w:shd w:val="clear" w:color="auto" w:fill="auto"/>
        <w:tabs>
          <w:tab w:pos="7886" w:val="left"/>
        </w:tabs>
        <w:bidi w:val="0"/>
        <w:spacing w:before="0" w:after="0" w:line="312" w:lineRule="exact"/>
        <w:ind w:left="0" w:right="0" w:firstLine="420"/>
        <w:jc w:val="both"/>
      </w:pPr>
      <w:r>
        <w:rPr>
          <w:color w:val="000000"/>
          <w:spacing w:val="0"/>
          <w:w w:val="100"/>
          <w:position w:val="0"/>
        </w:rPr>
        <w:t>政府补助，是本公司从政府无偿取得的货币性资产与非货币性资产，但不包括政府作为企业所有者投入的资本。根据相 关政府文件规定的补助对象，将政府补助划分为与资产相关的政府补助和与收益相关的政府补助。</w:t>
        <w:tab/>
        <w:t>资产相关的政府补助，</w:t>
      </w:r>
    </w:p>
    <w:p>
      <w:pPr>
        <w:pStyle w:val="Style2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是指本公司取得的、用于购建或以其他方式形成长期资产的政府补助。与收益相关的政府补助，是指除与资产相关的政府补 助之外的政府补助。</w:t>
      </w:r>
    </w:p>
    <w:p>
      <w:pPr>
        <w:pStyle w:val="Style34"/>
        <w:keepNext/>
        <w:keepLines/>
        <w:widowControl w:val="0"/>
        <w:shd w:val="clear" w:color="auto" w:fill="auto"/>
        <w:tabs>
          <w:tab w:pos="493" w:val="left"/>
        </w:tabs>
        <w:bidi w:val="0"/>
        <w:spacing w:before="0" w:after="380" w:line="316" w:lineRule="exact"/>
        <w:ind w:left="0" w:right="0" w:firstLine="0"/>
        <w:jc w:val="left"/>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07"/>
      <w:bookmarkEnd w:id="808"/>
      <w:bookmarkEnd w:id="810"/>
    </w:p>
    <w:p>
      <w:pPr>
        <w:pStyle w:val="Style34"/>
        <w:keepNext/>
        <w:keepLines/>
        <w:widowControl w:val="0"/>
        <w:shd w:val="clear" w:color="auto" w:fill="auto"/>
        <w:bidi w:val="0"/>
        <w:spacing w:before="0" w:after="0" w:line="326" w:lineRule="auto"/>
        <w:ind w:left="0" w:right="0" w:firstLine="360"/>
        <w:jc w:val="left"/>
      </w:pPr>
      <w:bookmarkStart w:id="807" w:name="bookmark807"/>
      <w:bookmarkStart w:id="808" w:name="bookmark808"/>
      <w:bookmarkStart w:id="811" w:name="bookmark811"/>
      <w:r>
        <w:rPr>
          <w:rFonts w:ascii="Times New Roman" w:eastAsia="Times New Roman" w:hAnsi="Times New Roman" w:cs="Times New Roman"/>
          <w:color w:val="000000"/>
          <w:spacing w:val="0"/>
          <w:w w:val="100"/>
          <w:position w:val="0"/>
        </w:rPr>
        <w:t>1</w:t>
      </w:r>
      <w:r>
        <w:rPr>
          <w:color w:val="000000"/>
          <w:spacing w:val="0"/>
          <w:w w:val="100"/>
          <w:position w:val="0"/>
        </w:rPr>
        <w:t>）政府补助的确认</w:t>
      </w:r>
      <w:bookmarkEnd w:id="807"/>
      <w:bookmarkEnd w:id="808"/>
      <w:bookmarkEnd w:id="811"/>
    </w:p>
    <w:p>
      <w:pPr>
        <w:pStyle w:val="Style69"/>
        <w:keepNext w:val="0"/>
        <w:keepLines w:val="0"/>
        <w:widowControl w:val="0"/>
        <w:shd w:val="clear" w:color="auto" w:fill="auto"/>
        <w:bidi w:val="0"/>
        <w:spacing w:before="0" w:after="80" w:line="312" w:lineRule="exact"/>
        <w:ind w:left="0" w:right="0" w:firstLine="420"/>
        <w:jc w:val="left"/>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 xml:space="preserve">元）计量。按照名义金额计量的政府补助， </w:t>
      </w:r>
      <w:r>
        <w:rPr>
          <w:color w:val="000000"/>
          <w:spacing w:val="0"/>
          <w:w w:val="100"/>
          <w:position w:val="0"/>
        </w:rPr>
        <w:t>直接计入当期损益。</w:t>
      </w:r>
    </w:p>
    <w:p>
      <w:pPr>
        <w:pStyle w:val="Style34"/>
        <w:keepNext/>
        <w:keepLines/>
        <w:widowControl w:val="0"/>
        <w:shd w:val="clear" w:color="auto" w:fill="auto"/>
        <w:bidi w:val="0"/>
        <w:spacing w:before="0" w:after="0" w:line="326" w:lineRule="auto"/>
        <w:ind w:left="0" w:right="0" w:firstLine="360"/>
        <w:jc w:val="both"/>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2</w:t>
      </w:r>
      <w:r>
        <w:rPr>
          <w:color w:val="000000"/>
          <w:spacing w:val="0"/>
          <w:w w:val="100"/>
          <w:position w:val="0"/>
        </w:rPr>
        <w:t>）会计处理方法</w:t>
      </w:r>
      <w:bookmarkEnd w:id="812"/>
      <w:bookmarkEnd w:id="813"/>
      <w:bookmarkEnd w:id="814"/>
    </w:p>
    <w:p>
      <w:pPr>
        <w:pStyle w:val="Style69"/>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69"/>
        <w:keepNext w:val="0"/>
        <w:keepLines w:val="0"/>
        <w:widowControl w:val="0"/>
        <w:shd w:val="clear" w:color="auto" w:fill="auto"/>
        <w:bidi w:val="0"/>
        <w:spacing w:before="0" w:after="280" w:line="313" w:lineRule="exact"/>
        <w:ind w:left="0" w:right="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4"/>
        <w:keepNext/>
        <w:keepLines/>
        <w:widowControl w:val="0"/>
        <w:shd w:val="clear" w:color="auto" w:fill="auto"/>
        <w:tabs>
          <w:tab w:pos="483" w:val="left"/>
        </w:tabs>
        <w:bidi w:val="0"/>
        <w:spacing w:before="0" w:after="280" w:line="316" w:lineRule="exact"/>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15"/>
      <w:bookmarkEnd w:id="816"/>
      <w:bookmarkEnd w:id="818"/>
    </w:p>
    <w:p>
      <w:pPr>
        <w:pStyle w:val="Style34"/>
        <w:keepNext/>
        <w:keepLines/>
        <w:widowControl w:val="0"/>
        <w:shd w:val="clear" w:color="auto" w:fill="auto"/>
        <w:tabs>
          <w:tab w:pos="493" w:val="left"/>
        </w:tabs>
        <w:bidi w:val="0"/>
        <w:spacing w:before="0" w:after="280" w:line="316" w:lineRule="exact"/>
        <w:ind w:left="0" w:right="0" w:firstLine="0"/>
        <w:jc w:val="left"/>
      </w:pPr>
      <w:bookmarkStart w:id="815" w:name="bookmark815"/>
      <w:bookmarkStart w:id="816" w:name="bookmark816"/>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15"/>
      <w:bookmarkEnd w:id="816"/>
      <w:bookmarkEnd w:id="820"/>
    </w:p>
    <w:p>
      <w:pPr>
        <w:pStyle w:val="Style29"/>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公司以很可能取得用来抵扣可抵扣暂时性差异的应纳税所得额为限，确认由可抵扣暂时性差异产生的递延所得税资产。</w:t>
      </w:r>
    </w:p>
    <w:p>
      <w:pPr>
        <w:pStyle w:val="Style34"/>
        <w:keepNext/>
        <w:keepLines/>
        <w:widowControl w:val="0"/>
        <w:shd w:val="clear" w:color="auto" w:fill="auto"/>
        <w:tabs>
          <w:tab w:pos="493" w:val="left"/>
        </w:tabs>
        <w:bidi w:val="0"/>
        <w:spacing w:before="0" w:after="280" w:line="316" w:lineRule="exact"/>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21"/>
      <w:bookmarkEnd w:id="822"/>
      <w:bookmarkEnd w:id="824"/>
    </w:p>
    <w:p>
      <w:pPr>
        <w:pStyle w:val="Style29"/>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公司将当期与以前期间应交未交的应纳税暂时性差异确认为递延所得税负债。但不包括商誉、非企业合并形成的交易 且该交易发生时既不影响会计利润也不影响应纳税所得额所形成的暂时性差异。</w:t>
      </w:r>
    </w:p>
    <w:p>
      <w:pPr>
        <w:pStyle w:val="Style34"/>
        <w:keepNext/>
        <w:keepLines/>
        <w:widowControl w:val="0"/>
        <w:shd w:val="clear" w:color="auto" w:fill="auto"/>
        <w:tabs>
          <w:tab w:pos="483" w:val="left"/>
        </w:tabs>
        <w:bidi w:val="0"/>
        <w:spacing w:before="0" w:after="280" w:line="316" w:lineRule="exact"/>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25"/>
      <w:bookmarkEnd w:id="826"/>
      <w:bookmarkEnd w:id="828"/>
    </w:p>
    <w:p>
      <w:pPr>
        <w:pStyle w:val="Style34"/>
        <w:keepNext/>
        <w:keepLines/>
        <w:widowControl w:val="0"/>
        <w:shd w:val="clear" w:color="auto" w:fill="auto"/>
        <w:bidi w:val="0"/>
        <w:spacing w:before="0" w:after="280" w:line="316" w:lineRule="exact"/>
        <w:ind w:left="0" w:right="0" w:firstLine="0"/>
        <w:jc w:val="left"/>
      </w:pPr>
      <w:bookmarkStart w:id="825" w:name="bookmark825"/>
      <w:bookmarkStart w:id="826" w:name="bookmark826"/>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825"/>
      <w:bookmarkEnd w:id="826"/>
      <w:bookmarkEnd w:id="830"/>
    </w:p>
    <w:p>
      <w:pPr>
        <w:pStyle w:val="Style69"/>
        <w:keepNext w:val="0"/>
        <w:keepLines w:val="0"/>
        <w:widowControl w:val="0"/>
        <w:shd w:val="clear" w:color="auto" w:fill="auto"/>
        <w:tabs>
          <w:tab w:pos="800" w:val="left"/>
        </w:tabs>
        <w:bidi w:val="0"/>
        <w:spacing w:before="0" w:after="0" w:line="316" w:lineRule="exact"/>
        <w:ind w:left="0" w:right="0"/>
        <w:jc w:val="both"/>
      </w:pPr>
      <w:bookmarkStart w:id="831" w:name="bookmark831"/>
      <w:r>
        <w:rPr>
          <w:rFonts w:ascii="Times New Roman" w:eastAsia="Times New Roman" w:hAnsi="Times New Roman" w:cs="Times New Roman"/>
          <w:color w:val="000000"/>
          <w:spacing w:val="0"/>
          <w:w w:val="100"/>
          <w:position w:val="0"/>
        </w:rPr>
        <w:t>1</w:t>
      </w:r>
      <w:bookmarkEnd w:id="831"/>
      <w:r>
        <w:rPr>
          <w:color w:val="000000"/>
          <w:spacing w:val="0"/>
          <w:w w:val="100"/>
          <w:position w:val="0"/>
        </w:rPr>
        <w:t>）</w:t>
        <w:tab/>
        <w:t>公司租入资产所支付的租赁费，在不扣除免租期的整个租赁期内，按直线法进行分摊，计入当期 费用。公司支付的与租赁交易相关的初始直接费用，计入当期费用。</w:t>
      </w:r>
    </w:p>
    <w:p>
      <w:pPr>
        <w:pStyle w:val="Style69"/>
        <w:keepNext w:val="0"/>
        <w:keepLines w:val="0"/>
        <w:widowControl w:val="0"/>
        <w:shd w:val="clear" w:color="auto" w:fill="auto"/>
        <w:bidi w:val="0"/>
        <w:spacing w:before="0" w:after="0" w:line="316" w:lineRule="exact"/>
        <w:ind w:left="0" w:right="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69"/>
        <w:keepNext w:val="0"/>
        <w:keepLines w:val="0"/>
        <w:widowControl w:val="0"/>
        <w:shd w:val="clear" w:color="auto" w:fill="auto"/>
        <w:bidi w:val="0"/>
        <w:spacing w:before="0" w:after="0" w:line="316" w:lineRule="exact"/>
        <w:ind w:left="0" w:right="0"/>
        <w:jc w:val="both"/>
      </w:pPr>
      <w:bookmarkStart w:id="832" w:name="bookmark832"/>
      <w:r>
        <w:rPr>
          <w:rFonts w:ascii="Times New Roman" w:eastAsia="Times New Roman" w:hAnsi="Times New Roman" w:cs="Times New Roman"/>
          <w:color w:val="000000"/>
          <w:spacing w:val="0"/>
          <w:w w:val="100"/>
          <w:position w:val="0"/>
        </w:rPr>
        <w:t>2</w:t>
      </w:r>
      <w:bookmarkEnd w:id="832"/>
      <w:r>
        <w:rPr>
          <w:color w:val="000000"/>
          <w:spacing w:val="0"/>
          <w:w w:val="100"/>
          <w:position w:val="0"/>
        </w:rPr>
        <w:t>） 公司出租资产所收取的租赁费，在不扣除免租期的整个租赁期内，按直线法进行分摊，确认为租 赁收入。公司支付的与租赁交易相关的初始直接费用，计入当期费用；如金额较大的，则予以资本化，在 整个租赁期间内按照与租赁收入确认相同的基础分期计入当期收益。</w:t>
      </w:r>
    </w:p>
    <w:p>
      <w:pPr>
        <w:pStyle w:val="Style69"/>
        <w:keepNext w:val="0"/>
        <w:keepLines w:val="0"/>
        <w:widowControl w:val="0"/>
        <w:shd w:val="clear" w:color="auto" w:fill="auto"/>
        <w:bidi w:val="0"/>
        <w:spacing w:before="0" w:after="600" w:line="316" w:lineRule="exact"/>
        <w:ind w:left="0" w:right="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4"/>
        <w:keepNext/>
        <w:keepLines/>
        <w:widowControl w:val="0"/>
        <w:shd w:val="clear" w:color="auto" w:fill="auto"/>
        <w:bidi w:val="0"/>
        <w:spacing w:before="0" w:after="280" w:line="314"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833"/>
      <w:bookmarkEnd w:id="834"/>
      <w:bookmarkEnd w:id="836"/>
    </w:p>
    <w:p>
      <w:pPr>
        <w:pStyle w:val="Style69"/>
        <w:keepNext w:val="0"/>
        <w:keepLines w:val="0"/>
        <w:widowControl w:val="0"/>
        <w:shd w:val="clear" w:color="auto" w:fill="auto"/>
        <w:tabs>
          <w:tab w:pos="805" w:val="left"/>
        </w:tabs>
        <w:bidi w:val="0"/>
        <w:spacing w:before="0" w:after="0" w:line="314" w:lineRule="exact"/>
        <w:ind w:left="0" w:right="0"/>
        <w:jc w:val="both"/>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69"/>
        <w:keepNext w:val="0"/>
        <w:keepLines w:val="0"/>
        <w:widowControl w:val="0"/>
        <w:shd w:val="clear" w:color="auto" w:fill="auto"/>
        <w:bidi w:val="0"/>
        <w:spacing w:before="0" w:after="0" w:line="314" w:lineRule="exact"/>
        <w:ind w:left="0" w:right="0"/>
        <w:jc w:val="left"/>
      </w:pPr>
      <w:r>
        <w:rPr>
          <w:color w:val="000000"/>
          <w:spacing w:val="0"/>
          <w:w w:val="100"/>
          <w:position w:val="0"/>
        </w:rPr>
        <w:t>公司采用实际利率法对未确认的融资费用，在资产租赁期间内摊销，计入财务费用。</w:t>
      </w:r>
    </w:p>
    <w:p>
      <w:pPr>
        <w:pStyle w:val="Style69"/>
        <w:keepNext w:val="0"/>
        <w:keepLines w:val="0"/>
        <w:widowControl w:val="0"/>
        <w:shd w:val="clear" w:color="auto" w:fill="auto"/>
        <w:tabs>
          <w:tab w:pos="810" w:val="left"/>
        </w:tabs>
        <w:bidi w:val="0"/>
        <w:spacing w:before="0" w:after="280" w:line="314" w:lineRule="exact"/>
        <w:ind w:left="0" w:right="0"/>
        <w:jc w:val="both"/>
        <w:sectPr>
          <w:headerReference w:type="default" r:id="rId199"/>
          <w:footerReference w:type="default" r:id="rId200"/>
          <w:headerReference w:type="even" r:id="rId201"/>
          <w:footerReference w:type="even" r:id="rId202"/>
          <w:footnotePr>
            <w:pos w:val="pageBottom"/>
            <w:numFmt w:val="decimal"/>
            <w:numRestart w:val="continuous"/>
          </w:footnotePr>
          <w:type w:val="continuous"/>
          <w:pgSz w:w="11900" w:h="16840"/>
          <w:pgMar w:top="1378" w:right="913" w:bottom="1527" w:left="983" w:header="0" w:footer="3" w:gutter="0"/>
          <w:cols w:space="720"/>
          <w:noEndnote/>
          <w:rtlGutter w:val="0"/>
          <w:docGrid w:linePitch="360"/>
        </w:sectPr>
      </w:pPr>
      <w:bookmarkStart w:id="838" w:name="bookmark838"/>
      <w:r>
        <w:rPr>
          <w:rFonts w:ascii="Times New Roman" w:eastAsia="Times New Roman" w:hAnsi="Times New Roman" w:cs="Times New Roman"/>
          <w:color w:val="000000"/>
          <w:spacing w:val="0"/>
          <w:w w:val="100"/>
          <w:position w:val="0"/>
        </w:rPr>
        <w:t>2</w:t>
      </w:r>
      <w:bookmarkEnd w:id="838"/>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69"/>
        <w:keepNext w:val="0"/>
        <w:keepLines w:val="0"/>
        <w:widowControl w:val="0"/>
        <w:numPr>
          <w:ilvl w:val="0"/>
          <w:numId w:val="9"/>
        </w:numPr>
        <w:shd w:val="clear" w:color="auto" w:fill="auto"/>
        <w:bidi w:val="0"/>
        <w:spacing w:before="0" w:after="360" w:line="240" w:lineRule="auto"/>
        <w:ind w:left="0" w:right="0" w:firstLine="0"/>
        <w:jc w:val="left"/>
      </w:pPr>
      <w:bookmarkStart w:id="839" w:name="bookmark839"/>
      <w:bookmarkEnd w:id="839"/>
      <w:r>
        <w:rPr>
          <w:b/>
          <w:bCs/>
          <w:color w:val="000000"/>
          <w:spacing w:val="0"/>
          <w:w w:val="100"/>
          <w:position w:val="0"/>
        </w:rPr>
        <w:t>售后租回的会计处理</w:t>
      </w:r>
    </w:p>
    <w:p>
      <w:pPr>
        <w:pStyle w:val="Style69"/>
        <w:keepNext w:val="0"/>
        <w:keepLines w:val="0"/>
        <w:widowControl w:val="0"/>
        <w:shd w:val="clear" w:color="auto" w:fill="auto"/>
        <w:tabs>
          <w:tab w:pos="483" w:val="left"/>
        </w:tabs>
        <w:bidi w:val="0"/>
        <w:spacing w:before="0" w:after="360" w:line="240" w:lineRule="auto"/>
        <w:ind w:left="0" w:right="0" w:firstLine="0"/>
        <w:jc w:val="left"/>
      </w:pPr>
      <w:bookmarkStart w:id="840" w:name="bookmark840"/>
      <w:r>
        <w:rPr>
          <w:rFonts w:ascii="Times New Roman" w:eastAsia="Times New Roman" w:hAnsi="Times New Roman" w:cs="Times New Roman"/>
          <w:b/>
          <w:bCs/>
          <w:color w:val="000000"/>
          <w:spacing w:val="0"/>
          <w:w w:val="100"/>
          <w:position w:val="0"/>
        </w:rPr>
        <w:t>3</w:t>
      </w:r>
      <w:bookmarkEnd w:id="840"/>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持有待售资产</w:t>
      </w:r>
    </w:p>
    <w:p>
      <w:pPr>
        <w:pStyle w:val="Style69"/>
        <w:keepNext w:val="0"/>
        <w:keepLines w:val="0"/>
        <w:widowControl w:val="0"/>
        <w:numPr>
          <w:ilvl w:val="0"/>
          <w:numId w:val="11"/>
        </w:numPr>
        <w:shd w:val="clear" w:color="auto" w:fill="auto"/>
        <w:tabs>
          <w:tab w:pos="493" w:val="left"/>
        </w:tabs>
        <w:bidi w:val="0"/>
        <w:spacing w:before="0" w:after="360" w:line="240" w:lineRule="auto"/>
        <w:ind w:left="0" w:right="0" w:firstLine="0"/>
        <w:jc w:val="left"/>
      </w:pPr>
      <w:bookmarkStart w:id="841" w:name="bookmark841"/>
      <w:bookmarkEnd w:id="841"/>
      <w:r>
        <w:rPr>
          <w:b/>
          <w:bCs/>
          <w:color w:val="000000"/>
          <w:spacing w:val="0"/>
          <w:w w:val="100"/>
          <w:position w:val="0"/>
        </w:rPr>
        <w:t>持有待售资产确认标准</w:t>
      </w:r>
    </w:p>
    <w:p>
      <w:pPr>
        <w:pStyle w:val="Style69"/>
        <w:keepNext w:val="0"/>
        <w:keepLines w:val="0"/>
        <w:widowControl w:val="0"/>
        <w:numPr>
          <w:ilvl w:val="0"/>
          <w:numId w:val="11"/>
        </w:numPr>
        <w:shd w:val="clear" w:color="auto" w:fill="auto"/>
        <w:tabs>
          <w:tab w:pos="493" w:val="left"/>
        </w:tabs>
        <w:bidi w:val="0"/>
        <w:spacing w:before="0" w:after="360" w:line="240" w:lineRule="auto"/>
        <w:ind w:left="0" w:right="0" w:firstLine="0"/>
        <w:jc w:val="left"/>
      </w:pPr>
      <w:bookmarkStart w:id="842" w:name="bookmark842"/>
      <w:bookmarkEnd w:id="842"/>
      <w:r>
        <w:rPr>
          <w:b/>
          <w:bCs/>
          <w:color w:val="000000"/>
          <w:spacing w:val="0"/>
          <w:w w:val="100"/>
          <w:position w:val="0"/>
        </w:rPr>
        <w:t>持有待售资产的会计处理方法</w:t>
      </w:r>
    </w:p>
    <w:p>
      <w:pPr>
        <w:pStyle w:val="Style69"/>
        <w:keepNext w:val="0"/>
        <w:keepLines w:val="0"/>
        <w:widowControl w:val="0"/>
        <w:shd w:val="clear" w:color="auto" w:fill="auto"/>
        <w:tabs>
          <w:tab w:pos="483" w:val="left"/>
        </w:tabs>
        <w:bidi w:val="0"/>
        <w:spacing w:before="0" w:after="360" w:line="240" w:lineRule="auto"/>
        <w:ind w:left="0" w:right="0" w:firstLine="0"/>
        <w:jc w:val="left"/>
      </w:pPr>
      <w:bookmarkStart w:id="843" w:name="bookmark843"/>
      <w:r>
        <w:rPr>
          <w:rFonts w:ascii="Times New Roman" w:eastAsia="Times New Roman" w:hAnsi="Times New Roman" w:cs="Times New Roman"/>
          <w:b/>
          <w:bCs/>
          <w:color w:val="000000"/>
          <w:spacing w:val="0"/>
          <w:w w:val="100"/>
          <w:position w:val="0"/>
        </w:rPr>
        <w:t>3</w:t>
      </w:r>
      <w:bookmarkEnd w:id="84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资产证券化业务</w:t>
      </w:r>
    </w:p>
    <w:p>
      <w:pPr>
        <w:pStyle w:val="Style69"/>
        <w:keepNext w:val="0"/>
        <w:keepLines w:val="0"/>
        <w:widowControl w:val="0"/>
        <w:shd w:val="clear" w:color="auto" w:fill="auto"/>
        <w:tabs>
          <w:tab w:pos="483" w:val="left"/>
        </w:tabs>
        <w:bidi w:val="0"/>
        <w:spacing w:before="0" w:after="360" w:line="240" w:lineRule="auto"/>
        <w:ind w:left="0" w:right="0" w:firstLine="0"/>
        <w:jc w:val="left"/>
      </w:pPr>
      <w:bookmarkStart w:id="844" w:name="bookmark844"/>
      <w:r>
        <w:rPr>
          <w:rFonts w:ascii="Times New Roman" w:eastAsia="Times New Roman" w:hAnsi="Times New Roman" w:cs="Times New Roman"/>
          <w:b/>
          <w:bCs/>
          <w:color w:val="000000"/>
          <w:spacing w:val="0"/>
          <w:w w:val="100"/>
          <w:position w:val="0"/>
        </w:rPr>
        <w:t>3</w:t>
      </w:r>
      <w:bookmarkEnd w:id="84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套期会计</w:t>
      </w:r>
    </w:p>
    <w:p>
      <w:pPr>
        <w:pStyle w:val="Style69"/>
        <w:keepNext w:val="0"/>
        <w:keepLines w:val="0"/>
        <w:widowControl w:val="0"/>
        <w:shd w:val="clear" w:color="auto" w:fill="auto"/>
        <w:tabs>
          <w:tab w:pos="483" w:val="left"/>
        </w:tabs>
        <w:bidi w:val="0"/>
        <w:spacing w:before="0" w:after="360" w:line="240" w:lineRule="auto"/>
        <w:ind w:left="0" w:right="0" w:firstLine="0"/>
        <w:jc w:val="left"/>
      </w:pPr>
      <w:bookmarkStart w:id="845" w:name="bookmark845"/>
      <w:r>
        <w:rPr>
          <w:rFonts w:ascii="Times New Roman" w:eastAsia="Times New Roman" w:hAnsi="Times New Roman" w:cs="Times New Roman"/>
          <w:b/>
          <w:bCs/>
          <w:color w:val="000000"/>
          <w:spacing w:val="0"/>
          <w:w w:val="100"/>
          <w:position w:val="0"/>
        </w:rPr>
        <w:t>3</w:t>
      </w:r>
      <w:bookmarkEnd w:id="84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主要会计政策、会计估计的变更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6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本报告期主要会计政策、会计估计未变更。</w:t>
      </w:r>
    </w:p>
    <w:p>
      <w:pPr>
        <w:pStyle w:val="Style34"/>
        <w:keepNext/>
        <w:keepLines/>
        <w:widowControl w:val="0"/>
        <w:numPr>
          <w:ilvl w:val="0"/>
          <w:numId w:val="13"/>
        </w:numPr>
        <w:shd w:val="clear" w:color="auto" w:fill="auto"/>
        <w:tabs>
          <w:tab w:pos="493" w:val="left"/>
        </w:tabs>
        <w:bidi w:val="0"/>
        <w:spacing w:before="0" w:after="360" w:line="240" w:lineRule="auto"/>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会计政策变更</w:t>
      </w:r>
      <w:bookmarkEnd w:id="846"/>
      <w:bookmarkEnd w:id="847"/>
      <w:bookmarkEnd w:id="84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本报告期主要会计政策未变更。</w:t>
      </w:r>
    </w:p>
    <w:p>
      <w:pPr>
        <w:pStyle w:val="Style34"/>
        <w:keepNext/>
        <w:keepLines/>
        <w:widowControl w:val="0"/>
        <w:numPr>
          <w:ilvl w:val="0"/>
          <w:numId w:val="13"/>
        </w:numPr>
        <w:shd w:val="clear" w:color="auto" w:fill="auto"/>
        <w:tabs>
          <w:tab w:pos="493" w:val="left"/>
        </w:tabs>
        <w:bidi w:val="0"/>
        <w:spacing w:before="0" w:after="360" w:line="240" w:lineRule="auto"/>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会计估计变更</w:t>
      </w:r>
      <w:bookmarkEnd w:id="850"/>
      <w:bookmarkEnd w:id="851"/>
      <w:bookmarkEnd w:id="85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本报告期主要会计估计未变更。</w:t>
      </w:r>
    </w:p>
    <w:p>
      <w:pPr>
        <w:pStyle w:val="Style34"/>
        <w:keepNext/>
        <w:keepLines/>
        <w:widowControl w:val="0"/>
        <w:shd w:val="clear" w:color="auto" w:fill="auto"/>
        <w:tabs>
          <w:tab w:pos="483" w:val="left"/>
        </w:tabs>
        <w:bidi w:val="0"/>
        <w:spacing w:before="0" w:after="36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3</w:t>
      </w:r>
      <w:bookmarkEnd w:id="856"/>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54"/>
      <w:bookmarkEnd w:id="855"/>
      <w:bookmarkEnd w:id="85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本报告期未发现前期会计差错。</w:t>
      </w:r>
    </w:p>
    <w:p>
      <w:pPr>
        <w:pStyle w:val="Style34"/>
        <w:keepNext/>
        <w:keepLines/>
        <w:widowControl w:val="0"/>
        <w:numPr>
          <w:ilvl w:val="0"/>
          <w:numId w:val="15"/>
        </w:numPr>
        <w:shd w:val="clear" w:color="auto" w:fill="auto"/>
        <w:bidi w:val="0"/>
        <w:spacing w:before="0" w:after="360" w:line="240" w:lineRule="auto"/>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追溯重述法</w:t>
      </w:r>
      <w:bookmarkEnd w:id="858"/>
      <w:bookmarkEnd w:id="859"/>
      <w:bookmarkEnd w:id="86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9"/>
        <w:keepNext w:val="0"/>
        <w:keepLines w:val="0"/>
        <w:widowControl w:val="0"/>
        <w:shd w:val="clear" w:color="auto" w:fill="auto"/>
        <w:bidi w:val="0"/>
        <w:spacing w:before="0" w:after="540" w:line="240" w:lineRule="auto"/>
        <w:ind w:left="0" w:right="0" w:firstLine="0"/>
        <w:jc w:val="left"/>
      </w:pPr>
      <w:r>
        <w:rPr>
          <w:color w:val="000000"/>
          <w:spacing w:val="0"/>
          <w:w w:val="100"/>
          <w:position w:val="0"/>
        </w:rPr>
        <w:t>本报告期未发现采用追溯重述法的前期差错。</w:t>
      </w:r>
    </w:p>
    <w:p>
      <w:pPr>
        <w:widowControl w:val="0"/>
        <w:jc w:val="center"/>
        <w:rPr>
          <w:sz w:val="2"/>
          <w:szCs w:val="2"/>
        </w:r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470" w:right="1023" w:bottom="1" w:left="1104" w:header="0" w:footer="3" w:gutter="0"/>
          <w:cols w:space="720"/>
          <w:noEndnote/>
          <w:rtlGutter w:val="0"/>
          <w:docGrid w:linePitch="360"/>
        </w:sectPr>
      </w:pPr>
      <w:r>
        <w:drawing>
          <wp:inline>
            <wp:extent cx="1718945" cy="981710"/>
            <wp:docPr id="553" name="Picutre 553"/>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207"/>
                    <a:stretch/>
                  </pic:blipFill>
                  <pic:spPr>
                    <a:xfrm>
                      <a:ext cx="1718945" cy="981710"/>
                    </a:xfrm>
                    <a:prstGeom prst="rect"/>
                  </pic:spPr>
                </pic:pic>
              </a:graphicData>
            </a:graphic>
          </wp:inline>
        </w:drawing>
      </w:r>
    </w:p>
    <w:p>
      <w:pPr>
        <w:pStyle w:val="Style34"/>
        <w:keepNext/>
        <w:keepLines/>
        <w:widowControl w:val="0"/>
        <w:shd w:val="clear" w:color="auto" w:fill="auto"/>
        <w:bidi w:val="0"/>
        <w:spacing w:before="80" w:after="400" w:line="240" w:lineRule="auto"/>
        <w:ind w:left="0" w:right="0" w:firstLine="0"/>
        <w:jc w:val="both"/>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862"/>
      <w:bookmarkEnd w:id="863"/>
      <w:bookmarkEnd w:id="865"/>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本报告期是否发现采用未来适用法的前期会计差错</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6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本报告期未发现采用未来适用法的前期会计差错。</w:t>
      </w:r>
    </w:p>
    <w:p>
      <w:pPr>
        <w:pStyle w:val="Style34"/>
        <w:keepNext/>
        <w:keepLines/>
        <w:widowControl w:val="0"/>
        <w:shd w:val="clear" w:color="auto" w:fill="auto"/>
        <w:bidi w:val="0"/>
        <w:spacing w:before="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3</w:t>
      </w:r>
      <w:bookmarkEnd w:id="868"/>
      <w:r>
        <w:rPr>
          <w:rFonts w:ascii="Times New Roman" w:eastAsia="Times New Roman" w:hAnsi="Times New Roman" w:cs="Times New Roman"/>
          <w:color w:val="000000"/>
          <w:spacing w:val="0"/>
          <w:w w:val="100"/>
          <w:position w:val="0"/>
        </w:rPr>
        <w:t>5</w:t>
      </w:r>
      <w:r>
        <w:rPr>
          <w:color w:val="000000"/>
          <w:spacing w:val="0"/>
          <w:w w:val="100"/>
          <w:position w:val="0"/>
        </w:rPr>
        <w:t>、其他主要会计政策、会计估计和财务报表编制方法</w:t>
      </w:r>
      <w:bookmarkEnd w:id="866"/>
      <w:bookmarkEnd w:id="867"/>
      <w:bookmarkEnd w:id="869"/>
    </w:p>
    <w:p>
      <w:pPr>
        <w:pStyle w:val="Style25"/>
        <w:keepNext/>
        <w:keepLines/>
        <w:widowControl w:val="0"/>
        <w:shd w:val="clear" w:color="auto" w:fill="auto"/>
        <w:bidi w:val="0"/>
        <w:spacing w:before="0" w:after="340" w:line="240" w:lineRule="auto"/>
        <w:ind w:left="0" w:right="0" w:firstLine="0"/>
        <w:jc w:val="both"/>
      </w:pPr>
      <w:bookmarkStart w:id="870" w:name="bookmark870"/>
      <w:bookmarkStart w:id="871" w:name="bookmark871"/>
      <w:bookmarkStart w:id="872" w:name="bookmark872"/>
      <w:bookmarkStart w:id="873" w:name="bookmark873"/>
      <w:r>
        <w:rPr>
          <w:color w:val="000000"/>
          <w:spacing w:val="0"/>
          <w:w w:val="100"/>
          <w:position w:val="0"/>
          <w:sz w:val="24"/>
          <w:szCs w:val="24"/>
        </w:rPr>
        <w:t>五</w:t>
      </w:r>
      <w:bookmarkEnd w:id="872"/>
      <w:r>
        <w:rPr>
          <w:color w:val="000000"/>
          <w:spacing w:val="0"/>
          <w:w w:val="100"/>
          <w:position w:val="0"/>
          <w:sz w:val="24"/>
          <w:szCs w:val="24"/>
        </w:rPr>
        <w:t>、税项</w:t>
      </w:r>
      <w:bookmarkEnd w:id="870"/>
      <w:bookmarkEnd w:id="871"/>
      <w:bookmarkEnd w:id="873"/>
    </w:p>
    <w:p>
      <w:pPr>
        <w:pStyle w:val="Style34"/>
        <w:keepNext/>
        <w:keepLines/>
        <w:widowControl w:val="0"/>
        <w:shd w:val="clear" w:color="auto" w:fill="auto"/>
        <w:bidi w:val="0"/>
        <w:spacing w:before="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color w:val="000000"/>
          <w:spacing w:val="0"/>
          <w:w w:val="100"/>
          <w:position w:val="0"/>
        </w:rPr>
        <w:t>、公司主要税种和税率</w:t>
      </w:r>
      <w:bookmarkEnd w:id="874"/>
      <w:bookmarkEnd w:id="875"/>
      <w:bookmarkEnd w:id="877"/>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销售货物或提供加工、修理修配劳务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服务等收入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29"/>
        <w:keepNext w:val="0"/>
        <w:keepLines w:val="0"/>
        <w:widowControl w:val="0"/>
        <w:shd w:val="clear" w:color="auto" w:fill="auto"/>
        <w:bidi w:val="0"/>
        <w:spacing w:before="0" w:after="220" w:line="240" w:lineRule="auto"/>
        <w:ind w:left="0" w:right="0" w:firstLine="0"/>
        <w:jc w:val="both"/>
      </w:pPr>
      <w:r>
        <w:rPr>
          <w:color w:val="000000"/>
          <w:spacing w:val="0"/>
          <w:w w:val="100"/>
          <w:position w:val="0"/>
        </w:rPr>
        <w:t>各分公司、分厂执行的所得税税率</w:t>
      </w:r>
    </w:p>
    <w:p>
      <w:pPr>
        <w:pStyle w:val="Style34"/>
        <w:keepNext/>
        <w:keepLines/>
        <w:widowControl w:val="0"/>
        <w:shd w:val="clear" w:color="auto" w:fill="auto"/>
        <w:bidi w:val="0"/>
        <w:spacing w:before="0" w:after="0" w:line="240" w:lineRule="auto"/>
        <w:ind w:left="0" w:right="0" w:firstLine="0"/>
        <w:jc w:val="both"/>
      </w:pPr>
      <w:bookmarkStart w:id="878" w:name="bookmark878"/>
      <w:bookmarkStart w:id="879" w:name="bookmark879"/>
      <w:bookmarkStart w:id="880" w:name="bookmark880"/>
      <w:r>
        <w:rPr>
          <w:color w:val="000000"/>
          <w:spacing w:val="0"/>
          <w:w w:val="100"/>
          <w:position w:val="0"/>
        </w:rPr>
        <w:t>企业所得税</w:t>
      </w:r>
      <w:bookmarkEnd w:id="878"/>
      <w:bookmarkEnd w:id="879"/>
      <w:bookmarkEnd w:id="880"/>
    </w:p>
    <w:tbl>
      <w:tblPr>
        <w:tblOverlap w:val="never"/>
        <w:jc w:val="center"/>
        <w:tblLayout w:type="fixed"/>
      </w:tblPr>
      <w:tblGrid>
        <w:gridCol w:w="3518"/>
        <w:gridCol w:w="2438"/>
        <w:gridCol w:w="355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税率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备注</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安徽鑫龙电器股份有限公司本部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见本报告第十节、五、</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c>
      </w:tr>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安徽鑫龙电器股份有限公司本部北京技术服务分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安徽森源电器有限公司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见本报告第十节、五、</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c>
      </w:tr>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安徽鑫龙自动化有限公司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见本报告第十节、五、</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安徽鑫龙低压电器有限公司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见本报告第十节、五、</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安徽鑫龙电器元件销售有限公司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安徽鑫龙变压器有限公司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安徽鑫东投资管理有限公司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安徽佑赛科技有限公司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安徽鑫龙电力工程安装有限公司 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见本报告第十节、五、</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斯高思（安徽）电器有限公司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亳州鑫龙电气有限公司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34"/>
        <w:keepNext/>
        <w:keepLines/>
        <w:widowControl w:val="0"/>
        <w:shd w:val="clear" w:color="auto" w:fill="auto"/>
        <w:bidi w:val="0"/>
        <w:spacing w:before="0" w:line="314" w:lineRule="exact"/>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color w:val="000000"/>
          <w:spacing w:val="0"/>
          <w:w w:val="100"/>
          <w:position w:val="0"/>
        </w:rPr>
        <w:t>、税收优惠及批文</w:t>
      </w:r>
      <w:bookmarkEnd w:id="881"/>
      <w:bookmarkEnd w:id="882"/>
      <w:bookmarkEnd w:id="884"/>
    </w:p>
    <w:p>
      <w:pPr>
        <w:pStyle w:val="Style69"/>
        <w:keepNext w:val="0"/>
        <w:keepLines w:val="0"/>
        <w:widowControl w:val="0"/>
        <w:shd w:val="clear" w:color="auto" w:fill="auto"/>
        <w:bidi w:val="0"/>
        <w:spacing w:before="0" w:after="340" w:line="314" w:lineRule="exact"/>
        <w:ind w:left="0" w:right="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）根据《关于公布安徽省</w:t>
      </w:r>
      <w:r>
        <w:rPr>
          <w:rFonts w:ascii="Times New Roman" w:eastAsia="Times New Roman" w:hAnsi="Times New Roman" w:cs="Times New Roman"/>
          <w:color w:val="000000"/>
          <w:spacing w:val="0"/>
          <w:w w:val="100"/>
          <w:position w:val="0"/>
        </w:rPr>
        <w:t>2011</w:t>
      </w:r>
      <w:r>
        <w:rPr>
          <w:color w:val="000000"/>
          <w:spacing w:val="0"/>
          <w:w w:val="100"/>
          <w:position w:val="0"/>
        </w:rPr>
        <w:t>年复审高新技术企业名单的通知》（科高</w:t>
      </w:r>
      <w:r>
        <w:rPr>
          <w:rFonts w:ascii="Times New Roman" w:eastAsia="Times New Roman" w:hAnsi="Times New Roman" w:cs="Times New Roman"/>
          <w:color w:val="000000"/>
          <w:spacing w:val="0"/>
          <w:w w:val="100"/>
          <w:position w:val="0"/>
        </w:rPr>
        <w:t>[2012]12</w:t>
      </w:r>
      <w:r>
        <w:rPr>
          <w:color w:val="000000"/>
          <w:spacing w:val="0"/>
          <w:w w:val="100"/>
          <w:position w:val="0"/>
        </w:rPr>
        <w:t xml:space="preserve">号），公司本部和 全资子公司安徽森源电器有限公司、安徽鑫龙自动化有限公司、安徽鑫龙低压电器有限公司已通过安徽省 </w:t>
      </w:r>
      <w:r>
        <w:rPr>
          <w:rFonts w:ascii="Times New Roman" w:eastAsia="Times New Roman" w:hAnsi="Times New Roman" w:cs="Times New Roman"/>
          <w:color w:val="000000"/>
          <w:spacing w:val="0"/>
          <w:w w:val="100"/>
          <w:position w:val="0"/>
        </w:rPr>
        <w:t>2011</w:t>
      </w:r>
      <w:r>
        <w:rPr>
          <w:color w:val="000000"/>
          <w:spacing w:val="0"/>
          <w:w w:val="100"/>
          <w:position w:val="0"/>
        </w:rPr>
        <w:t>年高新技术企业复审，取得高新技术企业证书，有效期三年，自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 据《中华人民共和国企业所得税法》规定，高新技术企业减按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税率计算缴纳所得税。</w:t>
      </w:r>
    </w:p>
    <w:p>
      <w:pPr>
        <w:pStyle w:val="Style69"/>
        <w:keepNext w:val="0"/>
        <w:keepLines w:val="0"/>
        <w:widowControl w:val="0"/>
        <w:shd w:val="clear" w:color="auto" w:fill="auto"/>
        <w:bidi w:val="0"/>
        <w:spacing w:before="0" w:after="680" w:line="331" w:lineRule="exact"/>
        <w:ind w:left="0" w:right="0"/>
        <w:jc w:val="left"/>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）根据芜湖市地税局芜地税企所鸠核字（</w:t>
      </w:r>
      <w:r>
        <w:rPr>
          <w:rFonts w:ascii="Times New Roman" w:eastAsia="Times New Roman" w:hAnsi="Times New Roman" w:cs="Times New Roman"/>
          <w:color w:val="000000"/>
          <w:spacing w:val="0"/>
          <w:w w:val="100"/>
          <w:position w:val="0"/>
        </w:rPr>
        <w:t>2008</w:t>
      </w:r>
      <w:r>
        <w:rPr>
          <w:color w:val="000000"/>
          <w:spacing w:val="0"/>
          <w:w w:val="100"/>
          <w:position w:val="0"/>
        </w:rPr>
        <w:t>）地税字第</w:t>
      </w:r>
      <w:r>
        <w:rPr>
          <w:rFonts w:ascii="Times New Roman" w:eastAsia="Times New Roman" w:hAnsi="Times New Roman" w:cs="Times New Roman"/>
          <w:color w:val="000000"/>
          <w:spacing w:val="0"/>
          <w:w w:val="100"/>
          <w:position w:val="0"/>
        </w:rPr>
        <w:t>110004</w:t>
      </w:r>
      <w:r>
        <w:rPr>
          <w:color w:val="000000"/>
          <w:spacing w:val="0"/>
          <w:w w:val="100"/>
          <w:position w:val="0"/>
        </w:rPr>
        <w:t>号通知书，安徽鑫龙电力安装工 程有限公司实行核定征收方式征收企业所得税。</w:t>
      </w:r>
    </w:p>
    <w:p>
      <w:pPr>
        <w:pStyle w:val="Style34"/>
        <w:keepNext/>
        <w:keepLines/>
        <w:widowControl w:val="0"/>
        <w:shd w:val="clear" w:color="auto" w:fill="auto"/>
        <w:bidi w:val="0"/>
        <w:spacing w:before="0" w:after="3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color w:val="000000"/>
          <w:spacing w:val="0"/>
          <w:w w:val="100"/>
          <w:position w:val="0"/>
        </w:rPr>
        <w:t>、其他说明</w:t>
      </w:r>
      <w:bookmarkEnd w:id="887"/>
      <w:bookmarkEnd w:id="888"/>
      <w:bookmarkEnd w:id="890"/>
    </w:p>
    <w:p>
      <w:pPr>
        <w:pStyle w:val="Style34"/>
        <w:keepNext/>
        <w:keepLines/>
        <w:widowControl w:val="0"/>
        <w:shd w:val="clear" w:color="auto" w:fill="auto"/>
        <w:tabs>
          <w:tab w:pos="773" w:val="left"/>
        </w:tabs>
        <w:bidi w:val="0"/>
        <w:spacing w:before="0" w:after="60" w:line="240" w:lineRule="auto"/>
        <w:ind w:left="0" w:right="0" w:firstLine="280"/>
        <w:jc w:val="left"/>
      </w:pPr>
      <w:bookmarkStart w:id="887" w:name="bookmark887"/>
      <w:bookmarkStart w:id="888" w:name="bookmark888"/>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房产税</w:t>
      </w:r>
      <w:bookmarkEnd w:id="887"/>
      <w:bookmarkEnd w:id="888"/>
      <w:bookmarkEnd w:id="892"/>
    </w:p>
    <w:p>
      <w:pPr>
        <w:pStyle w:val="Style69"/>
        <w:keepNext w:val="0"/>
        <w:keepLines w:val="0"/>
        <w:widowControl w:val="0"/>
        <w:shd w:val="clear" w:color="auto" w:fill="auto"/>
        <w:bidi w:val="0"/>
        <w:spacing w:before="0" w:after="60" w:line="240" w:lineRule="auto"/>
        <w:ind w:left="0" w:right="0"/>
        <w:jc w:val="left"/>
      </w:pPr>
      <w:r>
        <w:rPr>
          <w:color w:val="000000"/>
          <w:spacing w:val="0"/>
          <w:w w:val="100"/>
          <w:position w:val="0"/>
        </w:rPr>
        <w:t>房产税按照房产原值的</w:t>
      </w:r>
      <w:r>
        <w:rPr>
          <w:rFonts w:ascii="Times New Roman" w:eastAsia="Times New Roman" w:hAnsi="Times New Roman" w:cs="Times New Roman"/>
          <w:color w:val="000000"/>
          <w:spacing w:val="0"/>
          <w:w w:val="100"/>
          <w:position w:val="0"/>
        </w:rPr>
        <w:t>70%</w:t>
      </w:r>
      <w:r>
        <w:rPr>
          <w:color w:val="000000"/>
          <w:spacing w:val="0"/>
          <w:w w:val="100"/>
          <w:position w:val="0"/>
        </w:rPr>
        <w:t>为纳税基准，税率为</w:t>
      </w:r>
      <w:r>
        <w:rPr>
          <w:rFonts w:ascii="Times New Roman" w:eastAsia="Times New Roman" w:hAnsi="Times New Roman" w:cs="Times New Roman"/>
          <w:color w:val="000000"/>
          <w:spacing w:val="0"/>
          <w:w w:val="100"/>
          <w:position w:val="0"/>
        </w:rPr>
        <w:t>1.2%</w:t>
      </w:r>
      <w:r>
        <w:rPr>
          <w:color w:val="000000"/>
          <w:spacing w:val="0"/>
          <w:w w:val="100"/>
          <w:position w:val="0"/>
        </w:rPr>
        <w:t>，或以租金收入为纳税基准，税率为</w:t>
      </w:r>
      <w:r>
        <w:rPr>
          <w:rFonts w:ascii="Times New Roman" w:eastAsia="Times New Roman" w:hAnsi="Times New Roman" w:cs="Times New Roman"/>
          <w:color w:val="000000"/>
          <w:spacing w:val="0"/>
          <w:w w:val="100"/>
          <w:position w:val="0"/>
        </w:rPr>
        <w:t>12%</w:t>
      </w:r>
      <w:r>
        <w:rPr>
          <w:color w:val="000000"/>
          <w:spacing w:val="0"/>
          <w:w w:val="100"/>
          <w:position w:val="0"/>
        </w:rPr>
        <w:t>。</w:t>
      </w:r>
    </w:p>
    <w:p>
      <w:pPr>
        <w:pStyle w:val="Style34"/>
        <w:keepNext/>
        <w:keepLines/>
        <w:widowControl w:val="0"/>
        <w:shd w:val="clear" w:color="auto" w:fill="auto"/>
        <w:tabs>
          <w:tab w:pos="773" w:val="left"/>
        </w:tabs>
        <w:bidi w:val="0"/>
        <w:spacing w:before="0" w:after="60" w:line="240" w:lineRule="auto"/>
        <w:ind w:left="0" w:right="0" w:firstLine="28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个人所得税</w:t>
      </w:r>
      <w:bookmarkEnd w:id="893"/>
      <w:bookmarkEnd w:id="894"/>
      <w:bookmarkEnd w:id="896"/>
    </w:p>
    <w:p>
      <w:pPr>
        <w:pStyle w:val="Style69"/>
        <w:keepNext w:val="0"/>
        <w:keepLines w:val="0"/>
        <w:widowControl w:val="0"/>
        <w:shd w:val="clear" w:color="auto" w:fill="auto"/>
        <w:bidi w:val="0"/>
        <w:spacing w:before="0" w:after="360" w:line="240" w:lineRule="auto"/>
        <w:ind w:left="0" w:right="0"/>
        <w:jc w:val="left"/>
      </w:pPr>
      <w:r>
        <w:rPr>
          <w:color w:val="000000"/>
          <w:spacing w:val="0"/>
          <w:w w:val="100"/>
          <w:position w:val="0"/>
        </w:rPr>
        <w:t>员工个人所得税由本公司代扣代缴。</w:t>
      </w:r>
    </w:p>
    <w:p>
      <w:pPr>
        <w:pStyle w:val="Style25"/>
        <w:keepNext/>
        <w:keepLines/>
        <w:widowControl w:val="0"/>
        <w:shd w:val="clear" w:color="auto" w:fill="auto"/>
        <w:bidi w:val="0"/>
        <w:spacing w:before="0" w:after="360" w:line="240" w:lineRule="auto"/>
        <w:ind w:left="0" w:right="0" w:firstLine="0"/>
        <w:jc w:val="left"/>
      </w:pPr>
      <w:bookmarkStart w:id="897" w:name="bookmark897"/>
      <w:bookmarkStart w:id="898" w:name="bookmark898"/>
      <w:bookmarkStart w:id="899" w:name="bookmark899"/>
      <w:bookmarkStart w:id="900" w:name="bookmark900"/>
      <w:r>
        <w:rPr>
          <w:color w:val="000000"/>
          <w:spacing w:val="0"/>
          <w:w w:val="100"/>
          <w:position w:val="0"/>
          <w:sz w:val="24"/>
          <w:szCs w:val="24"/>
        </w:rPr>
        <w:t>六</w:t>
      </w:r>
      <w:bookmarkEnd w:id="899"/>
      <w:r>
        <w:rPr>
          <w:color w:val="000000"/>
          <w:spacing w:val="0"/>
          <w:w w:val="100"/>
          <w:position w:val="0"/>
          <w:sz w:val="24"/>
          <w:szCs w:val="24"/>
        </w:rPr>
        <w:t>、企业合并及合并财务报表</w:t>
      </w:r>
      <w:bookmarkEnd w:id="897"/>
      <w:bookmarkEnd w:id="898"/>
      <w:bookmarkEnd w:id="900"/>
    </w:p>
    <w:p>
      <w:pPr>
        <w:pStyle w:val="Style34"/>
        <w:keepNext/>
        <w:keepLines/>
        <w:widowControl w:val="0"/>
        <w:shd w:val="clear" w:color="auto" w:fill="auto"/>
        <w:bidi w:val="0"/>
        <w:spacing w:before="0" w:after="36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color w:val="000000"/>
          <w:spacing w:val="0"/>
          <w:w w:val="100"/>
          <w:position w:val="0"/>
        </w:rPr>
        <w:t>、子公司情况</w:t>
      </w:r>
      <w:bookmarkEnd w:id="901"/>
      <w:bookmarkEnd w:id="902"/>
      <w:bookmarkEnd w:id="904"/>
    </w:p>
    <w:p>
      <w:pPr>
        <w:pStyle w:val="Style34"/>
        <w:keepNext/>
        <w:keepLines/>
        <w:widowControl w:val="0"/>
        <w:shd w:val="clear" w:color="auto" w:fill="auto"/>
        <w:bidi w:val="0"/>
        <w:spacing w:before="0" w:after="360" w:line="240" w:lineRule="auto"/>
        <w:ind w:left="0" w:right="0" w:firstLine="0"/>
        <w:jc w:val="left"/>
      </w:pPr>
      <w:bookmarkStart w:id="901" w:name="bookmark901"/>
      <w:bookmarkStart w:id="902" w:name="bookmark902"/>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01"/>
      <w:bookmarkEnd w:id="902"/>
      <w:bookmarkEnd w:id="9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5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安徽森 源电器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高、低 压电器 元器 件、开 关配件 设计、 制造、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饭金机 械加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 龙电器 元件销 售有限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高、低 压电器 元件， 工控元 器件， 智能化 仪器仪 表，变 压器、 电线电 缆销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 龙自动 化有限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变电站 微机综 合自动 化系 统；数 控直流 电源柜 及部 件；全 数字软 启动器 及装 置；智 能型全 数字晶 闸管调 功器； 全数字 交、直 流调速 系统及 装置； 工业生 产过程 自动化 控制系 统，</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DCS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PLC</w:t>
            </w:r>
            <w:r>
              <w:rPr>
                <w:color w:val="000000"/>
                <w:spacing w:val="0"/>
                <w:w w:val="100"/>
                <w:position w:val="0"/>
              </w:rPr>
              <w:t>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383" w:right="1137" w:bottom="1469" w:left="1077"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制；智 能化数 字仪表 设计、 生产； 安全防 范技术 工程设 计、施 工、维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 龙低压 电器有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生产、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低压电 器设 备、元 件及附 件的设 计、制 造、销 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 龙变压 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生产、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油浸式 变压 器、干 式变压 器生 产、销 售和维 修（涉 及国家 有关审 批项 目，按 国家有 关法规 办理）、 预装式 变电站 的设 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3,154,7</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 龙电力 工程安 装有限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安装劳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电气设 备（含 发电、 输电、 配电、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电气传 动、自 动化仪 表、通 讯工业 电视）、 工业过 程控制 及监控 系统、 计算机 应用服 务与综 合信息 网络工 程、电 子声像 工程、 智能化 系统和 技术防 范工程 安装、 调试、 维护</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（凡涉 及专项 审批的 凭许可 证经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斯高思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徽）电 器有限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全资子 公司的 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电气设 备（含 发电、 输电、 配电、 电气传 动、自 动化仪 表、通 讯工业 电视）、 工业过 程控制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及监控 系统、 计算机 应用服 务与综 合信息 网络工 程、电 子声像 工程、 智能化 系统和 技术防 范工程 安装、 调试、 维护</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（凡涉 及专项 审批的 凭许可 证经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 东投资 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科技项 目投资 及实业 投资、 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安徽佑 赛科技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电能质 量治理 设备、 电力节 能设 备、电 网监测 系统、 新能源 系统和 装置的 研发、 制造和 销售</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 经营范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3"/>
          <w:footerReference w:type="default" r:id="rId214"/>
          <w:headerReference w:type="even" r:id="rId215"/>
          <w:footerReference w:type="even" r:id="rId216"/>
          <w:headerReference w:type="first" r:id="rId217"/>
          <w:footerReference w:type="first" r:id="rId218"/>
          <w:footnotePr>
            <w:pos w:val="pageBottom"/>
            <w:numFmt w:val="decimal"/>
            <w:numRestart w:val="continuous"/>
          </w:footnotePr>
          <w:pgSz w:w="11900" w:h="16840"/>
          <w:pgMar w:top="1383" w:right="1137" w:bottom="1469" w:left="1077" w:header="0" w:footer="3" w:gutter="0"/>
          <w:cols w:space="720"/>
          <w:noEndnote/>
          <w:titlePg/>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围涉及 许可资 质的， 凭许可 资质经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亳州鑫 龙电气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生产、 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电气机 械及器 材制 造、工 业过程 控制及 监控系 统、计 算机应 用服务 与综合 信息网 络工 程、电 子声像 工程、 电力电 子、新 能源、 各种智 能化系 统和技 术防范 工程设 计、制 造、施 工、安 装、维 修、调 试、销 售及技 术服 务；经 营本企 业自产 产品及 相关技 术的出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383" w:right="1137" w:bottom="1469" w:left="1077"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7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口和科 研所需 要的原 辅材 料、仪 器仪 表、机 械设 备、零 配件及 相关技 术的进 出口</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(国家 限定经 营或禁 止进出 口的商 品除 外)，进 料加工 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三来 一补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 经营涉 及行政 许可 的，凭 许可证 件经 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1099" w:line="1" w:lineRule="exact"/>
      </w:pPr>
    </w:p>
    <w:p>
      <w:pPr>
        <w:pStyle w:val="Style34"/>
        <w:keepNext/>
        <w:keepLines/>
        <w:widowControl w:val="0"/>
        <w:numPr>
          <w:ilvl w:val="0"/>
          <w:numId w:val="15"/>
        </w:numPr>
        <w:shd w:val="clear" w:color="auto" w:fill="auto"/>
        <w:bidi w:val="0"/>
        <w:spacing w:before="0" w:after="360" w:line="240" w:lineRule="auto"/>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同一控制下企业合并取得的子公司</w:t>
      </w:r>
      <w:bookmarkEnd w:id="907"/>
      <w:bookmarkEnd w:id="908"/>
      <w:bookmarkEnd w:id="9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6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实质上 构成对 子公司 净投资 的其他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 中用于 冲减少 数股东</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w:t>
            </w:r>
          </w:p>
        </w:tc>
      </w:tr>
    </w:tbl>
    <w:p>
      <w:pPr>
        <w:widowControl w:val="0"/>
        <w:spacing w:after="119" w:line="1" w:lineRule="exact"/>
      </w:pPr>
    </w:p>
    <w:p>
      <w:pPr>
        <w:widowControl w:val="0"/>
        <w:spacing w:line="1" w:lineRule="exact"/>
      </w:pPr>
    </w:p>
    <w:p>
      <w:pPr>
        <w:widowControl w:val="0"/>
        <w:jc w:val="center"/>
        <w:rPr>
          <w:sz w:val="2"/>
          <w:szCs w:val="2"/>
        </w:rPr>
      </w:pPr>
      <w:r>
        <w:drawing>
          <wp:inline>
            <wp:extent cx="1718945" cy="981710"/>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223"/>
                    <a:stretch/>
                  </pic:blipFill>
                  <pic:spPr>
                    <a:xfrm>
                      <a:ext cx="1718945" cy="981710"/>
                    </a:xfrm>
                    <a:prstGeom prst="rect"/>
                  </pic:spPr>
                </pic:pic>
              </a:graphicData>
            </a:graphic>
          </wp:inline>
        </w:drawing>
      </w:r>
    </w:p>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项目余 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数股东 分担的 本期亏 损超过 少数股 东在该 子公司 年初所 有者权 益中所 享有份 额后的 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通过同一控制下企业合并取得的子公司的其他说明</w:t>
      </w:r>
    </w:p>
    <w:p>
      <w:pPr>
        <w:pStyle w:val="Style34"/>
        <w:keepNext/>
        <w:keepLines/>
        <w:widowControl w:val="0"/>
        <w:numPr>
          <w:ilvl w:val="0"/>
          <w:numId w:val="15"/>
        </w:numPr>
        <w:shd w:val="clear" w:color="auto" w:fill="auto"/>
        <w:bidi w:val="0"/>
        <w:spacing w:before="0" w:after="380" w:line="240" w:lineRule="auto"/>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非同一控制下企业合并取得的子公司</w:t>
      </w:r>
      <w:bookmarkEnd w:id="911"/>
      <w:bookmarkEnd w:id="912"/>
      <w:bookmarkEnd w:id="9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是否合</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color w:val="000000"/>
          <w:spacing w:val="0"/>
          <w:w w:val="100"/>
          <w:position w:val="0"/>
        </w:rPr>
        <w:t>、特殊目的主体或通过受托经营或承租等方式形成控制权的经营实体</w:t>
      </w:r>
      <w:bookmarkEnd w:id="915"/>
      <w:bookmarkEnd w:id="916"/>
      <w:bookmarkEnd w:id="9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1441" w:right="1114" w:bottom="1" w:left="1100" w:header="0" w:footer="3" w:gutter="0"/>
          <w:cols w:space="720"/>
          <w:noEndnote/>
          <w:rtlGutter w:val="0"/>
          <w:docGrid w:linePitch="360"/>
        </w:sectPr>
      </w:pPr>
      <w:r>
        <mc:AlternateContent>
          <mc:Choice Requires="wps">
            <w:drawing>
              <wp:anchor distT="38100" distB="0" distL="0" distR="0" simplePos="0" relativeHeight="125829418" behindDoc="0" locked="0" layoutInCell="1" allowOverlap="1">
                <wp:simplePos x="0" y="0"/>
                <wp:positionH relativeFrom="page">
                  <wp:posOffset>1377950</wp:posOffset>
                </wp:positionH>
                <wp:positionV relativeFrom="paragraph">
                  <wp:posOffset>38100</wp:posOffset>
                </wp:positionV>
                <wp:extent cx="252730" cy="149225"/>
                <wp:wrapTopAndBottom/>
                <wp:docPr id="610" name="Shape 610"/>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9"/>
                              <w:keepNext w:val="0"/>
                              <w:keepLines w:val="0"/>
                              <w:widowControl w:val="0"/>
                              <w:pBdr>
                                <w:top w:val="single" w:sz="0" w:space="0" w:color="D3D3D3"/>
                                <w:left w:val="single" w:sz="0" w:space="27" w:color="D3D3D3"/>
                                <w:bottom w:val="single" w:sz="0" w:space="0" w:color="D3D3D3"/>
                                <w:right w:val="single" w:sz="0" w:space="27" w:color="D3D3D3"/>
                              </w:pBdr>
                              <w:shd w:val="clear" w:color="auto" w:fill="D3D3D3"/>
                              <w:bidi w:val="0"/>
                              <w:spacing w:before="0" w:after="0" w:line="240" w:lineRule="auto"/>
                              <w:ind w:left="0" w:right="0" w:firstLine="0"/>
                              <w:jc w:val="left"/>
                            </w:pPr>
                            <w:r>
                              <w:rPr>
                                <w:color w:val="000000"/>
                                <w:spacing w:val="0"/>
                                <w:w w:val="100"/>
                                <w:position w:val="0"/>
                              </w:rPr>
                              <w:t>名称</w:t>
                            </w:r>
                          </w:p>
                        </w:txbxContent>
                      </wps:txbx>
                      <wps:bodyPr wrap="none" lIns="0" tIns="0" rIns="0" bIns="0">
                        <a:noAutoFit/>
                      </wps:bodyPr>
                    </wps:wsp>
                  </a:graphicData>
                </a:graphic>
              </wp:anchor>
            </w:drawing>
          </mc:Choice>
          <mc:Fallback>
            <w:pict>
              <v:shape id="_x0000_s1636" type="#_x0000_t202" style="position:absolute;margin-left:108.5pt;margin-top:3.pt;width:19.900000000000002pt;height:11.75pt;z-index:-125829335;mso-wrap-distance-left:0;mso-wrap-distance-top:3.pt;mso-wrap-distance-right:0;mso-position-horizontal-relative:page" filled="f" stroked="f">
                <v:textbox inset="0,0,0,0">
                  <w:txbxContent>
                    <w:p>
                      <w:pPr>
                        <w:pStyle w:val="Style29"/>
                        <w:keepNext w:val="0"/>
                        <w:keepLines w:val="0"/>
                        <w:widowControl w:val="0"/>
                        <w:pBdr>
                          <w:top w:val="single" w:sz="0" w:space="0" w:color="D3D3D3"/>
                          <w:left w:val="single" w:sz="0" w:space="27" w:color="D3D3D3"/>
                          <w:bottom w:val="single" w:sz="0" w:space="0" w:color="D3D3D3"/>
                          <w:right w:val="single" w:sz="0" w:space="27" w:color="D3D3D3"/>
                        </w:pBdr>
                        <w:shd w:val="clear" w:color="auto" w:fill="D3D3D3"/>
                        <w:bidi w:val="0"/>
                        <w:spacing w:before="0" w:after="0" w:line="240" w:lineRule="auto"/>
                        <w:ind w:left="0" w:right="0" w:firstLine="0"/>
                        <w:jc w:val="left"/>
                      </w:pPr>
                      <w:r>
                        <w:rPr>
                          <w:color w:val="000000"/>
                          <w:spacing w:val="0"/>
                          <w:w w:val="100"/>
                          <w:position w:val="0"/>
                        </w:rPr>
                        <w:t>名称</w:t>
                      </w:r>
                    </w:p>
                  </w:txbxContent>
                </v:textbox>
                <w10:wrap type="topAndBottom" anchorx="page"/>
              </v:shape>
            </w:pict>
          </mc:Fallback>
        </mc:AlternateContent>
      </w:r>
      <w:r>
        <mc:AlternateContent>
          <mc:Choice Requires="wps">
            <w:drawing>
              <wp:anchor distT="38100" distB="3175" distL="0" distR="0" simplePos="0" relativeHeight="125829420" behindDoc="0" locked="0" layoutInCell="1" allowOverlap="1">
                <wp:simplePos x="0" y="0"/>
                <wp:positionH relativeFrom="page">
                  <wp:posOffset>2524125</wp:posOffset>
                </wp:positionH>
                <wp:positionV relativeFrom="paragraph">
                  <wp:posOffset>38100</wp:posOffset>
                </wp:positionV>
                <wp:extent cx="1054735" cy="146050"/>
                <wp:wrapTopAndBottom/>
                <wp:docPr id="612" name="Shape 612"/>
                <a:graphic xmlns:a="http://schemas.openxmlformats.org/drawingml/2006/main">
                  <a:graphicData uri="http://schemas.microsoft.com/office/word/2010/wordprocessingShape">
                    <wps:wsp>
                      <wps:cNvSpPr txBox="1"/>
                      <wps:spPr>
                        <a:xfrm>
                          <a:ext cx="1054735" cy="146050"/>
                        </a:xfrm>
                        <a:prstGeom prst="rect"/>
                        <a:noFill/>
                      </wps:spPr>
                      <wps:txbx>
                        <w:txbxContent>
                          <w:p>
                            <w:pPr>
                              <w:pStyle w:val="Style29"/>
                              <w:keepNext w:val="0"/>
                              <w:keepLines w:val="0"/>
                              <w:widowControl w:val="0"/>
                              <w:pBdr>
                                <w:top w:val="single" w:sz="0" w:space="0" w:color="D3D3D3"/>
                                <w:left w:val="single" w:sz="0" w:space="27" w:color="D3D3D3"/>
                                <w:bottom w:val="single" w:sz="0" w:space="0" w:color="D3D3D3"/>
                                <w:right w:val="single" w:sz="0" w:space="27" w:color="D3D3D3"/>
                              </w:pBdr>
                              <w:shd w:val="clear" w:color="auto" w:fill="D3D3D3"/>
                              <w:bidi w:val="0"/>
                              <w:spacing w:before="0" w:after="0" w:line="240" w:lineRule="auto"/>
                              <w:ind w:left="0" w:right="0" w:firstLine="0"/>
                              <w:jc w:val="left"/>
                            </w:pPr>
                            <w:r>
                              <w:rPr>
                                <w:color w:val="000000"/>
                                <w:spacing w:val="0"/>
                                <w:w w:val="100"/>
                                <w:position w:val="0"/>
                              </w:rPr>
                              <w:t>与公司主要业务往来</w:t>
                            </w:r>
                          </w:p>
                        </w:txbxContent>
                      </wps:txbx>
                      <wps:bodyPr wrap="none" lIns="0" tIns="0" rIns="0" bIns="0">
                        <a:noAutoFit/>
                      </wps:bodyPr>
                    </wps:wsp>
                  </a:graphicData>
                </a:graphic>
              </wp:anchor>
            </w:drawing>
          </mc:Choice>
          <mc:Fallback>
            <w:pict>
              <v:shape id="_x0000_s1638" type="#_x0000_t202" style="position:absolute;margin-left:198.75pt;margin-top:3.pt;width:83.049999999999997pt;height:11.5pt;z-index:-125829333;mso-wrap-distance-left:0;mso-wrap-distance-top:3.pt;mso-wrap-distance-right:0;mso-wrap-distance-bottom:0.25pt;mso-position-horizontal-relative:page" filled="f" stroked="f">
                <v:textbox inset="0,0,0,0">
                  <w:txbxContent>
                    <w:p>
                      <w:pPr>
                        <w:pStyle w:val="Style29"/>
                        <w:keepNext w:val="0"/>
                        <w:keepLines w:val="0"/>
                        <w:widowControl w:val="0"/>
                        <w:pBdr>
                          <w:top w:val="single" w:sz="0" w:space="0" w:color="D3D3D3"/>
                          <w:left w:val="single" w:sz="0" w:space="27" w:color="D3D3D3"/>
                          <w:bottom w:val="single" w:sz="0" w:space="0" w:color="D3D3D3"/>
                          <w:right w:val="single" w:sz="0" w:space="27" w:color="D3D3D3"/>
                        </w:pBdr>
                        <w:shd w:val="clear" w:color="auto" w:fill="D3D3D3"/>
                        <w:bidi w:val="0"/>
                        <w:spacing w:before="0" w:after="0" w:line="240" w:lineRule="auto"/>
                        <w:ind w:left="0" w:right="0" w:firstLine="0"/>
                        <w:jc w:val="left"/>
                      </w:pPr>
                      <w:r>
                        <w:rPr>
                          <w:color w:val="000000"/>
                          <w:spacing w:val="0"/>
                          <w:w w:val="100"/>
                          <w:position w:val="0"/>
                        </w:rPr>
                        <w:t>与公司主要业务往来</w:t>
                      </w:r>
                    </w:p>
                  </w:txbxContent>
                </v:textbox>
                <w10:wrap type="topAndBottom" anchorx="page"/>
              </v:shape>
            </w:pict>
          </mc:Fallback>
        </mc:AlternateContent>
      </w:r>
      <w:r>
        <mc:AlternateContent>
          <mc:Choice Requires="wps">
            <w:drawing>
              <wp:anchor distT="38100" distB="3175" distL="0" distR="0" simplePos="0" relativeHeight="125829422" behindDoc="0" locked="0" layoutInCell="1" allowOverlap="1">
                <wp:simplePos x="0" y="0"/>
                <wp:positionH relativeFrom="page">
                  <wp:posOffset>4142740</wp:posOffset>
                </wp:positionH>
                <wp:positionV relativeFrom="paragraph">
                  <wp:posOffset>38100</wp:posOffset>
                </wp:positionV>
                <wp:extent cx="2313305" cy="146050"/>
                <wp:wrapTopAndBottom/>
                <wp:docPr id="614" name="Shape 614"/>
                <a:graphic xmlns:a="http://schemas.openxmlformats.org/drawingml/2006/main">
                  <a:graphicData uri="http://schemas.microsoft.com/office/word/2010/wordprocessingShape">
                    <wps:wsp>
                      <wps:cNvSpPr txBox="1"/>
                      <wps:spPr>
                        <a:xfrm>
                          <a:ext cx="2313305" cy="146050"/>
                        </a:xfrm>
                        <a:prstGeom prst="rect"/>
                        <a:noFill/>
                      </wps:spPr>
                      <wps:txbx>
                        <w:txbxContent>
                          <w:p>
                            <w:pPr>
                              <w:pStyle w:val="Style29"/>
                              <w:keepNext w:val="0"/>
                              <w:keepLines w:val="0"/>
                              <w:widowControl w:val="0"/>
                              <w:pBdr>
                                <w:top w:val="single" w:sz="4" w:space="0" w:color="D3D3D3"/>
                                <w:left w:val="single" w:sz="4" w:space="27" w:color="D3D3D3"/>
                                <w:bottom w:val="single" w:sz="4" w:space="0" w:color="D3D3D3"/>
                                <w:right w:val="single" w:sz="4" w:space="27" w:color="D3D3D3"/>
                              </w:pBdr>
                              <w:shd w:val="clear" w:color="auto" w:fill="D3D3D3"/>
                              <w:bidi w:val="0"/>
                              <w:spacing w:before="0" w:after="0" w:line="240" w:lineRule="auto"/>
                              <w:ind w:left="0" w:right="0" w:firstLine="0"/>
                              <w:jc w:val="left"/>
                            </w:pPr>
                            <w:r>
                              <w:rPr>
                                <w:color w:val="000000"/>
                                <w:spacing w:val="0"/>
                                <w:w w:val="100"/>
                                <w:position w:val="0"/>
                              </w:rPr>
                              <w:t>在合并报表内确认的主要资产、负债期末余额</w:t>
                            </w:r>
                          </w:p>
                        </w:txbxContent>
                      </wps:txbx>
                      <wps:bodyPr wrap="none" lIns="0" tIns="0" rIns="0" bIns="0">
                        <a:noAutoFit/>
                      </wps:bodyPr>
                    </wps:wsp>
                  </a:graphicData>
                </a:graphic>
              </wp:anchor>
            </w:drawing>
          </mc:Choice>
          <mc:Fallback>
            <w:pict>
              <v:shape id="_x0000_s1640" type="#_x0000_t202" style="position:absolute;margin-left:326.19999999999999pt;margin-top:3.pt;width:182.15000000000001pt;height:11.5pt;z-index:-125829331;mso-wrap-distance-left:0;mso-wrap-distance-top:3.pt;mso-wrap-distance-right:0;mso-wrap-distance-bottom:0.25pt;mso-position-horizontal-relative:page" filled="f" stroked="f">
                <v:textbox inset="0,0,0,0">
                  <w:txbxContent>
                    <w:p>
                      <w:pPr>
                        <w:pStyle w:val="Style29"/>
                        <w:keepNext w:val="0"/>
                        <w:keepLines w:val="0"/>
                        <w:widowControl w:val="0"/>
                        <w:pBdr>
                          <w:top w:val="single" w:sz="4" w:space="0" w:color="D3D3D3"/>
                          <w:left w:val="single" w:sz="4" w:space="27" w:color="D3D3D3"/>
                          <w:bottom w:val="single" w:sz="4" w:space="0" w:color="D3D3D3"/>
                          <w:right w:val="single" w:sz="4" w:space="27" w:color="D3D3D3"/>
                        </w:pBdr>
                        <w:shd w:val="clear" w:color="auto" w:fill="D3D3D3"/>
                        <w:bidi w:val="0"/>
                        <w:spacing w:before="0" w:after="0" w:line="240" w:lineRule="auto"/>
                        <w:ind w:left="0" w:right="0" w:firstLine="0"/>
                        <w:jc w:val="left"/>
                      </w:pPr>
                      <w:r>
                        <w:rPr>
                          <w:color w:val="000000"/>
                          <w:spacing w:val="0"/>
                          <w:w w:val="100"/>
                          <w:position w:val="0"/>
                        </w:rPr>
                        <w:t>在合并报表内确认的主要资产、负债期末余额</w:t>
                      </w:r>
                    </w:p>
                  </w:txbxContent>
                </v:textbox>
                <w10:wrap type="topAndBottom" anchorx="page"/>
              </v:shape>
            </w:pict>
          </mc:Fallback>
        </mc:AlternateContent>
      </w:r>
    </w:p>
    <w:p>
      <w:pPr>
        <w:widowControl w:val="0"/>
        <w:spacing w:line="93" w:lineRule="exact"/>
        <w:rPr>
          <w:sz w:val="7"/>
          <w:szCs w:val="7"/>
        </w:rPr>
      </w:pPr>
    </w:p>
    <w:p>
      <w:pPr>
        <w:widowControl w:val="0"/>
        <w:spacing w:line="1" w:lineRule="exact"/>
        <w:sectPr>
          <w:footnotePr>
            <w:pos w:val="pageBottom"/>
            <w:numFmt w:val="decimal"/>
            <w:numRestart w:val="continuous"/>
          </w:footnotePr>
          <w:type w:val="continuous"/>
          <w:pgSz w:w="11900" w:h="16840"/>
          <w:pgMar w:top="1441" w:right="0" w:bottom="1" w:left="0"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widowControl w:val="0"/>
        <w:spacing w:after="1570" w:line="1" w:lineRule="exact"/>
        <w:sectPr>
          <w:footnotePr>
            <w:pos w:val="pageBottom"/>
            <w:numFmt w:val="decimal"/>
            <w:numRestart w:val="continuous"/>
          </w:footnotePr>
          <w:type w:val="continuous"/>
          <w:pgSz w:w="11900" w:h="16840"/>
          <w:pgMar w:top="1441" w:right="1114" w:bottom="1" w:left="1100" w:header="0" w:footer="3" w:gutter="0"/>
          <w:cols w:space="720"/>
          <w:noEndnote/>
          <w:rtlGutter w:val="0"/>
          <w:docGrid w:linePitch="360"/>
        </w:sectPr>
      </w:pPr>
      <w:r>
        <w:drawing>
          <wp:anchor distT="0" distB="0" distL="0" distR="0" simplePos="0" relativeHeight="62915147" behindDoc="1" locked="0" layoutInCell="1" allowOverlap="1">
            <wp:simplePos x="0" y="0"/>
            <wp:positionH relativeFrom="page">
              <wp:posOffset>5822315</wp:posOffset>
            </wp:positionH>
            <wp:positionV relativeFrom="paragraph">
              <wp:posOffset>0</wp:posOffset>
            </wp:positionV>
            <wp:extent cx="1737360" cy="999490"/>
            <wp:wrapNone/>
            <wp:docPr id="616" name="Shape 616"/>
            <a:graphic xmlns:a="http://schemas.openxmlformats.org/drawingml/2006/main">
              <a:graphicData uri="http://schemas.openxmlformats.org/drawingml/2006/picture">
                <pic:pic xmlns:pic="http://schemas.openxmlformats.org/drawingml/2006/picture">
                  <pic:nvPicPr>
                    <pic:cNvPr id="617" name="Picture box 617"/>
                    <pic:cNvPicPr/>
                  </pic:nvPicPr>
                  <pic:blipFill>
                    <a:blip r:embed="rId229"/>
                    <a:stretch/>
                  </pic:blipFill>
                  <pic:spPr>
                    <a:xfrm>
                      <a:ext cx="1737360" cy="999490"/>
                    </a:xfrm>
                    <a:prstGeom prst="rect"/>
                  </pic:spPr>
                </pic:pic>
              </a:graphicData>
            </a:graphic>
          </wp:anchor>
        </w:drawing>
      </w:r>
    </w:p>
    <w:p>
      <w:pPr>
        <w:pStyle w:val="Style34"/>
        <w:keepNext/>
        <w:keepLines/>
        <w:widowControl w:val="0"/>
        <w:shd w:val="clear" w:color="auto" w:fill="auto"/>
        <w:tabs>
          <w:tab w:pos="378" w:val="left"/>
        </w:tabs>
        <w:bidi w:val="0"/>
        <w:spacing w:before="0" w:after="380" w:line="317"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3</w:t>
      </w:r>
      <w:bookmarkEnd w:id="921"/>
      <w:r>
        <w:rPr>
          <w:color w:val="000000"/>
          <w:spacing w:val="0"/>
          <w:w w:val="100"/>
          <w:position w:val="0"/>
        </w:rPr>
        <w:t>、</w:t>
        <w:tab/>
        <w:t>合并范围发生变更的说明</w:t>
      </w:r>
      <w:bookmarkEnd w:id="919"/>
      <w:bookmarkEnd w:id="920"/>
      <w:bookmarkEnd w:id="922"/>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合并报表范围发生变更说明</w:t>
      </w:r>
    </w:p>
    <w:p>
      <w:pPr>
        <w:pStyle w:val="Style69"/>
        <w:keepNext w:val="0"/>
        <w:keepLines w:val="0"/>
        <w:widowControl w:val="0"/>
        <w:shd w:val="clear" w:color="auto" w:fill="auto"/>
        <w:bidi w:val="0"/>
        <w:spacing w:before="0" w:after="480" w:line="317" w:lineRule="exact"/>
        <w:ind w:left="0" w:right="0" w:firstLine="360"/>
        <w:jc w:val="left"/>
      </w:pPr>
      <w:r>
        <w:rPr>
          <w:color w:val="000000"/>
          <w:spacing w:val="0"/>
          <w:w w:val="100"/>
          <w:position w:val="0"/>
        </w:rPr>
        <w:t>与上年相比本年新增合并单位</w:t>
      </w:r>
      <w:r>
        <w:rPr>
          <w:rFonts w:ascii="Times New Roman" w:eastAsia="Times New Roman" w:hAnsi="Times New Roman" w:cs="Times New Roman"/>
          <w:color w:val="000000"/>
          <w:spacing w:val="0"/>
          <w:w w:val="100"/>
          <w:position w:val="0"/>
        </w:rPr>
        <w:t>1</w:t>
      </w:r>
      <w:r>
        <w:rPr>
          <w:color w:val="000000"/>
          <w:spacing w:val="0"/>
          <w:w w:val="100"/>
          <w:position w:val="0"/>
        </w:rPr>
        <w:t>家。鑫龙电器公司第五届董事会第三十一次会议决定设立亳州鑫龙电 气有限公司，公司以货币出资</w:t>
      </w:r>
      <w:r>
        <w:rPr>
          <w:rFonts w:ascii="Times New Roman" w:eastAsia="Times New Roman" w:hAnsi="Times New Roman" w:cs="Times New Roman"/>
          <w:color w:val="000000"/>
          <w:spacing w:val="0"/>
          <w:w w:val="100"/>
          <w:position w:val="0"/>
        </w:rPr>
        <w:t>5000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100%</w:t>
      </w:r>
      <w:r>
        <w:rPr>
          <w:color w:val="000000"/>
          <w:spacing w:val="0"/>
          <w:w w:val="100"/>
          <w:position w:val="0"/>
        </w:rPr>
        <w:t>,享有表决权比例为</w:t>
      </w:r>
      <w:r>
        <w:rPr>
          <w:rFonts w:ascii="Times New Roman" w:eastAsia="Times New Roman" w:hAnsi="Times New Roman" w:cs="Times New Roman"/>
          <w:color w:val="000000"/>
          <w:spacing w:val="0"/>
          <w:w w:val="100"/>
          <w:position w:val="0"/>
        </w:rPr>
        <w:t>100%</w:t>
      </w:r>
      <w:r>
        <w:rPr>
          <w:color w:val="000000"/>
          <w:spacing w:val="0"/>
          <w:w w:val="100"/>
          <w:position w:val="0"/>
        </w:rPr>
        <w:t>,故本期将其纳入 合并范围。</w:t>
      </w:r>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317" w:lineRule="exact"/>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4</w:t>
      </w:r>
      <w:bookmarkEnd w:id="925"/>
      <w:r>
        <w:rPr>
          <w:color w:val="000000"/>
          <w:spacing w:val="0"/>
          <w:w w:val="100"/>
          <w:position w:val="0"/>
        </w:rPr>
        <w:t>、</w:t>
        <w:tab/>
        <w:t>报告期内新纳入合并范围的主体和报告期内不再纳入合并范围的主体</w:t>
      </w:r>
      <w:bookmarkEnd w:id="923"/>
      <w:bookmarkEnd w:id="924"/>
      <w:bookmarkEnd w:id="9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亳州鑫龙电气有限公司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49,975,000.00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34"/>
        <w:keepNext/>
        <w:keepLines/>
        <w:widowControl w:val="0"/>
        <w:shd w:val="clear" w:color="auto" w:fill="auto"/>
        <w:bidi w:val="0"/>
        <w:spacing w:before="0" w:after="3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5</w:t>
      </w:r>
      <w:bookmarkEnd w:id="929"/>
      <w:r>
        <w:rPr>
          <w:color w:val="000000"/>
          <w:spacing w:val="0"/>
          <w:w w:val="100"/>
          <w:position w:val="0"/>
        </w:rPr>
        <w:t>、报告期内发生的同一控制下企业合并</w:t>
      </w:r>
      <w:bookmarkEnd w:id="927"/>
      <w:bookmarkEnd w:id="928"/>
      <w:bookmarkEnd w:id="93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34"/>
        <w:keepNext/>
        <w:keepLines/>
        <w:widowControl w:val="0"/>
        <w:shd w:val="clear" w:color="auto" w:fill="auto"/>
        <w:bidi w:val="0"/>
        <w:spacing w:before="0" w:after="3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6</w:t>
      </w:r>
      <w:bookmarkEnd w:id="933"/>
      <w:r>
        <w:rPr>
          <w:color w:val="000000"/>
          <w:spacing w:val="0"/>
          <w:w w:val="100"/>
          <w:position w:val="0"/>
        </w:rPr>
        <w:t>、报告期内发生的非同一控制下企业合并</w:t>
      </w:r>
      <w:bookmarkEnd w:id="931"/>
      <w:bookmarkEnd w:id="932"/>
      <w:bookmarkEnd w:id="93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7</w:t>
      </w:r>
      <w:bookmarkEnd w:id="937"/>
      <w:r>
        <w:rPr>
          <w:color w:val="000000"/>
          <w:spacing w:val="0"/>
          <w:w w:val="100"/>
          <w:position w:val="0"/>
        </w:rPr>
        <w:t>、报告期内出售丧失控制权的股权而减少子公司</w:t>
      </w:r>
      <w:bookmarkEnd w:id="935"/>
      <w:bookmarkEnd w:id="936"/>
      <w:bookmarkEnd w:id="938"/>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出售丧失控制权的股权而减少的子公司的其他说明</w:t>
      </w: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38"/>
        <w:keepNext w:val="0"/>
        <w:keepLines w:val="0"/>
        <w:widowControl w:val="0"/>
        <w:shd w:val="clear" w:color="auto" w:fill="auto"/>
        <w:bidi w:val="0"/>
        <w:spacing w:before="0" w:after="300" w:line="240" w:lineRule="auto"/>
        <w:ind w:left="0" w:right="0" w:firstLine="0"/>
        <w:jc w:val="right"/>
        <w:sectPr>
          <w:footnotePr>
            <w:pos w:val="pageBottom"/>
            <w:numFmt w:val="decimal"/>
            <w:numRestart w:val="continuous"/>
          </w:footnotePr>
          <w:pgSz w:w="11900" w:h="16840"/>
          <w:pgMar w:top="1232" w:right="1105" w:bottom="1106" w:left="1103" w:header="0" w:footer="3" w:gutter="0"/>
          <w:cols w:space="720"/>
          <w:noEndnote/>
          <w:rtlGutter w:val="0"/>
          <w:docGrid w:linePitch="360"/>
        </w:sectPr>
      </w:pPr>
      <w:r>
        <w:rPr>
          <w:spacing w:val="0"/>
          <w:w w:val="100"/>
          <w:position w:val="0"/>
        </w:rPr>
        <w:t>cnii</w:t>
      </w:r>
      <w:r>
        <w:rPr>
          <w:spacing w:val="0"/>
          <w:w w:val="100"/>
          <w:position w:val="0"/>
          <w:vertAlign w:val="subscript"/>
        </w:rPr>
        <w:t>101</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8</w:t>
      </w:r>
      <w:bookmarkEnd w:id="941"/>
      <w:r>
        <w:rPr>
          <w:color w:val="000000"/>
          <w:spacing w:val="0"/>
          <w:w w:val="100"/>
          <w:position w:val="0"/>
        </w:rPr>
        <w:t>、报告期内发生的反向购买</w:t>
      </w:r>
      <w:bookmarkEnd w:id="939"/>
      <w:bookmarkEnd w:id="940"/>
      <w:bookmarkEnd w:id="942"/>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合并中确认的商誉或计入当 期的损益的计算方法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反向购买的其他说明</w:t>
      </w:r>
    </w:p>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9</w:t>
      </w:r>
      <w:bookmarkEnd w:id="945"/>
      <w:r>
        <w:rPr>
          <w:color w:val="000000"/>
          <w:spacing w:val="0"/>
          <w:w w:val="100"/>
          <w:position w:val="0"/>
        </w:rPr>
        <w:t>、本报告期发生的吸收合并</w:t>
      </w:r>
      <w:bookmarkEnd w:id="943"/>
      <w:bookmarkEnd w:id="944"/>
      <w:bookmarkEnd w:id="9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吸收合并的其他说明</w:t>
      </w:r>
    </w:p>
    <w:p>
      <w:pPr>
        <w:pStyle w:val="Style34"/>
        <w:keepNext/>
        <w:keepLines/>
        <w:widowControl w:val="0"/>
        <w:shd w:val="clear" w:color="auto" w:fill="auto"/>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947"/>
      <w:bookmarkEnd w:id="948"/>
      <w:bookmarkEnd w:id="950"/>
    </w:p>
    <w:p>
      <w:pPr>
        <w:pStyle w:val="Style25"/>
        <w:keepNext/>
        <w:keepLines/>
        <w:widowControl w:val="0"/>
        <w:shd w:val="clear" w:color="auto" w:fill="auto"/>
        <w:bidi w:val="0"/>
        <w:spacing w:before="0" w:after="34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sz w:val="24"/>
          <w:szCs w:val="24"/>
        </w:rPr>
        <w:t>七</w:t>
      </w:r>
      <w:bookmarkEnd w:id="953"/>
      <w:r>
        <w:rPr>
          <w:color w:val="000000"/>
          <w:spacing w:val="0"/>
          <w:w w:val="100"/>
          <w:position w:val="0"/>
          <w:sz w:val="24"/>
          <w:szCs w:val="24"/>
        </w:rPr>
        <w:t>、合并财务报表主要项目注释</w:t>
      </w:r>
      <w:bookmarkEnd w:id="951"/>
      <w:bookmarkEnd w:id="952"/>
      <w:bookmarkEnd w:id="954"/>
    </w:p>
    <w:p>
      <w:pPr>
        <w:pStyle w:val="Style34"/>
        <w:keepNext/>
        <w:keepLines/>
        <w:widowControl w:val="0"/>
        <w:shd w:val="clear" w:color="auto" w:fill="auto"/>
        <w:bidi w:val="0"/>
        <w:spacing w:before="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1</w:t>
      </w:r>
      <w:bookmarkEnd w:id="957"/>
      <w:r>
        <w:rPr>
          <w:color w:val="000000"/>
          <w:spacing w:val="0"/>
          <w:w w:val="100"/>
          <w:position w:val="0"/>
        </w:rPr>
        <w:t>、货币资金</w:t>
      </w:r>
      <w:bookmarkEnd w:id="955"/>
      <w:bookmarkEnd w:id="956"/>
      <w:bookmarkEnd w:id="9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241,848.12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789,170.73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241,848.12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789,170.73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408,428,297.29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473,610,796.00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408,058,165.95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473,229,408.45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60,708.12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370,131.34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60,677.36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381,387.55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30,056,267.87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31,601,108.24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30,056,267.87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31,601,108.24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438,726,413.28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506,001,074.97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339" w:line="1" w:lineRule="exact"/>
      </w:pPr>
    </w:p>
    <w:p>
      <w:pPr>
        <w:pStyle w:val="Style69"/>
        <w:keepNext w:val="0"/>
        <w:keepLines w:val="0"/>
        <w:widowControl w:val="0"/>
        <w:shd w:val="clear" w:color="auto" w:fill="auto"/>
        <w:bidi w:val="0"/>
        <w:spacing w:before="0" w:after="0" w:line="240" w:lineRule="auto"/>
        <w:ind w:left="0" w:right="0"/>
        <w:jc w:val="left"/>
      </w:pPr>
      <w:r>
        <w:rPr>
          <w:color w:val="000000"/>
          <w:spacing w:val="0"/>
          <w:w w:val="100"/>
          <w:position w:val="0"/>
        </w:rPr>
        <w:t>其中受限制的货币资金明细如下:</w:t>
      </w:r>
    </w:p>
    <w:tbl>
      <w:tblPr>
        <w:tblOverlap w:val="never"/>
        <w:jc w:val="left"/>
        <w:tblLayout w:type="fixed"/>
      </w:tblPr>
      <w:tblGrid>
        <w:gridCol w:w="3662"/>
        <w:gridCol w:w="2438"/>
        <w:gridCol w:w="2467"/>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21,409,535.71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24,600,047.67</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保函保证金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8,646,732.16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6,051,060.57</w:t>
            </w:r>
          </w:p>
        </w:tc>
      </w:tr>
    </w:tbl>
    <w:p>
      <w:pPr>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232" w:right="1105" w:bottom="1106" w:left="1103" w:header="0" w:footer="3" w:gutter="0"/>
          <w:cols w:space="720"/>
          <w:noEndnote/>
          <w:rtlGutter w:val="0"/>
          <w:docGrid w:linePitch="360"/>
        </w:sectPr>
      </w:pPr>
    </w:p>
    <w:tbl>
      <w:tblPr>
        <w:tblOverlap w:val="never"/>
        <w:jc w:val="left"/>
        <w:tblLayout w:type="fixed"/>
      </w:tblPr>
      <w:tblGrid>
        <w:gridCol w:w="3662"/>
        <w:gridCol w:w="2438"/>
        <w:gridCol w:w="2467"/>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950,000.00</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59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30,056,267.87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31,601,108.24</w:t>
            </w:r>
          </w:p>
        </w:tc>
      </w:tr>
    </w:tbl>
    <w:p>
      <w:pPr>
        <w:widowControl w:val="0"/>
        <w:spacing w:after="859" w:line="1" w:lineRule="exact"/>
      </w:pPr>
    </w:p>
    <w:p>
      <w:pPr>
        <w:pStyle w:val="Style34"/>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color w:val="000000"/>
          <w:spacing w:val="0"/>
          <w:w w:val="100"/>
          <w:position w:val="0"/>
        </w:rPr>
        <w:t>、应收票据</w:t>
      </w:r>
      <w:bookmarkEnd w:id="959"/>
      <w:bookmarkEnd w:id="960"/>
      <w:bookmarkEnd w:id="962"/>
    </w:p>
    <w:p>
      <w:pPr>
        <w:pStyle w:val="Style34"/>
        <w:keepNext/>
        <w:keepLines/>
        <w:widowControl w:val="0"/>
        <w:numPr>
          <w:ilvl w:val="0"/>
          <w:numId w:val="17"/>
        </w:numPr>
        <w:shd w:val="clear" w:color="auto" w:fill="auto"/>
        <w:bidi w:val="0"/>
        <w:spacing w:before="0" w:after="360" w:line="240" w:lineRule="auto"/>
        <w:ind w:left="0" w:right="0" w:firstLine="140"/>
        <w:jc w:val="left"/>
      </w:pPr>
      <w:bookmarkStart w:id="959" w:name="bookmark959"/>
      <w:bookmarkStart w:id="960" w:name="bookmark960"/>
      <w:bookmarkStart w:id="963" w:name="bookmark963"/>
      <w:bookmarkStart w:id="964" w:name="bookmark964"/>
      <w:bookmarkEnd w:id="963"/>
      <w:r>
        <w:rPr>
          <w:color w:val="000000"/>
          <w:spacing w:val="0"/>
          <w:w w:val="100"/>
          <w:position w:val="0"/>
        </w:rPr>
        <w:t>应收票据的分类</w:t>
      </w:r>
      <w:bookmarkEnd w:id="959"/>
      <w:bookmarkEnd w:id="960"/>
      <w:bookmarkEnd w:id="9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78,440,498.15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59,190,578.47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5,357,840.80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83,798,338.95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59,190,578.47</w:t>
            </w:r>
          </w:p>
        </w:tc>
      </w:tr>
    </w:tbl>
    <w:p>
      <w:pPr>
        <w:widowControl w:val="0"/>
        <w:spacing w:after="359" w:line="1" w:lineRule="exact"/>
      </w:pPr>
    </w:p>
    <w:p>
      <w:pPr>
        <w:pStyle w:val="Style34"/>
        <w:keepNext/>
        <w:keepLines/>
        <w:widowControl w:val="0"/>
        <w:numPr>
          <w:ilvl w:val="0"/>
          <w:numId w:val="17"/>
        </w:numPr>
        <w:shd w:val="clear" w:color="auto" w:fill="auto"/>
        <w:bidi w:val="0"/>
        <w:spacing w:before="0" w:after="360" w:line="240" w:lineRule="auto"/>
        <w:ind w:left="0" w:right="0" w:firstLine="140"/>
        <w:jc w:val="left"/>
      </w:pPr>
      <w:bookmarkStart w:id="965" w:name="bookmark965"/>
      <w:bookmarkStart w:id="966" w:name="bookmark966"/>
      <w:bookmarkStart w:id="967" w:name="bookmark967"/>
      <w:bookmarkStart w:id="968" w:name="bookmark968"/>
      <w:bookmarkEnd w:id="967"/>
      <w:r>
        <w:rPr>
          <w:color w:val="000000"/>
          <w:spacing w:val="0"/>
          <w:w w:val="100"/>
          <w:position w:val="0"/>
        </w:rPr>
        <w:t>期末已质押的应收票据情况</w:t>
      </w:r>
      <w:bookmarkEnd w:id="965"/>
      <w:bookmarkEnd w:id="966"/>
      <w:bookmarkEnd w:id="9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19" w:line="1" w:lineRule="exact"/>
      </w:pPr>
    </w:p>
    <w:p>
      <w:pPr>
        <w:pStyle w:val="Style34"/>
        <w:keepNext/>
        <w:keepLines/>
        <w:widowControl w:val="0"/>
        <w:numPr>
          <w:ilvl w:val="0"/>
          <w:numId w:val="17"/>
        </w:numPr>
        <w:shd w:val="clear" w:color="auto" w:fill="auto"/>
        <w:bidi w:val="0"/>
        <w:spacing w:before="0" w:after="360" w:line="336" w:lineRule="exact"/>
        <w:ind w:left="0" w:right="0" w:firstLine="0"/>
        <w:jc w:val="left"/>
      </w:pPr>
      <w:bookmarkStart w:id="969" w:name="bookmark969"/>
      <w:bookmarkStart w:id="970" w:name="bookmark970"/>
      <w:bookmarkStart w:id="971" w:name="bookmark971"/>
      <w:bookmarkStart w:id="972" w:name="bookmark972"/>
      <w:bookmarkEnd w:id="971"/>
      <w:r>
        <w:rPr>
          <w:color w:val="000000"/>
          <w:spacing w:val="0"/>
          <w:w w:val="100"/>
          <w:position w:val="0"/>
        </w:rPr>
        <w:t>因出票人无力履约而将票据转为应收账款的票据，以及期末公司已经背书给他方但尚未到期的票据 情况</w:t>
      </w:r>
      <w:bookmarkEnd w:id="969"/>
      <w:bookmarkEnd w:id="970"/>
      <w:bookmarkEnd w:id="97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因出票人无力履约而将票据转为应收账款的票据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10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安徽皖煤物资贸易有限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大连华锐重工集团股份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安徽省安庆市金誉金属</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湖北大峪口化工有限责 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济南晟源钢板有限公司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9" w:line="1" w:lineRule="exact"/>
      </w:pPr>
    </w:p>
    <w:p>
      <w:pPr>
        <w:widowControl w:val="0"/>
        <w:jc w:val="center"/>
        <w:rPr>
          <w:sz w:val="2"/>
          <w:szCs w:val="2"/>
        </w:rPr>
        <w:sectPr>
          <w:headerReference w:type="default" r:id="rId235"/>
          <w:footerReference w:type="default" r:id="rId236"/>
          <w:headerReference w:type="even" r:id="rId237"/>
          <w:footerReference w:type="even" r:id="rId238"/>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642" name="Picutre 642"/>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239"/>
                    <a:stretch/>
                  </pic:blipFill>
                  <pic:spPr>
                    <a:xfrm>
                      <a:ext cx="402590" cy="146050"/>
                    </a:xfrm>
                    <a:prstGeom prst="rect"/>
                  </pic:spPr>
                </pic:pic>
              </a:graphicData>
            </a:graphic>
          </wp:inline>
        </w:drawing>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已贴现或质押的商业承兑票据的说明</w:t>
      </w:r>
    </w:p>
    <w:p>
      <w:pPr>
        <w:pStyle w:val="Style69"/>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Courier New" w:eastAsia="Courier New" w:hAnsi="Courier New" w:cs="Courier New"/>
          <w:color w:val="000000"/>
          <w:spacing w:val="0"/>
          <w:w w:val="100"/>
          <w:position w:val="0"/>
        </w:rPr>
        <w:t>0</w:t>
      </w:r>
      <w:r>
        <w:rPr>
          <w:color w:val="000000"/>
          <w:spacing w:val="0"/>
          <w:w w:val="100"/>
          <w:position w:val="0"/>
        </w:rPr>
        <w:t>止，本公司用于贴现未到期的商业承兑票据为人民币</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34"/>
        <w:keepNext/>
        <w:keepLines/>
        <w:widowControl w:val="0"/>
        <w:shd w:val="clear" w:color="auto" w:fill="auto"/>
        <w:bidi w:val="0"/>
        <w:spacing w:before="0" w:after="3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color w:val="000000"/>
          <w:spacing w:val="0"/>
          <w:w w:val="100"/>
          <w:position w:val="0"/>
        </w:rPr>
        <w:t>、应收账款</w:t>
      </w:r>
      <w:bookmarkEnd w:id="973"/>
      <w:bookmarkEnd w:id="974"/>
      <w:bookmarkEnd w:id="976"/>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973" w:name="bookmark973"/>
      <w:bookmarkStart w:id="974" w:name="bookmark974"/>
      <w:bookmarkStart w:id="977" w:name="bookmark977"/>
      <w:bookmarkStart w:id="978" w:name="bookmark978"/>
      <w:bookmarkEnd w:id="977"/>
      <w:r>
        <w:rPr>
          <w:color w:val="000000"/>
          <w:spacing w:val="0"/>
          <w:w w:val="100"/>
          <w:position w:val="0"/>
        </w:rPr>
        <w:t>应收账款按种类披露</w:t>
      </w:r>
      <w:bookmarkEnd w:id="973"/>
      <w:bookmarkEnd w:id="974"/>
      <w:bookmarkEnd w:id="9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按照账龄组合计提坏账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739,381,79</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51,739,336.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665,984,9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33,491,938.2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739,381,79</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51,739,336.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665,984,9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33,491,938.2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739,381,79</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51,739,336.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665,984,9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33,491,938.2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40" w:line="331"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466,431,679.49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13,992,950.38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514,009,146.34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15,420,274.40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210,219,773.16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21,021,977.32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128,836,480.86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12,883,648.09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48,802,543.44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9,760,508.69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21,272,159.42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4,254,431.88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13,927,799.39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6,963,899.70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1,867,167.73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933,583.87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739,381,795.48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51,739,336.09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665,984,954.35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33,491,938.24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本报告期转回或收回的应收账款情况</w:t>
      </w:r>
      <w:bookmarkEnd w:id="979"/>
      <w:bookmarkEnd w:id="980"/>
      <w:bookmarkEnd w:id="9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本报告期实际核销的应收账款情况</w:t>
      </w:r>
      <w:bookmarkEnd w:id="983"/>
      <w:bookmarkEnd w:id="984"/>
      <w:bookmarkEnd w:id="9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87"/>
      <w:bookmarkEnd w:id="988"/>
      <w:bookmarkEnd w:id="99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7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991" w:name="bookmark991"/>
      <w:bookmarkStart w:id="992" w:name="bookmark992"/>
      <w:bookmarkStart w:id="993" w:name="bookmark993"/>
      <w:bookmarkStart w:id="994" w:name="bookmark994"/>
      <w:bookmarkEnd w:id="993"/>
      <w:r>
        <w:rPr>
          <w:color w:val="000000"/>
          <w:spacing w:val="0"/>
          <w:w w:val="100"/>
          <w:position w:val="0"/>
        </w:rPr>
        <w:t>应收账款中金额前五名单位情况</w:t>
      </w:r>
      <w:bookmarkEnd w:id="991"/>
      <w:bookmarkEnd w:id="992"/>
      <w:bookmarkEnd w:id="9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中国银行股份有限公司 安徽省分行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23,690,712.60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合肥淮成电力设备有限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19,663,354.50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中国铁建电气化局集团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17,674,611.80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10,524,387.80 </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中铁电气化局集团有限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16,642,599.00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r>
    </w:tbl>
    <w:p>
      <w:pPr>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364" w:right="1107" w:bottom="1446" w:left="1107"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公司杭州至长沙铁路客 运专线江西段系统集成 项目部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中铁电气化局集团有限 公司杭长客专湖南段系 统集成项目部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14,968,278.00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92,639,555.90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r>
    </w:tbl>
    <w:p>
      <w:pPr>
        <w:widowControl w:val="0"/>
        <w:spacing w:after="31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应收关联方账款情况</w:t>
      </w:r>
      <w:bookmarkEnd w:id="995"/>
      <w:bookmarkEnd w:id="996"/>
      <w:bookmarkEnd w:id="9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终止确认的应收款项情况</w:t>
      </w:r>
      <w:bookmarkEnd w:id="1000"/>
      <w:bookmarkEnd w:id="1002"/>
      <w:bookmarkEnd w:id="999"/>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以应收款项为标的进行证券化的，列示继续涉入形成的资产、负债的金额</w:t>
      </w:r>
      <w:bookmarkEnd w:id="1003"/>
      <w:bookmarkEnd w:id="1004"/>
      <w:bookmarkEnd w:id="1006"/>
    </w:p>
    <w:p>
      <w:pPr>
        <w:pStyle w:val="Style29"/>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4</w:t>
      </w:r>
      <w:bookmarkEnd w:id="1009"/>
      <w:r>
        <w:rPr>
          <w:color w:val="000000"/>
          <w:spacing w:val="0"/>
          <w:w w:val="100"/>
          <w:position w:val="0"/>
        </w:rPr>
        <w:t>、其他应收款</w:t>
      </w:r>
      <w:bookmarkEnd w:id="1007"/>
      <w:bookmarkEnd w:id="1008"/>
      <w:bookmarkEnd w:id="1010"/>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07" w:name="bookmark1007"/>
      <w:bookmarkStart w:id="1008" w:name="bookmark1008"/>
      <w:bookmarkStart w:id="1011" w:name="bookmark1011"/>
      <w:bookmarkStart w:id="1012" w:name="bookmark1012"/>
      <w:bookmarkEnd w:id="1011"/>
      <w:r>
        <w:rPr>
          <w:color w:val="000000"/>
          <w:spacing w:val="0"/>
          <w:w w:val="100"/>
          <w:position w:val="0"/>
        </w:rPr>
        <w:t>其他应收款按种类披露</w:t>
      </w:r>
      <w:bookmarkEnd w:id="1007"/>
      <w:bookmarkEnd w:id="1008"/>
      <w:bookmarkEnd w:id="10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按照账龄组合计提坏账 准备的其他应收款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46,337,014.2</w:t>
            </w:r>
          </w:p>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2,117,016.59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40,439,194.9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1,932,967.72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46,337,014.2</w:t>
            </w:r>
          </w:p>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2,117,016.59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40,439,194.9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1,932,967.72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46,337,014.2</w:t>
            </w:r>
          </w:p>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2,117,016.59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40,439,194.9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1,932,967.72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40" w:line="331"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sz w:val="16"/>
          <w:szCs w:val="16"/>
        </w:rPr>
        <w:t>V</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40,552,505.06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1,216,575.15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36,172,825.58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1,085,184.77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4,134,850.42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413,485.05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1,789,146.51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178,914.65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1,126,243.29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225,248.66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1,899,143.70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379,828.74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523,415.45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261,707.73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578,079.11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289,039.56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46,337,014.22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2,117,016.59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40,439,194.90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1,932,967.72</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6"/>
          <w:szCs w:val="16"/>
        </w:rPr>
        <w:t>V</w:t>
      </w:r>
      <w:r>
        <w:rPr>
          <w:color w:val="000000"/>
          <w:spacing w:val="0"/>
          <w:w w:val="100"/>
          <w:position w:val="0"/>
        </w:rPr>
        <w:t>不适用</w:t>
      </w:r>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本报告期转回或收回的其他应收款情况</w:t>
      </w:r>
      <w:bookmarkEnd w:id="1013"/>
      <w:bookmarkEnd w:id="1014"/>
      <w:bookmarkEnd w:id="10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本报告期实际核销的其他应收款情况</w:t>
      </w:r>
      <w:bookmarkEnd w:id="1017"/>
      <w:bookmarkEnd w:id="1018"/>
      <w:bookmarkEnd w:id="1020"/>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11900" w:h="16840"/>
          <w:pgMar w:top="1364" w:right="1107" w:bottom="1446" w:left="1107" w:header="0" w:footer="3" w:gutter="0"/>
          <w:cols w:space="720"/>
          <w:noEndnote/>
          <w:titlePg/>
          <w:rtlGutter w:val="0"/>
          <w:docGrid w:linePitch="360"/>
        </w:sectPr>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21"/>
      <w:bookmarkEnd w:id="1022"/>
      <w:bookmarkEnd w:id="102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金额较大的其他应收款的性质或内容</w:t>
      </w:r>
      <w:bookmarkEnd w:id="1025"/>
      <w:bookmarkEnd w:id="1026"/>
      <w:bookmarkEnd w:id="102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其他应收款金额前五名单位情况</w:t>
      </w:r>
      <w:bookmarkEnd w:id="1029"/>
      <w:bookmarkEnd w:id="1030"/>
      <w:bookmarkEnd w:id="10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芜湖市鸠江区财政局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2,586,499.00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蚌埠皖投融富投资管理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699,161.10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昆明新投建设项目管理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542,686.58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喻超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公司员工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中铁四局集团房地产开 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4,880,146.68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w:t>
            </w:r>
          </w:p>
        </w:tc>
      </w:tr>
    </w:tbl>
    <w:p>
      <w:pPr>
        <w:widowControl w:val="0"/>
        <w:spacing w:after="319" w:line="1" w:lineRule="exact"/>
      </w:pPr>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其他应收关联方账款情况</w:t>
      </w:r>
      <w:bookmarkEnd w:id="1033"/>
      <w:bookmarkEnd w:id="1034"/>
      <w:bookmarkEnd w:id="10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21"/>
        </w:numPr>
        <w:shd w:val="clear" w:color="auto" w:fill="auto"/>
        <w:bidi w:val="0"/>
        <w:spacing w:before="0" w:after="38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终止确认的其他应收款项情况</w:t>
      </w:r>
      <w:bookmarkEnd w:id="1037"/>
      <w:bookmarkEnd w:id="1038"/>
      <w:bookmarkEnd w:id="104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1839" w:line="1" w:lineRule="exact"/>
      </w:pPr>
    </w:p>
    <w:p>
      <w:pPr>
        <w:widowControl w:val="0"/>
        <w:jc w:val="center"/>
        <w:rPr>
          <w:sz w:val="2"/>
          <w:szCs w:val="2"/>
        </w:rPr>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484" w:right="1109" w:bottom="193" w:left="1109" w:header="0" w:footer="3" w:gutter="0"/>
          <w:cols w:space="720"/>
          <w:noEndnote/>
          <w:rtlGutter w:val="0"/>
          <w:docGrid w:linePitch="360"/>
        </w:sectPr>
      </w:pPr>
      <w:r>
        <w:drawing>
          <wp:inline>
            <wp:extent cx="402590" cy="146050"/>
            <wp:docPr id="688" name="Picutre 688"/>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255"/>
                    <a:stretch/>
                  </pic:blipFill>
                  <pic:spPr>
                    <a:xfrm>
                      <a:ext cx="402590" cy="146050"/>
                    </a:xfrm>
                    <a:prstGeom prst="rect"/>
                  </pic:spPr>
                </pic:pic>
              </a:graphicData>
            </a:graphic>
          </wp:inline>
        </w:drawing>
      </w:r>
    </w:p>
    <w:p>
      <w:pPr>
        <w:pStyle w:val="Style34"/>
        <w:keepNext/>
        <w:keepLines/>
        <w:widowControl w:val="0"/>
        <w:shd w:val="clear" w:color="auto" w:fill="auto"/>
        <w:bidi w:val="0"/>
        <w:spacing w:before="0" w:after="36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w:t>
      </w:r>
      <w:bookmarkEnd w:id="1043"/>
      <w:r>
        <w:rPr>
          <w:rFonts w:ascii="Times New Roman" w:eastAsia="Times New Roman" w:hAnsi="Times New Roman" w:cs="Times New Roman"/>
          <w:color w:val="000000"/>
          <w:spacing w:val="0"/>
          <w:w w:val="100"/>
          <w:position w:val="0"/>
        </w:rPr>
        <w:t>9</w:t>
      </w:r>
      <w:r>
        <w:rPr>
          <w:color w:val="000000"/>
          <w:spacing w:val="0"/>
          <w:w w:val="100"/>
          <w:position w:val="0"/>
        </w:rPr>
        <w:t>）以其他应收款为标的进行证券化的，列示继续涉入形成的资产、负债的金额</w:t>
      </w:r>
      <w:bookmarkEnd w:id="1041"/>
      <w:bookmarkEnd w:id="1042"/>
      <w:bookmarkEnd w:id="10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w:t>
      </w:r>
      <w:bookmarkEnd w:id="1047"/>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045"/>
      <w:bookmarkEnd w:id="1046"/>
      <w:bookmarkEnd w:id="10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5</w:t>
      </w:r>
      <w:bookmarkEnd w:id="1051"/>
      <w:r>
        <w:rPr>
          <w:color w:val="000000"/>
          <w:spacing w:val="0"/>
          <w:w w:val="100"/>
          <w:position w:val="0"/>
        </w:rPr>
        <w:t>、预付款项</w:t>
      </w:r>
      <w:bookmarkEnd w:id="1049"/>
      <w:bookmarkEnd w:id="1050"/>
      <w:bookmarkEnd w:id="1052"/>
    </w:p>
    <w:p>
      <w:pPr>
        <w:pStyle w:val="Style34"/>
        <w:keepNext/>
        <w:keepLines/>
        <w:widowControl w:val="0"/>
        <w:shd w:val="clear" w:color="auto" w:fill="auto"/>
        <w:bidi w:val="0"/>
        <w:spacing w:before="0" w:after="360" w:line="240" w:lineRule="auto"/>
        <w:ind w:left="0" w:right="0" w:firstLine="0"/>
        <w:jc w:val="left"/>
      </w:pPr>
      <w:bookmarkStart w:id="1049" w:name="bookmark1049"/>
      <w:bookmarkStart w:id="1050" w:name="bookmark1050"/>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9"/>
      <w:bookmarkEnd w:id="1050"/>
      <w:bookmarkEnd w:id="10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20,249,486.66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31,941,627.90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174,612.92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1,578,005.53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488,668.68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452,497.81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1,259,930.27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910,058.16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22,172,698.53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34,882,189.40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34"/>
        <w:keepNext/>
        <w:keepLines/>
        <w:widowControl w:val="0"/>
        <w:shd w:val="clear" w:color="auto" w:fill="auto"/>
        <w:bidi w:val="0"/>
        <w:spacing w:before="0" w:after="36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55"/>
      <w:bookmarkEnd w:id="1056"/>
      <w:bookmarkEnd w:id="10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辽宁高压电器产品质量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质量检测单位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4,976,600.00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未检测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ABB </w:t>
            </w:r>
            <w:r>
              <w:rPr>
                <w:color w:val="000000"/>
                <w:spacing w:val="0"/>
                <w:w w:val="100"/>
                <w:position w:val="0"/>
              </w:rPr>
              <w:t>（中国）有限公司 上海分公司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2,490,768.07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货未到</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合肥杰诺电气设备有限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2,470,700.00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货未到</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上海人民输配电设备有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材料供应商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729,004.00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货未到</w:t>
            </w:r>
          </w:p>
        </w:tc>
      </w:tr>
    </w:tbl>
    <w:p>
      <w:pPr>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1470" w:right="1109" w:bottom="1470" w:left="1109"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36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上海兴和科技发展有限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材料供应商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货未到</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11,151,039.07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34"/>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59"/>
      <w:bookmarkEnd w:id="1060"/>
      <w:bookmarkEnd w:id="10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063"/>
      <w:bookmarkEnd w:id="1064"/>
      <w:bookmarkEnd w:id="1066"/>
    </w:p>
    <w:p>
      <w:pPr>
        <w:pStyle w:val="Style34"/>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7" w:name="bookmark1067"/>
      <w:bookmarkStart w:id="1068" w:name="bookmark1068"/>
      <w:r>
        <w:rPr>
          <w:rFonts w:ascii="Times New Roman" w:eastAsia="Times New Roman" w:hAnsi="Times New Roman" w:cs="Times New Roman"/>
          <w:color w:val="000000"/>
          <w:spacing w:val="0"/>
          <w:w w:val="100"/>
          <w:position w:val="0"/>
        </w:rPr>
        <w:t>6</w:t>
      </w:r>
      <w:bookmarkEnd w:id="1067"/>
      <w:r>
        <w:rPr>
          <w:color w:val="000000"/>
          <w:spacing w:val="0"/>
          <w:w w:val="100"/>
          <w:position w:val="0"/>
        </w:rPr>
        <w:t>、存货</w:t>
      </w:r>
      <w:bookmarkEnd w:id="1063"/>
      <w:bookmarkEnd w:id="1064"/>
      <w:bookmarkEnd w:id="1068"/>
    </w:p>
    <w:p>
      <w:pPr>
        <w:pStyle w:val="Style34"/>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3"/>
      <w:bookmarkEnd w:id="1064"/>
      <w:bookmarkEnd w:id="10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53,345,598.92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53,345,598.92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43,253,298.64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43,253,298.64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57,664,976.63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57,664,976.63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47,490,107.47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47,490,107.47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408,330,504.24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408,330,504.24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330,544,434.62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330,544,434.62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83,612.35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35,704.58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519,424,692.14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519,424,692.14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421,323,545.31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421,323,545.31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71"/>
      <w:bookmarkEnd w:id="1072"/>
      <w:bookmarkEnd w:id="107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47"/>
        <w:gridCol w:w="653"/>
        <w:gridCol w:w="960"/>
        <w:gridCol w:w="1430"/>
        <w:gridCol w:w="187"/>
        <w:gridCol w:w="1411"/>
        <w:gridCol w:w="797"/>
        <w:gridCol w:w="634"/>
        <w:gridCol w:w="17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922" w:hRule="exact"/>
        </w:trPr>
        <w:tc>
          <w:tcPr>
            <w:gridSpan w:val="9"/>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p>
    <w:p>
      <w:pPr>
        <w:widowControl w:val="0"/>
        <w:spacing w:after="579" w:line="1" w:lineRule="exact"/>
      </w:pPr>
    </w:p>
    <w:p>
      <w:pPr>
        <w:widowControl w:val="0"/>
        <w:jc w:val="center"/>
        <w:rPr>
          <w:sz w:val="2"/>
          <w:szCs w:val="2"/>
        </w:rPr>
        <w:sectPr>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699" name="Picutre 699"/>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261"/>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7</w:t>
      </w:r>
      <w:bookmarkEnd w:id="1077"/>
      <w:r>
        <w:rPr>
          <w:color w:val="000000"/>
          <w:spacing w:val="0"/>
          <w:w w:val="100"/>
          <w:position w:val="0"/>
        </w:rPr>
        <w:t>、对合营企业投资和联营企业投资</w:t>
      </w:r>
      <w:bookmarkEnd w:id="1075"/>
      <w:bookmarkEnd w:id="1076"/>
      <w:bookmarkEnd w:id="10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安徽美能储能 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64,836,952.71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7,012,288.57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57,824,664.14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602,918.56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-15,375,613.57</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湖北祥华鑫龙 电力发展股份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2,882,912.43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2,882,912.43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-117,087.57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8</w:t>
      </w:r>
      <w:bookmarkEnd w:id="1081"/>
      <w:r>
        <w:rPr>
          <w:color w:val="000000"/>
          <w:spacing w:val="0"/>
          <w:w w:val="100"/>
          <w:position w:val="0"/>
        </w:rPr>
        <w:t>、长期股权投资</w:t>
      </w:r>
      <w:bookmarkEnd w:id="1079"/>
      <w:bookmarkEnd w:id="1080"/>
      <w:bookmarkEnd w:id="1082"/>
    </w:p>
    <w:p>
      <w:pPr>
        <w:pStyle w:val="Style34"/>
        <w:keepNext/>
        <w:keepLines/>
        <w:widowControl w:val="0"/>
        <w:numPr>
          <w:ilvl w:val="0"/>
          <w:numId w:val="23"/>
        </w:numPr>
        <w:shd w:val="clear" w:color="auto" w:fill="auto"/>
        <w:bidi w:val="0"/>
        <w:spacing w:before="0" w:after="360" w:line="240" w:lineRule="auto"/>
        <w:ind w:left="0" w:right="0" w:firstLine="0"/>
        <w:jc w:val="left"/>
      </w:pPr>
      <w:bookmarkStart w:id="1079" w:name="bookmark1079"/>
      <w:bookmarkStart w:id="1080" w:name="bookmark1080"/>
      <w:bookmarkStart w:id="1083" w:name="bookmark1083"/>
      <w:bookmarkStart w:id="1084" w:name="bookmark1084"/>
      <w:bookmarkEnd w:id="1083"/>
      <w:r>
        <w:rPr>
          <w:color w:val="000000"/>
          <w:spacing w:val="0"/>
          <w:w w:val="100"/>
          <w:position w:val="0"/>
        </w:rPr>
        <w:t>长期股权投资明细情况</w:t>
      </w:r>
      <w:bookmarkEnd w:id="1079"/>
      <w:bookmarkEnd w:id="1080"/>
      <w:bookmarkEnd w:id="1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一、对联 营企业投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安徽美能 储能系统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39,593,10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33,467,70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26,414,91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湖北祥华 鑫龙电力 发展股份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696,291.9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二、对其 他企业投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芜湖市中 小企业信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09" w:bottom="1518" w:left="1105" w:header="0" w:footer="3" w:gutter="0"/>
          <w:cols w:space="720"/>
          <w:noEndnote/>
          <w:rtlGutter w:val="0"/>
          <w:docGrid w:linePitch="360"/>
        </w:sectPr>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用担保有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芜湖扬子 农村商业 银行股份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46,343,10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39,467,70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33,111,20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085" w:name="bookmark1085"/>
      <w:bookmarkStart w:id="1086" w:name="bookmark1086"/>
      <w:bookmarkStart w:id="1087" w:name="bookmark1087"/>
      <w:r>
        <w:rPr>
          <w:color w:val="000000"/>
          <w:spacing w:val="0"/>
          <w:w w:val="100"/>
          <w:position w:val="0"/>
        </w:rPr>
        <w:t>⑵向投资企业转移资金的能力受到限制的有关情况</w:t>
      </w:r>
      <w:bookmarkEnd w:id="1085"/>
      <w:bookmarkEnd w:id="1086"/>
      <w:bookmarkEnd w:id="10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4"/>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9</w:t>
      </w:r>
      <w:bookmarkEnd w:id="1090"/>
      <w:r>
        <w:rPr>
          <w:color w:val="000000"/>
          <w:spacing w:val="0"/>
          <w:w w:val="100"/>
          <w:position w:val="0"/>
        </w:rPr>
        <w:t>、固定资产</w:t>
      </w:r>
      <w:bookmarkEnd w:id="1088"/>
      <w:bookmarkEnd w:id="1089"/>
      <w:bookmarkEnd w:id="1091"/>
    </w:p>
    <w:p>
      <w:pPr>
        <w:pStyle w:val="Style34"/>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2" w:name="bookmark10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88"/>
      <w:bookmarkEnd w:id="1089"/>
      <w:bookmarkEnd w:id="10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313,597,999.22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89,778,831.95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785,738.08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402,591,093.09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206,391,589.99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78,466,541.76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284,858,131.75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73,352,358.83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9,390,407.53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82,742,766.36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17,621,803.21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1,096,406.00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550,123.50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18,168,085.71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16,232,247.19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825,476.66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235,614.58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16,822,109.27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79,163,809.35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21,594,080.70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751,133.25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100,006,756.80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30,544,854.38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9,868,110.67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40,412,965.05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31,554,269.04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6,903,740.80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38,458,009.84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9,250,922.88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2,630,434.77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522,617.32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11,358,740.33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7,813,763.05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2,191,794.46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228,515.93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9,777,041.58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234,434,189.87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302,584,336.29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175,846,735.61</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244,445,166.70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41,798,089.79</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44,284,756.52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8,370,880.33</w:t>
            </w:r>
          </w:p>
        </w:tc>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6,809,345.38</w:t>
            </w:r>
          </w:p>
        </w:tc>
      </w:tr>
    </w:tbl>
    <w:p>
      <w:pPr>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441" w:right="1109" w:bottom="1518" w:left="1105" w:header="0" w:footer="3" w:gutter="0"/>
          <w:cols w:space="720"/>
          <w:noEndnote/>
          <w:rtlGutter w:val="0"/>
          <w:docGrid w:linePitch="360"/>
        </w:sectPr>
      </w:pP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8,418,484.14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7,045,067.69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234,434,189.87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302,584,336.29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175,846,735.61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244,445,166.70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41,798,089.79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44,284,756.52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8,370,880.33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6,809,345.38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8,418,484.14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7,045,067.69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21,594,080.70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81,025,831.49</w:t>
      </w:r>
      <w:r>
        <w:rPr>
          <w:color w:val="000000"/>
          <w:spacing w:val="0"/>
          <w:w w:val="100"/>
          <w:position w:val="0"/>
        </w:rPr>
        <w:t>元。</w:t>
      </w:r>
    </w:p>
    <w:p>
      <w:pPr>
        <w:widowControl w:val="0"/>
        <w:spacing w:after="379" w:line="1" w:lineRule="exact"/>
      </w:pPr>
    </w:p>
    <w:p>
      <w:pPr>
        <w:pStyle w:val="Style34"/>
        <w:keepNext/>
        <w:keepLines/>
        <w:widowControl w:val="0"/>
        <w:numPr>
          <w:ilvl w:val="0"/>
          <w:numId w:val="23"/>
        </w:numPr>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暂时闲置的固定资产情况</w:t>
      </w:r>
      <w:bookmarkEnd w:id="1093"/>
      <w:bookmarkEnd w:id="1094"/>
      <w:bookmarkEnd w:id="10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34"/>
        <w:keepNext/>
        <w:keepLines/>
        <w:widowControl w:val="0"/>
        <w:numPr>
          <w:ilvl w:val="0"/>
          <w:numId w:val="25"/>
        </w:numPr>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通过经营租赁租出的固定资产</w:t>
      </w:r>
      <w:bookmarkEnd w:id="1097"/>
      <w:bookmarkEnd w:id="1098"/>
      <w:bookmarkEnd w:id="11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4"/>
        <w:keepNext/>
        <w:keepLines/>
        <w:widowControl w:val="0"/>
        <w:numPr>
          <w:ilvl w:val="0"/>
          <w:numId w:val="25"/>
        </w:numPr>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期末持有待售的固定资产情况</w:t>
      </w:r>
      <w:bookmarkEnd w:id="1101"/>
      <w:bookmarkEnd w:id="1102"/>
      <w:bookmarkEnd w:id="110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34"/>
        <w:keepNext/>
        <w:keepLines/>
        <w:widowControl w:val="0"/>
        <w:numPr>
          <w:ilvl w:val="0"/>
          <w:numId w:val="25"/>
        </w:numPr>
        <w:shd w:val="clear" w:color="auto" w:fill="auto"/>
        <w:bidi w:val="0"/>
        <w:spacing w:before="0" w:after="32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未办妥产权证书的固定资产情况</w:t>
      </w:r>
      <w:bookmarkEnd w:id="1105"/>
      <w:bookmarkEnd w:id="1106"/>
      <w:bookmarkEnd w:id="110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年上半年</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固定资产说明</w:t>
      </w:r>
    </w:p>
    <w:p>
      <w:pPr>
        <w:widowControl w:val="0"/>
        <w:spacing w:after="319" w:line="1" w:lineRule="exact"/>
      </w:pPr>
    </w:p>
    <w:p>
      <w:pPr>
        <w:widowControl w:val="0"/>
        <w:jc w:val="center"/>
        <w:rPr>
          <w:sz w:val="2"/>
          <w:szCs w:val="2"/>
        </w:rPr>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720" name="Picutre 720"/>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271"/>
                    <a:stretch/>
                  </pic:blipFill>
                  <pic:spPr>
                    <a:xfrm>
                      <a:ext cx="1718945" cy="981710"/>
                    </a:xfrm>
                    <a:prstGeom prst="rect"/>
                  </pic:spPr>
                </pic:pic>
              </a:graphicData>
            </a:graphic>
          </wp:inline>
        </w:drawing>
      </w:r>
    </w:p>
    <w:p>
      <w:pPr>
        <w:pStyle w:val="Style34"/>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bookmarkEnd w:id="111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09"/>
      <w:bookmarkEnd w:id="1110"/>
      <w:bookmarkEnd w:id="1112"/>
    </w:p>
    <w:p>
      <w:pPr>
        <w:pStyle w:val="Style34"/>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09"/>
      <w:bookmarkEnd w:id="1110"/>
      <w:bookmarkEnd w:id="11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高、低压开关柜及元件技术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研究中心建设项目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28,332,705.75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28,332,705.75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290,012.38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智能型电力电器元件产品生 产线项目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9,849,728.53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9,849,728.53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399,417.01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智能型高分断低压断路器生 产线建设项目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12,828,057.76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12,828,057.76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智能化固封极柱式高压真空 断路器项目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天津滨海湖</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21,416,553.20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21,416,553.20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59,598,987.48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59,598,987.48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13,522,191.15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13,522,191.15</w:t>
            </w:r>
          </w:p>
        </w:tc>
      </w:tr>
    </w:tbl>
    <w:p>
      <w:pPr>
        <w:widowControl w:val="0"/>
        <w:spacing w:after="319" w:line="1" w:lineRule="exact"/>
      </w:pPr>
    </w:p>
    <w:p>
      <w:pPr>
        <w:pStyle w:val="Style34"/>
        <w:keepNext/>
        <w:keepLines/>
        <w:widowControl w:val="0"/>
        <w:numPr>
          <w:ilvl w:val="0"/>
          <w:numId w:val="27"/>
        </w:numPr>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重大在建工程项目变动情况</w:t>
      </w:r>
      <w:bookmarkEnd w:id="1114"/>
      <w:bookmarkEnd w:id="1115"/>
      <w:bookmarkEnd w:id="11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高、低压 开关柜 及元件 技术研 究中心 建设项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290,012.</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28,042,6</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募股资 金 </w:t>
            </w:r>
            <w:r>
              <w:rPr>
                <w:rFonts w:ascii="Times New Roman" w:eastAsia="Times New Roman" w:hAnsi="Times New Roman" w:cs="Times New Roman"/>
                <w:color w:val="000000"/>
                <w:spacing w:val="0"/>
                <w:w w:val="100"/>
                <w:position w:val="0"/>
                <w:sz w:val="18"/>
                <w:szCs w:val="18"/>
              </w:rPr>
              <w:t xml:space="preserve">6400 </w:t>
            </w:r>
            <w:r>
              <w:rPr>
                <w:color w:val="000000"/>
                <w:spacing w:val="0"/>
                <w:w w:val="100"/>
                <w:position w:val="0"/>
              </w:rPr>
              <w:t>万、其他 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05.75</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智能型 电力电 器元件 产品生 产线项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399,417.</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9,586,20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高分断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低压断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63,283,1</w:t>
            </w:r>
          </w:p>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路器生 产线建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智能化 固封极 柱式高 压真空 断路器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4,778,67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天津滨</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海湖</w:t>
            </w:r>
            <w:r>
              <w:rPr>
                <w:rFonts w:ascii="Times New Roman" w:eastAsia="Times New Roman" w:hAnsi="Times New Roman" w:cs="Times New Roman"/>
                <w:color w:val="000000"/>
                <w:spacing w:val="0"/>
                <w:w w:val="100"/>
                <w:position w:val="0"/>
                <w:sz w:val="18"/>
                <w:szCs w:val="18"/>
              </w:rPr>
              <w:t>15</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w:t>
            </w:r>
          </w:p>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127,102,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627.82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81,025,8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59" w:line="1" w:lineRule="exact"/>
      </w:pPr>
    </w:p>
    <w:p>
      <w:pPr>
        <w:pStyle w:val="Style34"/>
        <w:keepNext/>
        <w:keepLines/>
        <w:widowControl w:val="0"/>
        <w:numPr>
          <w:ilvl w:val="0"/>
          <w:numId w:val="27"/>
        </w:numPr>
        <w:shd w:val="clear" w:color="auto" w:fill="auto"/>
        <w:bidi w:val="0"/>
        <w:spacing w:before="0" w:after="36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在建工程减值准备</w:t>
      </w:r>
      <w:bookmarkEnd w:id="1118"/>
      <w:bookmarkEnd w:id="1119"/>
      <w:bookmarkEnd w:id="11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926" w:hRule="exact"/>
        </w:trPr>
        <w:tc>
          <w:tcPr>
            <w:gridSpan w:val="6"/>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)重大在建工程的工程进度情况</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4"/>
        <w:keepNext/>
        <w:keepLines/>
        <w:widowControl w:val="0"/>
        <w:numPr>
          <w:ilvl w:val="0"/>
          <w:numId w:val="29"/>
        </w:numPr>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在建工程的说明</w:t>
      </w:r>
      <w:bookmarkEnd w:id="1122"/>
      <w:bookmarkEnd w:id="1123"/>
      <w:bookmarkEnd w:id="1125"/>
    </w:p>
    <w:p>
      <w:pPr>
        <w:pStyle w:val="Style34"/>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122"/>
      <w:bookmarkEnd w:id="1123"/>
      <w:bookmarkEnd w:id="1127"/>
    </w:p>
    <w:p>
      <w:pPr>
        <w:pStyle w:val="Style34"/>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8" w:name="bookmark11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22"/>
      <w:bookmarkEnd w:id="1123"/>
      <w:bookmarkEnd w:id="11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56,199,995.22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44,704,722.87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100,904,718.09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43,143,840.56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44,660,928.00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87,804,768.56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12,402,050.00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12,402,050.00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654,104.66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697,899.53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10,115,938.10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3,016,941.04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13,132,879.14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7,656,438.39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1,737,622.51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9,394,060.90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2,191,950.00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1,210,050.00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3,402,000.00</w:t>
            </w:r>
          </w:p>
        </w:tc>
      </w:tr>
    </w:tbl>
    <w:p>
      <w:pPr>
        <w:spacing w:lineRule="exact" w:line="1"/>
        <w:rPr>
          <w:sz w:val="2"/>
          <w:szCs w:val="2"/>
        </w:rPr>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267,549.71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336,818.24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46,084,057.12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41,687,781.83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87,771,838.95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35,487,402.17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42,923,305.49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78,410,707.66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10,210,100.00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386,554.95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361,081.29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46,084,057.12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41,687,781.83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87,771,838.95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35,487,402.17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42,923,305.49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78,410,707.66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专有技术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10,210,100.00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9,000,050.00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386,554.95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361,081.29</w:t>
            </w:r>
          </w:p>
        </w:tc>
      </w:tr>
    </w:tbl>
    <w:p>
      <w:pPr>
        <w:widowControl w:val="0"/>
        <w:spacing w:after="79" w:line="1" w:lineRule="exact"/>
      </w:pPr>
    </w:p>
    <w:p>
      <w:pPr>
        <w:pStyle w:val="Style47"/>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3,016,941.04</w:t>
      </w:r>
      <w:r>
        <w:rPr>
          <w:rFonts w:ascii="SimSun" w:eastAsia="SimSun" w:hAnsi="SimSun" w:cs="SimSun"/>
          <w:color w:val="000000"/>
          <w:spacing w:val="0"/>
          <w:w w:val="100"/>
          <w:position w:val="0"/>
          <w:sz w:val="17"/>
          <w:szCs w:val="17"/>
        </w:rPr>
        <w:t>元。</w:t>
      </w:r>
    </w:p>
    <w:p>
      <w:pPr>
        <w:pStyle w:val="Style34"/>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129"/>
      <w:bookmarkEnd w:id="1130"/>
      <w:bookmarkEnd w:id="11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4"/>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1132"/>
      <w:bookmarkEnd w:id="1133"/>
      <w:bookmarkEnd w:id="1135"/>
    </w:p>
    <w:p>
      <w:pPr>
        <w:pStyle w:val="Style34"/>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132"/>
      <w:bookmarkEnd w:id="1133"/>
      <w:bookmarkEnd w:id="113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8,113,905.88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5,276,650.02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3,133,156.98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11,356,224.47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5,276,650.02</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273"/>
          <w:footerReference w:type="default" r:id="rId274"/>
          <w:headerReference w:type="even" r:id="rId275"/>
          <w:footerReference w:type="even" r:id="rId276"/>
          <w:footnotePr>
            <w:pos w:val="pageBottom"/>
            <w:numFmt w:val="decimal"/>
            <w:numRestart w:val="continuous"/>
          </w:footnotePr>
          <w:pgSz w:w="11900" w:h="16840"/>
          <w:pgMar w:top="1441" w:right="1109" w:bottom="1508" w:left="1110" w:header="0" w:footer="3" w:gutter="0"/>
          <w:cols w:space="720"/>
          <w:noEndnote/>
          <w:rtlGutter w:val="0"/>
          <w:docGrid w:linePitch="360"/>
        </w:sectPr>
      </w:pPr>
      <w:r>
        <w:rPr>
          <w:color w:val="000000"/>
          <w:spacing w:val="0"/>
          <w:w w:val="100"/>
          <w:position w:val="0"/>
        </w:rPr>
        <w:t>未确认递延所得税资产明细</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未确认递延所得税资产的可抵扣亏损将于以下年度到期</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53,856,352.68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35,424,905.96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20,887,713.22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436,646.48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75,180,712.38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35,424,905.96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137"/>
      <w:bookmarkEnd w:id="1138"/>
      <w:bookmarkEnd w:id="1139"/>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11,356,224.47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5,276,650.02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4"/>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1140"/>
      <w:bookmarkEnd w:id="1141"/>
      <w:bookmarkEnd w:id="11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35,424,905.96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18,431,616.52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53,856,352.68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35,424,905.96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18,431,616.52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53,856,352.68</w:t>
            </w:r>
          </w:p>
        </w:tc>
      </w:tr>
    </w:tbl>
    <w:p>
      <w:pPr>
        <w:sectPr>
          <w:headerReference w:type="default" r:id="rId277"/>
          <w:footerReference w:type="default" r:id="rId278"/>
          <w:headerReference w:type="even" r:id="rId279"/>
          <w:footerReference w:type="even" r:id="rId280"/>
          <w:footnotePr>
            <w:pos w:val="pageBottom"/>
            <w:numFmt w:val="decimal"/>
            <w:numRestart w:val="continuous"/>
          </w:footnotePr>
          <w:pgSz w:w="11900" w:h="16840"/>
          <w:pgMar w:top="1441" w:right="1109" w:bottom="1508" w:left="1110" w:header="0" w:footer="3" w:gutter="0"/>
          <w:cols w:space="720"/>
          <w:noEndnote/>
          <w:rtlGutter w:val="0"/>
          <w:docGrid w:linePitch="360"/>
        </w:sectPr>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4"/>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rFonts w:ascii="Times New Roman" w:eastAsia="Times New Roman" w:hAnsi="Times New Roman" w:cs="Times New Roman"/>
          <w:color w:val="000000"/>
          <w:spacing w:val="0"/>
          <w:w w:val="100"/>
          <w:position w:val="0"/>
        </w:rPr>
        <w:t>4</w:t>
      </w:r>
      <w:r>
        <w:rPr>
          <w:color w:val="000000"/>
          <w:spacing w:val="0"/>
          <w:w w:val="100"/>
          <w:position w:val="0"/>
        </w:rPr>
        <w:t>、其他非流动资产</w:t>
      </w:r>
      <w:bookmarkEnd w:id="1144"/>
      <w:bookmarkEnd w:id="1145"/>
      <w:bookmarkEnd w:id="11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预付工程设备类款项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4,023,094.12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4,023,094.12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34"/>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5</w:t>
      </w:r>
      <w:r>
        <w:rPr>
          <w:color w:val="000000"/>
          <w:spacing w:val="0"/>
          <w:w w:val="100"/>
          <w:position w:val="0"/>
        </w:rPr>
        <w:t>、短期借款</w:t>
      </w:r>
      <w:bookmarkEnd w:id="1148"/>
      <w:bookmarkEnd w:id="1149"/>
      <w:bookmarkEnd w:id="1151"/>
    </w:p>
    <w:p>
      <w:pPr>
        <w:pStyle w:val="Style34"/>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2" w:name="bookmark1152"/>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8"/>
      <w:bookmarkEnd w:id="1149"/>
      <w:bookmarkEnd w:id="11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420,000,000.00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231,000,000.00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4"/>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153"/>
      <w:bookmarkEnd w:id="1154"/>
      <w:bookmarkEnd w:id="11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34"/>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6</w:t>
      </w:r>
      <w:r>
        <w:rPr>
          <w:color w:val="000000"/>
          <w:spacing w:val="0"/>
          <w:w w:val="100"/>
          <w:position w:val="0"/>
        </w:rPr>
        <w:t>、应付票据</w:t>
      </w:r>
      <w:bookmarkEnd w:id="1156"/>
      <w:bookmarkEnd w:id="1157"/>
      <w:bookmarkEnd w:id="11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178,230,000.00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250,274,000.00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198,230,000.00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250,274,000.00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198,230,000.00</w:t>
      </w:r>
      <w:r>
        <w:rPr>
          <w:color w:val="000000"/>
          <w:spacing w:val="0"/>
          <w:w w:val="100"/>
          <w:position w:val="0"/>
        </w:rPr>
        <w:t>元。</w:t>
      </w:r>
    </w:p>
    <w:p>
      <w:pPr>
        <w:pStyle w:val="Style29"/>
        <w:keepNext w:val="0"/>
        <w:keepLines w:val="0"/>
        <w:widowControl w:val="0"/>
        <w:shd w:val="clear" w:color="auto" w:fill="auto"/>
        <w:bidi w:val="0"/>
        <w:spacing w:before="0" w:after="2060" w:line="240" w:lineRule="auto"/>
        <w:ind w:left="0" w:right="0" w:firstLine="0"/>
        <w:jc w:val="left"/>
      </w:pPr>
      <w:r>
        <w:rPr>
          <w:color w:val="000000"/>
          <w:spacing w:val="0"/>
          <w:w w:val="100"/>
          <w:position w:val="0"/>
        </w:rPr>
        <w:t>应付票据的说明</w:t>
      </w:r>
    </w:p>
    <w:p>
      <w:pPr>
        <w:widowControl w:val="0"/>
        <w:jc w:val="center"/>
        <w:rPr>
          <w:sz w:val="2"/>
          <w:szCs w:val="2"/>
        </w:rPr>
        <w:sectPr>
          <w:headerReference w:type="default" r:id="rId281"/>
          <w:footerReference w:type="default" r:id="rId282"/>
          <w:headerReference w:type="even" r:id="rId283"/>
          <w:footerReference w:type="even" r:id="rId284"/>
          <w:footnotePr>
            <w:pos w:val="pageBottom"/>
            <w:numFmt w:val="decimal"/>
            <w:numRestart w:val="continuous"/>
          </w:footnotePr>
          <w:pgSz w:w="11900" w:h="16840"/>
          <w:pgMar w:top="1484" w:right="1109" w:bottom="193" w:left="1109" w:header="0" w:footer="3" w:gutter="0"/>
          <w:cols w:space="720"/>
          <w:noEndnote/>
          <w:rtlGutter w:val="0"/>
          <w:docGrid w:linePitch="360"/>
        </w:sectPr>
      </w:pPr>
      <w:r>
        <w:drawing>
          <wp:inline>
            <wp:extent cx="402590" cy="146050"/>
            <wp:docPr id="759" name="Picutre 759"/>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285"/>
                    <a:stretch/>
                  </pic:blipFill>
                  <pic:spPr>
                    <a:xfrm>
                      <a:ext cx="402590" cy="146050"/>
                    </a:xfrm>
                    <a:prstGeom prst="rect"/>
                  </pic:spPr>
                </pic:pic>
              </a:graphicData>
            </a:graphic>
          </wp:inline>
        </w:drawing>
      </w:r>
    </w:p>
    <w:p>
      <w:pPr>
        <w:pStyle w:val="Style34"/>
        <w:keepNext/>
        <w:keepLines/>
        <w:widowControl w:val="0"/>
        <w:shd w:val="clear" w:color="auto" w:fill="auto"/>
        <w:bidi w:val="0"/>
        <w:spacing w:before="36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163"/>
      <w:bookmarkEnd w:id="1164"/>
      <w:bookmarkEnd w:id="1166"/>
    </w:p>
    <w:p>
      <w:pPr>
        <w:pStyle w:val="Style34"/>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163"/>
      <w:bookmarkEnd w:id="1164"/>
      <w:bookmarkEnd w:id="11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136,135,067.95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107,064,742.00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9,441,977.97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5,299,484.00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837,656.29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806,265.64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1,836,581.98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1,687,747.72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148,251,284.19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114,858,239.36</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68"/>
      <w:bookmarkEnd w:id="1169"/>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171"/>
      <w:bookmarkEnd w:id="1172"/>
      <w:bookmarkEnd w:id="1174"/>
    </w:p>
    <w:tbl>
      <w:tblPr>
        <w:tblOverlap w:val="never"/>
        <w:jc w:val="left"/>
        <w:tblLayout w:type="fixed"/>
      </w:tblPr>
      <w:tblGrid>
        <w:gridCol w:w="3149"/>
        <w:gridCol w:w="1656"/>
        <w:gridCol w:w="1493"/>
        <w:gridCol w:w="2270"/>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未结转原因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安徽华业建工集团有限公司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1,408,225.99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质量保证金</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无锡正怡涂装环保机械有限公司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1,142,950.50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报表日后已支付</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万元</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2,551,176.49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4"/>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8</w:t>
      </w:r>
      <w:r>
        <w:rPr>
          <w:color w:val="000000"/>
          <w:spacing w:val="0"/>
          <w:w w:val="100"/>
          <w:position w:val="0"/>
        </w:rPr>
        <w:t>、预收账款</w:t>
      </w:r>
      <w:bookmarkEnd w:id="1175"/>
      <w:bookmarkEnd w:id="1176"/>
      <w:bookmarkEnd w:id="1178"/>
    </w:p>
    <w:p>
      <w:pPr>
        <w:pStyle w:val="Style34"/>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9" w:name="bookmark11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175"/>
      <w:bookmarkEnd w:id="1176"/>
      <w:bookmarkEnd w:id="1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18,778,355.53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37,671,173.93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10,638,196.13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1,929,332.61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1,331,817.53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758,082.03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3,335,762.96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3,077,210.85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34,084,132.15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43,435,799.42</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80"/>
      <w:bookmarkEnd w:id="1181"/>
      <w:bookmarkEnd w:id="1182"/>
    </w:p>
    <w:p>
      <w:pPr>
        <w:pStyle w:val="Style29"/>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38"/>
        <w:keepNext w:val="0"/>
        <w:keepLines w:val="0"/>
        <w:widowControl w:val="0"/>
        <w:shd w:val="clear" w:color="auto" w:fill="auto"/>
        <w:bidi w:val="0"/>
        <w:spacing w:before="0" w:after="340" w:line="240" w:lineRule="auto"/>
        <w:ind w:left="0" w:right="0" w:firstLine="0"/>
        <w:jc w:val="right"/>
      </w:pPr>
      <w:r>
        <w:rPr>
          <w:spacing w:val="0"/>
          <w:w w:val="100"/>
          <w:position w:val="0"/>
        </w:rPr>
        <w:t>niM</w:t>
      </w:r>
      <w:r>
        <w:br w:type="page"/>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34"/>
        <w:keepNext/>
        <w:keepLines/>
        <w:widowControl w:val="0"/>
        <w:numPr>
          <w:ilvl w:val="0"/>
          <w:numId w:val="23"/>
        </w:numPr>
        <w:shd w:val="clear" w:color="auto" w:fill="auto"/>
        <w:bidi w:val="0"/>
        <w:spacing w:before="0" w:after="320" w:line="240" w:lineRule="auto"/>
        <w:ind w:left="0" w:right="0" w:firstLine="14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账龄超过一年的大额预收账款情况的说明</w:t>
      </w:r>
      <w:bookmarkEnd w:id="1183"/>
      <w:bookmarkEnd w:id="1184"/>
      <w:bookmarkEnd w:id="1186"/>
    </w:p>
    <w:tbl>
      <w:tblPr>
        <w:tblOverlap w:val="never"/>
        <w:jc w:val="center"/>
        <w:tblLayout w:type="fixed"/>
      </w:tblPr>
      <w:tblGrid>
        <w:gridCol w:w="2952"/>
        <w:gridCol w:w="1906"/>
        <w:gridCol w:w="2126"/>
        <w:gridCol w:w="221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大连地铁有限公司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呼伦贝尔市华建设备制造有限公司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1,102,400.00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货未发</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8,942,400.00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4"/>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1</w:t>
      </w:r>
      <w:bookmarkEnd w:id="118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187"/>
      <w:bookmarkEnd w:id="1188"/>
      <w:bookmarkEnd w:id="11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71,367,873.84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67,625,962.31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3,867,361.65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2,616,664.95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2,616,664.95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14,808,561.77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14,808,561.77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1,709,278.03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1,709,278.03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4,048,166.95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740,148.02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3,314,918.93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4,173,617.07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90,509,278.59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87,500,615.08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7,182,280.58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3,314,918.93</w:t>
      </w:r>
      <w:r>
        <w:rPr>
          <w:color w:val="000000"/>
          <w:spacing w:val="0"/>
          <w:w w:val="100"/>
          <w:position w:val="0"/>
        </w:rPr>
        <w:t>元，非货币性福利金额元，因解除劳动关系给予补偿元。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应付职工薪酬预计发放时间、金额等安排</w:t>
      </w:r>
    </w:p>
    <w:p>
      <w:pPr>
        <w:pStyle w:val="Style34"/>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191"/>
      <w:bookmarkEnd w:id="1192"/>
      <w:bookmarkEnd w:id="11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10,094,317.59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13,581,870.40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4,318,153.50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7,834,675.13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632,527.61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708,892.07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1,530,571.70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71,147.99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303,792.38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508,163.95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79,732.20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71,186.70</w:t>
            </w:r>
          </w:p>
        </w:tc>
      </w:tr>
    </w:tbl>
    <w:p>
      <w:pPr>
        <w:widowControl w:val="0"/>
        <w:spacing w:line="1" w:lineRule="exact"/>
      </w:pPr>
      <w:r>
        <w:br w:type="page"/>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202,364.58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232,296.91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14,120.27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73,159.86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河道维护管理费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294,071.47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942,761.70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16,776,973.18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24,858,374.17</w:t>
            </w:r>
          </w:p>
        </w:tc>
      </w:tr>
    </w:tbl>
    <w:p>
      <w:pPr>
        <w:widowControl w:val="0"/>
        <w:spacing w:after="99" w:line="1" w:lineRule="exact"/>
      </w:pPr>
    </w:p>
    <w:p>
      <w:pPr>
        <w:pStyle w:val="Style2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4"/>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195"/>
      <w:bookmarkEnd w:id="1196"/>
      <w:bookmarkEnd w:id="11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708,583.33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373,661.12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4,386,708.33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4,081,046.12</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4"/>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199"/>
      <w:bookmarkEnd w:id="1200"/>
      <w:bookmarkEnd w:id="1202"/>
    </w:p>
    <w:p>
      <w:pPr>
        <w:pStyle w:val="Style34"/>
        <w:keepNext/>
        <w:keepLines/>
        <w:widowControl w:val="0"/>
        <w:shd w:val="clear" w:color="auto" w:fill="auto"/>
        <w:bidi w:val="0"/>
        <w:spacing w:before="0" w:after="360" w:line="240" w:lineRule="auto"/>
        <w:ind w:left="0" w:right="0" w:firstLine="140"/>
        <w:jc w:val="left"/>
      </w:pPr>
      <w:bookmarkStart w:id="1199" w:name="bookmark1199"/>
      <w:bookmarkStart w:id="1200" w:name="bookmark1200"/>
      <w:bookmarkStart w:id="1203" w:name="bookmark1203"/>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199"/>
      <w:bookmarkEnd w:id="1200"/>
      <w:bookmarkEnd w:id="12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3,321,505.35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3,246,895.15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540,684.08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1,574,715.99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549,759.32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149,281.63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328,872.13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4,561,230.38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5,470,893.27</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04"/>
      <w:bookmarkEnd w:id="1205"/>
      <w:bookmarkEnd w:id="12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34"/>
        <w:keepNext/>
        <w:keepLines/>
        <w:widowControl w:val="0"/>
        <w:numPr>
          <w:ilvl w:val="0"/>
          <w:numId w:val="31"/>
        </w:numPr>
        <w:shd w:val="clear" w:color="auto" w:fill="auto"/>
        <w:tabs>
          <w:tab w:pos="633" w:val="left"/>
        </w:tabs>
        <w:bidi w:val="0"/>
        <w:spacing w:before="0" w:after="360" w:line="240" w:lineRule="auto"/>
        <w:ind w:left="0" w:right="0" w:firstLine="14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账龄超过一年的大额其他应付款情况的说明</w:t>
      </w:r>
      <w:bookmarkEnd w:id="1207"/>
      <w:bookmarkEnd w:id="1208"/>
      <w:bookmarkEnd w:id="1210"/>
    </w:p>
    <w:p>
      <w:pPr>
        <w:pStyle w:val="Style34"/>
        <w:keepNext/>
        <w:keepLines/>
        <w:widowControl w:val="0"/>
        <w:numPr>
          <w:ilvl w:val="0"/>
          <w:numId w:val="31"/>
        </w:numPr>
        <w:shd w:val="clear" w:color="auto" w:fill="auto"/>
        <w:tabs>
          <w:tab w:pos="633" w:val="left"/>
        </w:tabs>
        <w:bidi w:val="0"/>
        <w:spacing w:before="0" w:after="420" w:line="240" w:lineRule="auto"/>
        <w:ind w:left="0" w:right="0" w:firstLine="140"/>
        <w:jc w:val="left"/>
      </w:pPr>
      <w:bookmarkStart w:id="1207" w:name="bookmark1207"/>
      <w:bookmarkStart w:id="1208" w:name="bookmark1208"/>
      <w:bookmarkStart w:id="1211" w:name="bookmark1211"/>
      <w:bookmarkStart w:id="1212" w:name="bookmark1212"/>
      <w:bookmarkEnd w:id="1211"/>
      <w:r>
        <w:rPr>
          <w:color w:val="000000"/>
          <w:spacing w:val="0"/>
          <w:w w:val="100"/>
          <w:position w:val="0"/>
        </w:rPr>
        <w:t>金额较大的其他应付款说明内容</w:t>
      </w:r>
      <w:bookmarkEnd w:id="1207"/>
      <w:bookmarkEnd w:id="1208"/>
      <w:bookmarkEnd w:id="1212"/>
    </w:p>
    <w:p>
      <w:pPr>
        <w:pStyle w:val="Style29"/>
        <w:keepNext w:val="0"/>
        <w:keepLines w:val="0"/>
        <w:widowControl w:val="0"/>
        <w:shd w:val="clear" w:color="auto" w:fill="auto"/>
        <w:tabs>
          <w:tab w:pos="2909" w:val="left"/>
          <w:tab w:pos="4286" w:val="left"/>
          <w:tab w:pos="6034" w:val="left"/>
        </w:tabs>
        <w:bidi w:val="0"/>
        <w:spacing w:before="0" w:after="200" w:line="240" w:lineRule="auto"/>
        <w:ind w:left="0" w:right="0" w:firstLine="0"/>
        <w:jc w:val="center"/>
      </w:pPr>
      <w:r>
        <w:rPr>
          <w:color w:val="000000"/>
          <w:spacing w:val="0"/>
          <w:w w:val="100"/>
          <w:position w:val="0"/>
        </w:rPr>
        <w:t>单位名称</w:t>
        <w:tab/>
        <w:t>金额</w:t>
        <w:tab/>
        <w:t>性质或内容</w:t>
        <w:tab/>
        <w:t>备注</w:t>
      </w:r>
    </w:p>
    <w:p>
      <w:pPr>
        <w:pStyle w:val="Style38"/>
        <w:keepNext w:val="0"/>
        <w:keepLines w:val="0"/>
        <w:widowControl w:val="0"/>
        <w:shd w:val="clear" w:color="auto" w:fill="auto"/>
        <w:bidi w:val="0"/>
        <w:spacing w:before="0" w:after="360" w:line="240" w:lineRule="auto"/>
        <w:ind w:left="0" w:right="0" w:firstLine="0"/>
        <w:jc w:val="right"/>
        <w:sectPr>
          <w:headerReference w:type="default" r:id="rId287"/>
          <w:footerReference w:type="default" r:id="rId288"/>
          <w:headerReference w:type="even" r:id="rId289"/>
          <w:footerReference w:type="even" r:id="rId290"/>
          <w:footnotePr>
            <w:pos w:val="pageBottom"/>
            <w:numFmt w:val="decimal"/>
            <w:numRestart w:val="continuous"/>
          </w:footnotePr>
          <w:pgSz w:w="11900" w:h="16840"/>
          <w:pgMar w:top="994" w:right="1047" w:bottom="1057" w:left="1061" w:header="0" w:footer="3" w:gutter="0"/>
          <w:cols w:space="720"/>
          <w:noEndnote/>
          <w:rtlGutter w:val="0"/>
          <w:docGrid w:linePitch="360"/>
        </w:sectPr>
      </w:pPr>
      <w:r>
        <w:rPr>
          <w:spacing w:val="0"/>
          <w:w w:val="100"/>
          <w:position w:val="0"/>
        </w:rPr>
        <w:t>cnii</w:t>
      </w:r>
      <w:r>
        <w:rPr>
          <w:spacing w:val="0"/>
          <w:w w:val="100"/>
          <w:position w:val="0"/>
          <w:vertAlign w:val="subscript"/>
        </w:rPr>
        <w:t>121</w:t>
      </w:r>
    </w:p>
    <w:tbl>
      <w:tblPr>
        <w:tblOverlap w:val="never"/>
        <w:jc w:val="left"/>
        <w:tblLayout w:type="fixed"/>
      </w:tblPr>
      <w:tblGrid>
        <w:gridCol w:w="3758"/>
        <w:gridCol w:w="1819"/>
        <w:gridCol w:w="1613"/>
        <w:gridCol w:w="1378"/>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潘成一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芜湖市畅顺运输有限公司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芜湖市利联运输服务有限公司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芜湖县石硊镇联营汽车队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2,203,990.00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34"/>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213"/>
      <w:bookmarkEnd w:id="1214"/>
      <w:bookmarkEnd w:id="1216"/>
    </w:p>
    <w:p>
      <w:pPr>
        <w:pStyle w:val="Style34"/>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213"/>
      <w:bookmarkEnd w:id="1214"/>
      <w:bookmarkEnd w:id="12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18,800,000.00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r>
        <w:rPr>
          <w:color w:val="000000"/>
          <w:spacing w:val="0"/>
          <w:w w:val="100"/>
          <w:position w:val="0"/>
        </w:rPr>
        <w:t>） 一年内到期的应付债券</w:t>
      </w:r>
      <w:bookmarkEnd w:id="1218"/>
      <w:bookmarkEnd w:id="1219"/>
      <w:bookmarkEnd w:id="12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34"/>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）一年内到期的长期应付款</w:t>
      </w:r>
      <w:bookmarkEnd w:id="1221"/>
      <w:bookmarkEnd w:id="1222"/>
      <w:bookmarkEnd w:id="122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一年内到期的长期应付款的说明</w:t>
      </w:r>
    </w:p>
    <w:p>
      <w:pPr>
        <w:pStyle w:val="Style34"/>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4</w:t>
      </w:r>
      <w:r>
        <w:rPr>
          <w:color w:val="000000"/>
          <w:spacing w:val="0"/>
          <w:w w:val="100"/>
          <w:position w:val="0"/>
        </w:rPr>
        <w:t>、长期借款</w:t>
      </w:r>
      <w:bookmarkEnd w:id="1225"/>
      <w:bookmarkEnd w:id="1226"/>
      <w:bookmarkEnd w:id="1228"/>
    </w:p>
    <w:p>
      <w:pPr>
        <w:pStyle w:val="Style34"/>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25"/>
      <w:bookmarkEnd w:id="1226"/>
      <w:bookmarkEnd w:id="12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r>
        <w:br w:type="page"/>
      </w:r>
    </w:p>
    <w:p>
      <w:pPr>
        <w:pStyle w:val="Style34"/>
        <w:keepNext/>
        <w:keepLines/>
        <w:widowControl w:val="0"/>
        <w:shd w:val="clear" w:color="auto" w:fill="auto"/>
        <w:bidi w:val="0"/>
        <w:spacing w:before="0" w:after="380" w:line="240" w:lineRule="auto"/>
        <w:ind w:left="0" w:right="0" w:firstLine="140"/>
        <w:jc w:val="left"/>
      </w:pPr>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230"/>
      <w:bookmarkEnd w:id="1231"/>
      <w:bookmarkEnd w:id="123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长期借款说明，因逾期借款获得展期形成的长期借款，应说明获得展期的条件、本金、利息、预计还款安排等</w:t>
      </w:r>
    </w:p>
    <w:p>
      <w:pPr>
        <w:pStyle w:val="Style34"/>
        <w:keepNext/>
        <w:keepLines/>
        <w:widowControl w:val="0"/>
        <w:shd w:val="clear" w:color="auto" w:fill="auto"/>
        <w:bidi w:val="0"/>
        <w:spacing w:before="0" w:after="38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5</w:t>
      </w:r>
      <w:r>
        <w:rPr>
          <w:color w:val="000000"/>
          <w:spacing w:val="0"/>
          <w:w w:val="100"/>
          <w:position w:val="0"/>
        </w:rPr>
        <w:t>、应付债券</w:t>
      </w:r>
      <w:bookmarkEnd w:id="1233"/>
      <w:bookmarkEnd w:id="1234"/>
      <w:bookmarkEnd w:id="123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集合票据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3,678,125.0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145,705,986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应付债券说明，包括可转换公司债券的转股条件、转股时间</w:t>
      </w:r>
    </w:p>
    <w:p>
      <w:pPr>
        <w:pStyle w:val="Style34"/>
        <w:keepNext/>
        <w:keepLines/>
        <w:widowControl w:val="0"/>
        <w:shd w:val="clear" w:color="auto" w:fill="auto"/>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237"/>
      <w:bookmarkEnd w:id="1238"/>
      <w:bookmarkEnd w:id="12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与政府补助相关的递延收益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20,887,713.22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20,887,713.22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00" w:line="350" w:lineRule="exact"/>
        <w:ind w:left="0" w:right="0" w:firstLine="0"/>
        <w:jc w:val="both"/>
      </w:pPr>
      <w:r>
        <w:rPr>
          <w:color w:val="000000"/>
          <w:spacing w:val="0"/>
          <w:w w:val="100"/>
          <w:position w:val="0"/>
        </w:rPr>
        <w:t>其他非流动负债说明 涉及政府补助的负债项目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关键技术的开发及</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产业化项目</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高效节能数字式软 启动装置产业化项 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重点实验室建设</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298,684.21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多层厂房奖励</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6,489,635.00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30,903.02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6,458,731.98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双电源自动转换开 关项目设备补助</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130,297.03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20,929,635.00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41,921.78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20,887,713.22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69"/>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、根据安徽省财政厅颁布的皖创新办【</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号文件《关于下达</w:t>
      </w:r>
      <w:r>
        <w:rPr>
          <w:rFonts w:ascii="Times New Roman" w:eastAsia="Times New Roman" w:hAnsi="Times New Roman" w:cs="Times New Roman"/>
          <w:color w:val="000000"/>
          <w:spacing w:val="0"/>
          <w:w w:val="100"/>
          <w:position w:val="0"/>
        </w:rPr>
        <w:t>2013</w:t>
      </w:r>
      <w:r>
        <w:rPr>
          <w:color w:val="000000"/>
          <w:spacing w:val="0"/>
          <w:w w:val="100"/>
          <w:position w:val="0"/>
        </w:rPr>
        <w:t>年国家技术创新工程试点省 和合芜蚌自主创新综合试验区专项资金项目计划的通知》，公司于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月收到政府补助</w:t>
      </w:r>
      <w:r>
        <w:rPr>
          <w:rFonts w:ascii="Times New Roman" w:eastAsia="Times New Roman" w:hAnsi="Times New Roman" w:cs="Times New Roman"/>
          <w:color w:val="000000"/>
          <w:spacing w:val="0"/>
          <w:w w:val="100"/>
          <w:position w:val="0"/>
        </w:rPr>
        <w:t>500.00</w:t>
      </w:r>
      <w:r>
        <w:rPr>
          <w:color w:val="000000"/>
          <w:spacing w:val="0"/>
          <w:w w:val="100"/>
          <w:position w:val="0"/>
        </w:rPr>
        <w:t xml:space="preserve">万元， </w:t>
      </w:r>
      <w:r>
        <w:rPr>
          <w:color w:val="000000"/>
          <w:spacing w:val="0"/>
          <w:w w:val="100"/>
          <w:position w:val="0"/>
        </w:rPr>
        <w:t>待项目完工后按照资产的使用年限分期转入政府补助。</w:t>
      </w:r>
    </w:p>
    <w:p>
      <w:pPr>
        <w:pStyle w:val="Style69"/>
        <w:keepNext w:val="0"/>
        <w:keepLines w:val="0"/>
        <w:widowControl w:val="0"/>
        <w:shd w:val="clear" w:color="auto" w:fill="auto"/>
        <w:bidi w:val="0"/>
        <w:spacing w:before="0" w:after="100" w:line="319"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、根据国家发展和改革委员会办公厅颁布的发改办环资【</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103</w:t>
      </w:r>
      <w:r>
        <w:rPr>
          <w:color w:val="000000"/>
          <w:spacing w:val="0"/>
          <w:w w:val="100"/>
          <w:position w:val="0"/>
        </w:rPr>
        <w:t>号文件《关于</w:t>
      </w:r>
      <w:r>
        <w:rPr>
          <w:rFonts w:ascii="Times New Roman" w:eastAsia="Times New Roman" w:hAnsi="Times New Roman" w:cs="Times New Roman"/>
          <w:color w:val="000000"/>
          <w:spacing w:val="0"/>
          <w:w w:val="100"/>
          <w:position w:val="0"/>
        </w:rPr>
        <w:t>2013</w:t>
      </w:r>
      <w:r>
        <w:rPr>
          <w:color w:val="000000"/>
          <w:spacing w:val="0"/>
          <w:w w:val="100"/>
          <w:position w:val="0"/>
        </w:rPr>
        <w:t>年第四批资 源节约和环境保护项目的复函》，公司于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月收到政府补助</w:t>
      </w:r>
      <w:r>
        <w:rPr>
          <w:rFonts w:ascii="Times New Roman" w:eastAsia="Times New Roman" w:hAnsi="Times New Roman" w:cs="Times New Roman"/>
          <w:color w:val="000000"/>
          <w:spacing w:val="0"/>
          <w:w w:val="100"/>
          <w:position w:val="0"/>
        </w:rPr>
        <w:t>900.00</w:t>
      </w:r>
      <w:r>
        <w:rPr>
          <w:color w:val="000000"/>
          <w:spacing w:val="0"/>
          <w:w w:val="100"/>
          <w:position w:val="0"/>
        </w:rPr>
        <w:t>万元，待项目完工后按照资产 的使用年限分期转入政府补助。</w:t>
      </w:r>
    </w:p>
    <w:p>
      <w:pPr>
        <w:pStyle w:val="Style69"/>
        <w:keepNext w:val="0"/>
        <w:keepLines w:val="0"/>
        <w:widowControl w:val="0"/>
        <w:shd w:val="clear" w:color="auto" w:fill="auto"/>
        <w:bidi w:val="0"/>
        <w:spacing w:before="0" w:after="100" w:line="317" w:lineRule="exact"/>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、根据安徽省财政厅颁布的财教【</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1197</w:t>
      </w:r>
      <w:r>
        <w:rPr>
          <w:color w:val="000000"/>
          <w:spacing w:val="0"/>
          <w:w w:val="100"/>
          <w:position w:val="0"/>
        </w:rPr>
        <w:t>号文件《关于下达</w:t>
      </w:r>
      <w:r>
        <w:rPr>
          <w:rFonts w:ascii="Times New Roman" w:eastAsia="Times New Roman" w:hAnsi="Times New Roman" w:cs="Times New Roman"/>
          <w:color w:val="000000"/>
          <w:spacing w:val="0"/>
          <w:w w:val="100"/>
          <w:position w:val="0"/>
        </w:rPr>
        <w:t>2013</w:t>
      </w:r>
      <w:r>
        <w:rPr>
          <w:color w:val="000000"/>
          <w:spacing w:val="0"/>
          <w:w w:val="100"/>
          <w:position w:val="0"/>
        </w:rPr>
        <w:t>年重点实验室建设专项资金 的通知》，公司于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月收到政府补助</w:t>
      </w:r>
      <w:r>
        <w:rPr>
          <w:rFonts w:ascii="Times New Roman" w:eastAsia="Times New Roman" w:hAnsi="Times New Roman" w:cs="Times New Roman"/>
          <w:color w:val="000000"/>
          <w:spacing w:val="0"/>
          <w:w w:val="100"/>
          <w:position w:val="0"/>
        </w:rPr>
        <w:t>30.00</w:t>
      </w:r>
      <w:r>
        <w:rPr>
          <w:color w:val="000000"/>
          <w:spacing w:val="0"/>
          <w:w w:val="100"/>
          <w:position w:val="0"/>
        </w:rPr>
        <w:t>万元，该实验室已于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月投入使用，按照此资产 的预计剩余可使用年限，本期转入营业外收入</w:t>
      </w:r>
      <w:r>
        <w:rPr>
          <w:rFonts w:ascii="Times New Roman" w:eastAsia="Times New Roman" w:hAnsi="Times New Roman" w:cs="Times New Roman"/>
          <w:color w:val="000000"/>
          <w:spacing w:val="0"/>
          <w:w w:val="100"/>
          <w:position w:val="0"/>
        </w:rPr>
        <w:t>1,315.7</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69"/>
        <w:keepNext w:val="0"/>
        <w:keepLines w:val="0"/>
        <w:widowControl w:val="0"/>
        <w:shd w:val="clear" w:color="auto" w:fill="auto"/>
        <w:bidi w:val="0"/>
        <w:spacing w:before="0" w:after="100" w:line="310" w:lineRule="exact"/>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、根据安徽省芜湖市人民政府颁布的芜政【</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59</w:t>
      </w:r>
      <w:r>
        <w:rPr>
          <w:color w:val="000000"/>
          <w:spacing w:val="0"/>
          <w:w w:val="100"/>
          <w:position w:val="0"/>
        </w:rPr>
        <w:t>号文件《关于加快承接产业转移促进工业发展 的若干政策的通知》，公司于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月收到多层厂房建设奖励资金</w:t>
      </w:r>
      <w:r>
        <w:rPr>
          <w:rFonts w:ascii="Times New Roman" w:eastAsia="Times New Roman" w:hAnsi="Times New Roman" w:cs="Times New Roman"/>
          <w:color w:val="000000"/>
          <w:spacing w:val="0"/>
          <w:w w:val="100"/>
          <w:position w:val="0"/>
        </w:rPr>
        <w:t>6,489,635.00</w:t>
      </w:r>
      <w:r>
        <w:rPr>
          <w:color w:val="000000"/>
          <w:spacing w:val="0"/>
          <w:w w:val="100"/>
          <w:position w:val="0"/>
        </w:rPr>
        <w:t>元，该多层厂房已于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月投入使用，按照此资产的预计剩余可使用年限，本期转入营业外收入</w:t>
      </w:r>
      <w:r>
        <w:rPr>
          <w:rFonts w:ascii="Times New Roman" w:eastAsia="Times New Roman" w:hAnsi="Times New Roman" w:cs="Times New Roman"/>
          <w:color w:val="000000"/>
          <w:spacing w:val="0"/>
          <w:w w:val="100"/>
          <w:position w:val="0"/>
        </w:rPr>
        <w:t>30,903.02</w:t>
      </w:r>
      <w:r>
        <w:rPr>
          <w:color w:val="000000"/>
          <w:spacing w:val="0"/>
          <w:w w:val="100"/>
          <w:position w:val="0"/>
        </w:rPr>
        <w:t>元。</w:t>
      </w:r>
    </w:p>
    <w:p>
      <w:pPr>
        <w:pStyle w:val="Style69"/>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rPr>
        <w:t>*5</w:t>
      </w:r>
      <w:r>
        <w:rPr>
          <w:color w:val="000000"/>
          <w:spacing w:val="0"/>
          <w:w w:val="100"/>
          <w:position w:val="0"/>
        </w:rPr>
        <w:t>、根据公司与芜湖市科学技术局签订的项目任务合同书，公司作为</w:t>
      </w:r>
      <w:r>
        <w:rPr>
          <w:rFonts w:ascii="Times New Roman" w:eastAsia="Times New Roman" w:hAnsi="Times New Roman" w:cs="Times New Roman"/>
          <w:color w:val="000000"/>
          <w:spacing w:val="0"/>
          <w:w w:val="100"/>
          <w:position w:val="0"/>
        </w:rPr>
        <w:t>AXQ4</w:t>
      </w:r>
      <w:r>
        <w:rPr>
          <w:color w:val="000000"/>
          <w:spacing w:val="0"/>
          <w:w w:val="100"/>
          <w:position w:val="0"/>
        </w:rPr>
        <w:t>系列双电源自动转换开关 项目的承担单位，芜湖市财政应补助项目设备费</w:t>
      </w:r>
      <w:r>
        <w:rPr>
          <w:rFonts w:ascii="Times New Roman" w:eastAsia="Times New Roman" w:hAnsi="Times New Roman" w:cs="Times New Roman"/>
          <w:color w:val="000000"/>
          <w:spacing w:val="0"/>
          <w:w w:val="100"/>
          <w:position w:val="0"/>
        </w:rPr>
        <w:t>20.00</w:t>
      </w:r>
      <w:r>
        <w:rPr>
          <w:color w:val="000000"/>
          <w:spacing w:val="0"/>
          <w:w w:val="100"/>
          <w:position w:val="0"/>
        </w:rPr>
        <w:t>万元，公司于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月收到的政府补助</w:t>
      </w:r>
      <w:r>
        <w:rPr>
          <w:rFonts w:ascii="Times New Roman" w:eastAsia="Times New Roman" w:hAnsi="Times New Roman" w:cs="Times New Roman"/>
          <w:color w:val="000000"/>
          <w:spacing w:val="0"/>
          <w:w w:val="100"/>
          <w:position w:val="0"/>
        </w:rPr>
        <w:t>14.00</w:t>
      </w:r>
      <w:r>
        <w:rPr>
          <w:color w:val="000000"/>
          <w:spacing w:val="0"/>
          <w:w w:val="100"/>
          <w:position w:val="0"/>
        </w:rPr>
        <w:t>万元, 该项目设备已于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月全部投入使用，按照该批资产的加权平均剩余可使用年限，本期转入营业外 收入</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,702.97</w:t>
      </w:r>
      <w:r>
        <w:rPr>
          <w:color w:val="000000"/>
          <w:spacing w:val="0"/>
          <w:w w:val="100"/>
          <w:position w:val="0"/>
        </w:rPr>
        <w:t>元。</w:t>
      </w:r>
    </w:p>
    <w:p>
      <w:pPr>
        <w:pStyle w:val="Style34"/>
        <w:keepNext/>
        <w:keepLines/>
        <w:widowControl w:val="0"/>
        <w:shd w:val="clear" w:color="auto" w:fill="auto"/>
        <w:bidi w:val="0"/>
        <w:spacing w:before="0" w:after="280" w:line="329" w:lineRule="auto"/>
        <w:ind w:left="0" w:right="0" w:firstLine="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27</w:t>
      </w:r>
      <w:r>
        <w:rPr>
          <w:color w:val="000000"/>
          <w:spacing w:val="0"/>
          <w:w w:val="100"/>
          <w:position w:val="0"/>
        </w:rPr>
        <w:t>、股本</w:t>
      </w:r>
      <w:bookmarkEnd w:id="1241"/>
      <w:bookmarkEnd w:id="1242"/>
      <w:bookmarkEnd w:id="12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408,869,000.00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4,979,300.00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4,979,300.00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413,848,300.00</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69"/>
        <w:keepNext w:val="0"/>
        <w:keepLines w:val="0"/>
        <w:widowControl w:val="0"/>
        <w:shd w:val="clear" w:color="auto" w:fill="auto"/>
        <w:bidi w:val="0"/>
        <w:spacing w:before="0" w:after="280" w:line="312" w:lineRule="exact"/>
        <w:ind w:left="0" w:right="0" w:firstLine="320"/>
        <w:jc w:val="both"/>
      </w:pPr>
      <w:r>
        <w:rPr>
          <w:color w:val="000000"/>
          <w:spacing w:val="0"/>
          <w:w w:val="100"/>
          <w:position w:val="0"/>
        </w:rPr>
        <w:t>说明：根据公司</w:t>
      </w:r>
      <w:r>
        <w:rPr>
          <w:rFonts w:ascii="Times New Roman" w:eastAsia="Times New Roman" w:hAnsi="Times New Roman" w:cs="Times New Roman"/>
          <w:color w:val="000000"/>
          <w:spacing w:val="0"/>
          <w:w w:val="100"/>
          <w:position w:val="0"/>
        </w:rPr>
        <w:t>2011</w:t>
      </w:r>
      <w:r>
        <w:rPr>
          <w:color w:val="000000"/>
          <w:spacing w:val="0"/>
          <w:w w:val="100"/>
          <w:position w:val="0"/>
        </w:rPr>
        <w:t>年第一次临时股东大会审议通过的《安徽鑫龙电器股份有限公司股票期权激励计 划（修订稿）》的相关规定，公司首期股票期权激励计划首次授予第一个行权期的行权条件已经满足，经 公司第五届董事会第二十九次会议审议通过了《关于公司股票期权激励计划首次授予第一个行权期可行权 的议案》。公司实际有</w:t>
      </w:r>
      <w:r>
        <w:rPr>
          <w:rFonts w:ascii="Times New Roman" w:eastAsia="Times New Roman" w:hAnsi="Times New Roman" w:cs="Times New Roman"/>
          <w:color w:val="000000"/>
          <w:spacing w:val="0"/>
          <w:w w:val="100"/>
          <w:position w:val="0"/>
        </w:rPr>
        <w:t>101</w:t>
      </w:r>
      <w:r>
        <w:rPr>
          <w:color w:val="000000"/>
          <w:spacing w:val="0"/>
          <w:w w:val="100"/>
          <w:position w:val="0"/>
        </w:rPr>
        <w:t>名股权激励对象合计行权</w:t>
      </w:r>
      <w:r>
        <w:rPr>
          <w:rFonts w:ascii="Times New Roman" w:eastAsia="Times New Roman" w:hAnsi="Times New Roman" w:cs="Times New Roman"/>
          <w:color w:val="000000"/>
          <w:spacing w:val="0"/>
          <w:w w:val="100"/>
          <w:position w:val="0"/>
        </w:rPr>
        <w:t>497.93</w:t>
      </w:r>
      <w:r>
        <w:rPr>
          <w:color w:val="000000"/>
          <w:spacing w:val="0"/>
          <w:w w:val="100"/>
          <w:position w:val="0"/>
        </w:rPr>
        <w:t>万份股票期权，每份股票期权行权价格为人民 币</w:t>
      </w:r>
      <w:r>
        <w:rPr>
          <w:rFonts w:ascii="Times New Roman" w:eastAsia="Times New Roman" w:hAnsi="Times New Roman" w:cs="Times New Roman"/>
          <w:color w:val="000000"/>
          <w:spacing w:val="0"/>
          <w:w w:val="100"/>
          <w:position w:val="0"/>
        </w:rPr>
        <w:t>7.63</w:t>
      </w:r>
      <w:r>
        <w:rPr>
          <w:color w:val="000000"/>
          <w:spacing w:val="0"/>
          <w:w w:val="100"/>
          <w:position w:val="0"/>
        </w:rPr>
        <w:t>元，共计收到出资款人民币</w:t>
      </w:r>
      <w:r>
        <w:rPr>
          <w:rFonts w:ascii="Times New Roman" w:eastAsia="Times New Roman" w:hAnsi="Times New Roman" w:cs="Times New Roman"/>
          <w:color w:val="000000"/>
          <w:spacing w:val="0"/>
          <w:w w:val="100"/>
          <w:position w:val="0"/>
        </w:rPr>
        <w:t>37,992,059.00</w:t>
      </w:r>
      <w:r>
        <w:rPr>
          <w:color w:val="000000"/>
          <w:spacing w:val="0"/>
          <w:w w:val="100"/>
          <w:position w:val="0"/>
        </w:rPr>
        <w:t>元，其中计入</w:t>
      </w:r>
      <w:r>
        <w:rPr>
          <w:rFonts w:ascii="Times New Roman" w:eastAsia="Times New Roman" w:hAnsi="Times New Roman" w:cs="Times New Roman"/>
          <w:color w:val="000000"/>
          <w:spacing w:val="0"/>
          <w:w w:val="100"/>
          <w:position w:val="0"/>
        </w:rPr>
        <w:t>“</w:t>
      </w:r>
      <w:r>
        <w:rPr>
          <w:color w:val="000000"/>
          <w:spacing w:val="0"/>
          <w:w w:val="100"/>
          <w:position w:val="0"/>
        </w:rPr>
        <w:t>股本</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4,979,300.00</w:t>
      </w:r>
      <w:r>
        <w:rPr>
          <w:color w:val="000000"/>
          <w:spacing w:val="0"/>
          <w:w w:val="100"/>
          <w:position w:val="0"/>
        </w:rPr>
        <w:t>元，计入</w:t>
      </w:r>
      <w:r>
        <w:rPr>
          <w:rFonts w:ascii="Times New Roman" w:eastAsia="Times New Roman" w:hAnsi="Times New Roman" w:cs="Times New Roman"/>
          <w:color w:val="000000"/>
          <w:spacing w:val="0"/>
          <w:w w:val="100"/>
          <w:position w:val="0"/>
        </w:rPr>
        <w:t>“</w:t>
      </w:r>
      <w:r>
        <w:rPr>
          <w:color w:val="000000"/>
          <w:spacing w:val="0"/>
          <w:w w:val="100"/>
          <w:position w:val="0"/>
        </w:rPr>
        <w:t>资本公 积一股本溢价</w:t>
      </w:r>
      <w:r>
        <w:rPr>
          <w:rFonts w:ascii="Times New Roman" w:eastAsia="Times New Roman" w:hAnsi="Times New Roman" w:cs="Times New Roman"/>
          <w:color w:val="000000"/>
          <w:spacing w:val="0"/>
          <w:w w:val="100"/>
          <w:position w:val="0"/>
        </w:rPr>
        <w:t>''</w:t>
      </w:r>
      <w:r>
        <w:rPr>
          <w:color w:val="000000"/>
          <w:spacing w:val="0"/>
          <w:w w:val="100"/>
          <w:position w:val="0"/>
        </w:rPr>
        <w:t>人民币</w:t>
      </w:r>
      <w:r>
        <w:rPr>
          <w:rFonts w:ascii="Times New Roman" w:eastAsia="Times New Roman" w:hAnsi="Times New Roman" w:cs="Times New Roman"/>
          <w:color w:val="000000"/>
          <w:spacing w:val="0"/>
          <w:w w:val="100"/>
          <w:position w:val="0"/>
        </w:rPr>
        <w:t>33,012,759.00</w:t>
      </w:r>
      <w:r>
        <w:rPr>
          <w:color w:val="000000"/>
          <w:spacing w:val="0"/>
          <w:w w:val="100"/>
          <w:position w:val="0"/>
        </w:rPr>
        <w:t>元，行权后的注册资本变更为人民币</w:t>
      </w:r>
      <w:r>
        <w:rPr>
          <w:rFonts w:ascii="Times New Roman" w:eastAsia="Times New Roman" w:hAnsi="Times New Roman" w:cs="Times New Roman"/>
          <w:color w:val="000000"/>
          <w:spacing w:val="0"/>
          <w:w w:val="100"/>
          <w:position w:val="0"/>
        </w:rPr>
        <w:t>41,384.83</w:t>
      </w:r>
      <w:r>
        <w:rPr>
          <w:color w:val="000000"/>
          <w:spacing w:val="0"/>
          <w:w w:val="100"/>
          <w:position w:val="0"/>
        </w:rPr>
        <w:t>万元。本次增资业经大华 会计师事务所（特殊普通合伙）大华验字</w:t>
      </w:r>
      <w:r>
        <w:rPr>
          <w:rFonts w:ascii="Times New Roman" w:eastAsia="Times New Roman" w:hAnsi="Times New Roman" w:cs="Times New Roman"/>
          <w:color w:val="000000"/>
          <w:spacing w:val="0"/>
          <w:w w:val="100"/>
          <w:position w:val="0"/>
        </w:rPr>
        <w:t>[2013]000152</w:t>
      </w:r>
      <w:r>
        <w:rPr>
          <w:color w:val="000000"/>
          <w:spacing w:val="0"/>
          <w:w w:val="100"/>
          <w:position w:val="0"/>
        </w:rPr>
        <w:t>号验资报告验证。</w:t>
      </w:r>
    </w:p>
    <w:p>
      <w:pPr>
        <w:pStyle w:val="Style34"/>
        <w:keepNext/>
        <w:keepLines/>
        <w:widowControl w:val="0"/>
        <w:shd w:val="clear" w:color="auto" w:fill="auto"/>
        <w:bidi w:val="0"/>
        <w:spacing w:before="0" w:after="380" w:line="312" w:lineRule="exact"/>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244"/>
      <w:bookmarkEnd w:id="1245"/>
      <w:bookmarkEnd w:id="12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462,137,200.40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34,181,151.75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2,806,743.56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493,511,608.59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22,743,625.21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1,168,392.75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21,182,828.27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484,880,825.61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33,788,747.56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3,975,136.31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514,694,436.86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199" w:line="1" w:lineRule="exact"/>
      </w:pPr>
    </w:p>
    <w:p>
      <w:pPr>
        <w:pStyle w:val="Style69"/>
        <w:keepNext w:val="0"/>
        <w:keepLines w:val="0"/>
        <w:widowControl w:val="0"/>
        <w:shd w:val="clear" w:color="auto" w:fill="auto"/>
        <w:bidi w:val="0"/>
        <w:spacing w:before="0" w:after="140" w:line="240" w:lineRule="auto"/>
        <w:ind w:left="0" w:right="0" w:firstLine="300"/>
        <w:jc w:val="left"/>
        <w:sectPr>
          <w:headerReference w:type="default" r:id="rId291"/>
          <w:footerReference w:type="default" r:id="rId292"/>
          <w:headerReference w:type="even" r:id="rId293"/>
          <w:footerReference w:type="even" r:id="rId294"/>
          <w:headerReference w:type="first" r:id="rId295"/>
          <w:footerReference w:type="first" r:id="rId296"/>
          <w:footnotePr>
            <w:pos w:val="pageBottom"/>
            <w:numFmt w:val="decimal"/>
            <w:numRestart w:val="continuous"/>
          </w:footnotePr>
          <w:pgSz w:w="11900" w:h="16840"/>
          <w:pgMar w:top="994" w:right="1047" w:bottom="1057" w:left="1061" w:header="0" w:footer="3" w:gutter="0"/>
          <w:cols w:space="720"/>
          <w:noEndnote/>
          <w:titlePg/>
          <w:rtlGutter w:val="0"/>
          <w:docGrid w:linePitch="360"/>
        </w:sectPr>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）本期资本公积（股本溢价）增加原因:</w:t>
      </w:r>
    </w:p>
    <w:p>
      <w:pPr>
        <w:pStyle w:val="Style69"/>
        <w:keepNext w:val="0"/>
        <w:keepLines w:val="0"/>
        <w:widowControl w:val="0"/>
        <w:numPr>
          <w:ilvl w:val="0"/>
          <w:numId w:val="33"/>
        </w:numPr>
        <w:shd w:val="clear" w:color="auto" w:fill="auto"/>
        <w:tabs>
          <w:tab w:pos="832" w:val="left"/>
        </w:tabs>
        <w:bidi w:val="0"/>
        <w:spacing w:before="0" w:after="120" w:line="312" w:lineRule="exact"/>
        <w:ind w:left="0" w:right="0"/>
        <w:jc w:val="both"/>
      </w:pPr>
      <w:r>
        <mc:AlternateContent>
          <mc:Choice Requires="wps">
            <w:drawing>
              <wp:anchor distT="0" distB="0" distL="0" distR="0" simplePos="0" relativeHeight="125829424" behindDoc="0" locked="0" layoutInCell="1" allowOverlap="1">
                <wp:simplePos x="0" y="0"/>
                <wp:positionH relativeFrom="page">
                  <wp:posOffset>478790</wp:posOffset>
                </wp:positionH>
                <wp:positionV relativeFrom="paragraph">
                  <wp:posOffset>63500</wp:posOffset>
                </wp:positionV>
                <wp:extent cx="158750" cy="911225"/>
                <wp:wrapSquare wrapText="bothSides"/>
                <wp:docPr id="791" name="Shape 791"/>
                <a:graphic xmlns:a="http://schemas.openxmlformats.org/drawingml/2006/main">
                  <a:graphicData uri="http://schemas.microsoft.com/office/word/2010/wordprocessingShape">
                    <wps:wsp>
                      <wps:cNvSpPr txBox="1"/>
                      <wps:spPr>
                        <a:xfrm>
                          <a:ext cx="158750" cy="911225"/>
                        </a:xfrm>
                        <a:prstGeom prst="rect"/>
                        <a:noFill/>
                      </wps:spPr>
                      <wps:txbx>
                        <w:txbxContent>
                          <w:p>
                            <w:pPr>
                              <w:pStyle w:val="Style90"/>
                              <w:keepNext w:val="0"/>
                              <w:keepLines w:val="0"/>
                              <w:widowControl w:val="0"/>
                              <w:shd w:val="clear" w:color="auto" w:fill="auto"/>
                              <w:bidi w:val="0"/>
                              <w:spacing w:before="0" w:after="240" w:line="240" w:lineRule="auto"/>
                              <w:ind w:left="0" w:right="0" w:firstLine="0"/>
                              <w:jc w:val="left"/>
                            </w:pPr>
                            <w:bookmarkStart w:id="1160" w:name="bookmark1160"/>
                            <w:r>
                              <w:rPr>
                                <w:rFonts w:ascii="Courier New" w:eastAsia="Courier New" w:hAnsi="Courier New" w:cs="Courier New"/>
                                <w:color w:val="000000"/>
                                <w:spacing w:val="0"/>
                                <w:w w:val="100"/>
                                <w:position w:val="0"/>
                              </w:rPr>
                              <w:t>1</w:t>
                            </w:r>
                            <w:bookmarkEnd w:id="1160"/>
                            <w:r>
                              <w:rPr>
                                <w:rFonts w:ascii="Courier New" w:eastAsia="Courier New" w:hAnsi="Courier New" w:cs="Courier New"/>
                                <w:color w:val="000000"/>
                                <w:spacing w:val="0"/>
                                <w:w w:val="100"/>
                                <w:position w:val="0"/>
                              </w:rPr>
                              <w:t>.</w:t>
                            </w:r>
                          </w:p>
                          <w:p>
                            <w:pPr>
                              <w:pStyle w:val="Style90"/>
                              <w:keepNext w:val="0"/>
                              <w:keepLines w:val="0"/>
                              <w:widowControl w:val="0"/>
                              <w:shd w:val="clear" w:color="auto" w:fill="auto"/>
                              <w:bidi w:val="0"/>
                              <w:spacing w:before="0" w:after="560" w:line="240" w:lineRule="auto"/>
                              <w:ind w:left="0" w:right="0" w:firstLine="0"/>
                              <w:jc w:val="left"/>
                            </w:pPr>
                            <w:bookmarkStart w:id="1161" w:name="bookmark1161"/>
                            <w:r>
                              <w:rPr>
                                <w:rFonts w:ascii="Courier New" w:eastAsia="Courier New" w:hAnsi="Courier New" w:cs="Courier New"/>
                                <w:color w:val="000000"/>
                                <w:spacing w:val="0"/>
                                <w:w w:val="100"/>
                                <w:position w:val="0"/>
                              </w:rPr>
                              <w:t>2</w:t>
                            </w:r>
                            <w:bookmarkEnd w:id="1161"/>
                            <w:r>
                              <w:rPr>
                                <w:rFonts w:ascii="Courier New" w:eastAsia="Courier New" w:hAnsi="Courier New" w:cs="Courier New"/>
                                <w:color w:val="000000"/>
                                <w:spacing w:val="0"/>
                                <w:w w:val="100"/>
                                <w:position w:val="0"/>
                              </w:rPr>
                              <w:t>.</w:t>
                            </w:r>
                          </w:p>
                          <w:p>
                            <w:pPr>
                              <w:pStyle w:val="Style90"/>
                              <w:keepNext w:val="0"/>
                              <w:keepLines w:val="0"/>
                              <w:widowControl w:val="0"/>
                              <w:shd w:val="clear" w:color="auto" w:fill="auto"/>
                              <w:bidi w:val="0"/>
                              <w:spacing w:before="0" w:line="240" w:lineRule="auto"/>
                              <w:ind w:left="0" w:right="0" w:firstLine="0"/>
                              <w:jc w:val="left"/>
                            </w:pPr>
                            <w:bookmarkStart w:id="1162" w:name="bookmark1162"/>
                            <w:r>
                              <w:rPr>
                                <w:rFonts w:ascii="Courier New" w:eastAsia="Courier New" w:hAnsi="Courier New" w:cs="Courier New"/>
                                <w:color w:val="000000"/>
                                <w:spacing w:val="0"/>
                                <w:w w:val="100"/>
                                <w:position w:val="0"/>
                              </w:rPr>
                              <w:t>3</w:t>
                            </w:r>
                            <w:bookmarkEnd w:id="1162"/>
                            <w:r>
                              <w:rPr>
                                <w:rFonts w:ascii="Courier New" w:eastAsia="Courier New" w:hAnsi="Courier New" w:cs="Courier New"/>
                                <w:color w:val="000000"/>
                                <w:spacing w:val="0"/>
                                <w:w w:val="100"/>
                                <w:position w:val="0"/>
                              </w:rPr>
                              <w:t>.</w:t>
                            </w:r>
                          </w:p>
                        </w:txbxContent>
                      </wps:txbx>
                      <wps:bodyPr lIns="0" tIns="0" rIns="0" bIns="0">
                        <a:noAutoFit/>
                      </wps:bodyPr>
                    </wps:wsp>
                  </a:graphicData>
                </a:graphic>
              </wp:anchor>
            </w:drawing>
          </mc:Choice>
          <mc:Fallback>
            <w:pict>
              <v:shape id="_x0000_s1817" type="#_x0000_t202" style="position:absolute;margin-left:37.700000000000003pt;margin-top:5.pt;width:12.5pt;height:71.75pt;z-index:-125829329;mso-wrap-distance-left:0;mso-wrap-distance-right:0;mso-position-horizontal-relative:page" filled="f" stroked="f">
                <v:textbox inset="0,0,0,0">
                  <w:txbxContent>
                    <w:p>
                      <w:pPr>
                        <w:pStyle w:val="Style90"/>
                        <w:keepNext w:val="0"/>
                        <w:keepLines w:val="0"/>
                        <w:widowControl w:val="0"/>
                        <w:shd w:val="clear" w:color="auto" w:fill="auto"/>
                        <w:bidi w:val="0"/>
                        <w:spacing w:before="0" w:after="240" w:line="240" w:lineRule="auto"/>
                        <w:ind w:left="0" w:right="0" w:firstLine="0"/>
                        <w:jc w:val="left"/>
                      </w:pPr>
                      <w:bookmarkStart w:id="1160" w:name="bookmark1160"/>
                      <w:r>
                        <w:rPr>
                          <w:rFonts w:ascii="Courier New" w:eastAsia="Courier New" w:hAnsi="Courier New" w:cs="Courier New"/>
                          <w:color w:val="000000"/>
                          <w:spacing w:val="0"/>
                          <w:w w:val="100"/>
                          <w:position w:val="0"/>
                        </w:rPr>
                        <w:t>1</w:t>
                      </w:r>
                      <w:bookmarkEnd w:id="1160"/>
                      <w:r>
                        <w:rPr>
                          <w:rFonts w:ascii="Courier New" w:eastAsia="Courier New" w:hAnsi="Courier New" w:cs="Courier New"/>
                          <w:color w:val="000000"/>
                          <w:spacing w:val="0"/>
                          <w:w w:val="100"/>
                          <w:position w:val="0"/>
                        </w:rPr>
                        <w:t>.</w:t>
                      </w:r>
                    </w:p>
                    <w:p>
                      <w:pPr>
                        <w:pStyle w:val="Style90"/>
                        <w:keepNext w:val="0"/>
                        <w:keepLines w:val="0"/>
                        <w:widowControl w:val="0"/>
                        <w:shd w:val="clear" w:color="auto" w:fill="auto"/>
                        <w:bidi w:val="0"/>
                        <w:spacing w:before="0" w:after="560" w:line="240" w:lineRule="auto"/>
                        <w:ind w:left="0" w:right="0" w:firstLine="0"/>
                        <w:jc w:val="left"/>
                      </w:pPr>
                      <w:bookmarkStart w:id="1161" w:name="bookmark1161"/>
                      <w:r>
                        <w:rPr>
                          <w:rFonts w:ascii="Courier New" w:eastAsia="Courier New" w:hAnsi="Courier New" w:cs="Courier New"/>
                          <w:color w:val="000000"/>
                          <w:spacing w:val="0"/>
                          <w:w w:val="100"/>
                          <w:position w:val="0"/>
                        </w:rPr>
                        <w:t>2</w:t>
                      </w:r>
                      <w:bookmarkEnd w:id="1161"/>
                      <w:r>
                        <w:rPr>
                          <w:rFonts w:ascii="Courier New" w:eastAsia="Courier New" w:hAnsi="Courier New" w:cs="Courier New"/>
                          <w:color w:val="000000"/>
                          <w:spacing w:val="0"/>
                          <w:w w:val="100"/>
                          <w:position w:val="0"/>
                        </w:rPr>
                        <w:t>.</w:t>
                      </w:r>
                    </w:p>
                    <w:p>
                      <w:pPr>
                        <w:pStyle w:val="Style90"/>
                        <w:keepNext w:val="0"/>
                        <w:keepLines w:val="0"/>
                        <w:widowControl w:val="0"/>
                        <w:shd w:val="clear" w:color="auto" w:fill="auto"/>
                        <w:bidi w:val="0"/>
                        <w:spacing w:before="0" w:line="240" w:lineRule="auto"/>
                        <w:ind w:left="0" w:right="0" w:firstLine="0"/>
                        <w:jc w:val="left"/>
                      </w:pPr>
                      <w:bookmarkStart w:id="1162" w:name="bookmark1162"/>
                      <w:r>
                        <w:rPr>
                          <w:rFonts w:ascii="Courier New" w:eastAsia="Courier New" w:hAnsi="Courier New" w:cs="Courier New"/>
                          <w:color w:val="000000"/>
                          <w:spacing w:val="0"/>
                          <w:w w:val="100"/>
                          <w:position w:val="0"/>
                        </w:rPr>
                        <w:t>3</w:t>
                      </w:r>
                      <w:bookmarkEnd w:id="1162"/>
                      <w:r>
                        <w:rPr>
                          <w:rFonts w:ascii="Courier New" w:eastAsia="Courier New" w:hAnsi="Courier New" w:cs="Courier New"/>
                          <w:color w:val="000000"/>
                          <w:spacing w:val="0"/>
                          <w:w w:val="100"/>
                          <w:position w:val="0"/>
                        </w:rPr>
                        <w:t>.</w:t>
                      </w:r>
                    </w:p>
                  </w:txbxContent>
                </v:textbox>
                <w10:wrap type="square" anchorx="page"/>
              </v:shape>
            </w:pict>
          </mc:Fallback>
        </mc:AlternateContent>
      </w:r>
      <w:bookmarkStart w:id="1248" w:name="bookmark1248"/>
      <w:bookmarkEnd w:id="1248"/>
      <w:r>
        <w:rPr>
          <w:color w:val="000000"/>
          <w:spacing w:val="0"/>
          <w:w w:val="100"/>
          <w:position w:val="0"/>
        </w:rPr>
        <w:t>本期增加</w:t>
      </w:r>
      <w:r>
        <w:rPr>
          <w:rFonts w:ascii="Times New Roman" w:eastAsia="Times New Roman" w:hAnsi="Times New Roman" w:cs="Times New Roman"/>
          <w:color w:val="000000"/>
          <w:spacing w:val="0"/>
          <w:w w:val="100"/>
          <w:position w:val="0"/>
        </w:rPr>
        <w:t>33,012,759.00</w:t>
      </w:r>
      <w:r>
        <w:rPr>
          <w:color w:val="000000"/>
          <w:spacing w:val="0"/>
          <w:w w:val="100"/>
          <w:position w:val="0"/>
        </w:rPr>
        <w:t>元原因详见本报告第十节、七、</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69"/>
        <w:keepNext w:val="0"/>
        <w:keepLines w:val="0"/>
        <w:widowControl w:val="0"/>
        <w:numPr>
          <w:ilvl w:val="0"/>
          <w:numId w:val="33"/>
        </w:numPr>
        <w:shd w:val="clear" w:color="auto" w:fill="auto"/>
        <w:tabs>
          <w:tab w:pos="819" w:val="left"/>
        </w:tabs>
        <w:bidi w:val="0"/>
        <w:spacing w:before="0" w:after="120" w:line="312" w:lineRule="exact"/>
        <w:ind w:left="0" w:right="0"/>
        <w:jc w:val="both"/>
      </w:pPr>
      <w:bookmarkStart w:id="1249" w:name="bookmark1249"/>
      <w:bookmarkEnd w:id="1249"/>
      <w:r>
        <w:rPr>
          <w:color w:val="000000"/>
          <w:spacing w:val="0"/>
          <w:w w:val="100"/>
          <w:position w:val="0"/>
        </w:rPr>
        <w:t>本期增加</w:t>
      </w:r>
      <w:r>
        <w:rPr>
          <w:rFonts w:ascii="Times New Roman" w:eastAsia="Times New Roman" w:hAnsi="Times New Roman" w:cs="Times New Roman"/>
          <w:color w:val="000000"/>
          <w:spacing w:val="0"/>
          <w:w w:val="100"/>
          <w:position w:val="0"/>
        </w:rPr>
        <w:t>1,168,392.75</w:t>
      </w:r>
      <w:r>
        <w:rPr>
          <w:color w:val="000000"/>
          <w:spacing w:val="0"/>
          <w:w w:val="100"/>
          <w:position w:val="0"/>
        </w:rPr>
        <w:t>元，系由于股权激励对象行权首期股票期权激励计划首次授予第一期股票期 权，按行权比例相应将原首次授予第一期计入其他资本公积的</w:t>
      </w:r>
      <w:r>
        <w:rPr>
          <w:rFonts w:ascii="Times New Roman" w:eastAsia="Times New Roman" w:hAnsi="Times New Roman" w:cs="Times New Roman"/>
          <w:color w:val="000000"/>
          <w:spacing w:val="0"/>
          <w:w w:val="100"/>
          <w:position w:val="0"/>
        </w:rPr>
        <w:t>1,168,392.75</w:t>
      </w:r>
      <w:r>
        <w:rPr>
          <w:color w:val="000000"/>
          <w:spacing w:val="0"/>
          <w:w w:val="100"/>
          <w:position w:val="0"/>
        </w:rPr>
        <w:t>元转入股本溢价。</w:t>
      </w:r>
    </w:p>
    <w:p>
      <w:pPr>
        <w:pStyle w:val="Style69"/>
        <w:keepNext w:val="0"/>
        <w:keepLines w:val="0"/>
        <w:widowControl w:val="0"/>
        <w:shd w:val="clear" w:color="auto" w:fill="auto"/>
        <w:bidi w:val="0"/>
        <w:spacing w:before="0" w:after="120" w:line="310" w:lineRule="exact"/>
        <w:ind w:left="0" w:right="0" w:firstLine="180"/>
        <w:jc w:val="both"/>
      </w:pPr>
      <w:bookmarkStart w:id="1250" w:name="bookmark1250"/>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 本期资本公积（股本溢价）减少，系由于公司本期购买子公司安徽佑赛科技有限公司少数股东</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股权，母公司新取得的长期股权投资成本与按照新增持股比例计算应享有子公司自购买日开始持续计算的 可辨认净资产份额之间的差额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,806,743.56</w:t>
      </w:r>
      <w:r>
        <w:rPr>
          <w:color w:val="000000"/>
          <w:spacing w:val="0"/>
          <w:w w:val="100"/>
          <w:position w:val="0"/>
        </w:rPr>
        <w:t>元，冲减合并财务报表资本公积（股本溢价）所致。</w:t>
      </w:r>
    </w:p>
    <w:p>
      <w:pPr>
        <w:pStyle w:val="Style69"/>
        <w:keepNext w:val="0"/>
        <w:keepLines w:val="0"/>
        <w:widowControl w:val="0"/>
        <w:shd w:val="clear" w:color="auto" w:fill="auto"/>
        <w:tabs>
          <w:tab w:pos="762" w:val="left"/>
        </w:tabs>
        <w:bidi w:val="0"/>
        <w:spacing w:before="0" w:after="120" w:line="331" w:lineRule="exact"/>
        <w:ind w:left="0" w:right="0" w:firstLine="180"/>
        <w:jc w:val="both"/>
      </w:pPr>
      <w:bookmarkStart w:id="1251" w:name="bookmark1251"/>
      <w:r>
        <w:rPr>
          <w:color w:val="000000"/>
          <w:spacing w:val="0"/>
          <w:w w:val="100"/>
          <w:position w:val="0"/>
        </w:rPr>
        <w:t>（</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w:t>
        <w:tab/>
        <w:t>本期其他资本公积增加，系实施以权益结算的股票期权激励计划，计提首次授予第二期和预留第一 期股票期权费用，以及冲回首次授予第三期和预留第二期股票期权费用所致。</w:t>
      </w:r>
    </w:p>
    <w:p>
      <w:pPr>
        <w:pStyle w:val="Style69"/>
        <w:keepNext w:val="0"/>
        <w:keepLines w:val="0"/>
        <w:widowControl w:val="0"/>
        <w:shd w:val="clear" w:color="auto" w:fill="auto"/>
        <w:tabs>
          <w:tab w:pos="668" w:val="left"/>
        </w:tabs>
        <w:bidi w:val="0"/>
        <w:spacing w:before="0" w:after="280" w:line="312" w:lineRule="exact"/>
        <w:ind w:left="0" w:right="0" w:firstLine="180"/>
        <w:jc w:val="both"/>
      </w:pPr>
      <w:bookmarkStart w:id="1252" w:name="bookmark1252"/>
      <w:r>
        <w:rPr>
          <w:color w:val="000000"/>
          <w:spacing w:val="0"/>
          <w:w w:val="100"/>
          <w:position w:val="0"/>
        </w:rPr>
        <w:t>（</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w:t>
        <w:tab/>
        <w:t>其他资本公积减少原因详见本报告第十节、七、</w:t>
      </w:r>
      <w:r>
        <w:rPr>
          <w:rFonts w:ascii="Times New Roman" w:eastAsia="Times New Roman" w:hAnsi="Times New Roman" w:cs="Times New Roman"/>
          <w:color w:val="000000"/>
          <w:spacing w:val="0"/>
          <w:w w:val="100"/>
          <w:position w:val="0"/>
        </w:rPr>
        <w:t>28</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、②。</w:t>
      </w:r>
    </w:p>
    <w:p>
      <w:pPr>
        <w:pStyle w:val="Style34"/>
        <w:keepNext/>
        <w:keepLines/>
        <w:widowControl w:val="0"/>
        <w:shd w:val="clear" w:color="auto" w:fill="auto"/>
        <w:bidi w:val="0"/>
        <w:spacing w:before="0" w:after="380" w:line="312" w:lineRule="exact"/>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253"/>
      <w:bookmarkEnd w:id="1254"/>
      <w:bookmarkEnd w:id="12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34,741,070.53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42,462,337.50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34,741,070.53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7,721,266.97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42,462,337.50</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盈余公积说明，用盈余公积转增股本、弥补亏损、分派股利的，应说明有关决议</w:t>
      </w:r>
    </w:p>
    <w:p>
      <w:pPr>
        <w:pStyle w:val="Style34"/>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257"/>
      <w:bookmarkEnd w:id="1258"/>
      <w:bookmarkEnd w:id="12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235,051,872.69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235,051,872.69</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87,486,738.75</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7,721,266.97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母公司净利润的</w:t>
            </w:r>
            <w:r>
              <w:rPr>
                <w:rFonts w:ascii="Times New Roman" w:eastAsia="Times New Roman" w:hAnsi="Times New Roman" w:cs="Times New Roman"/>
                <w:color w:val="000000"/>
                <w:spacing w:val="0"/>
                <w:w w:val="100"/>
                <w:position w:val="0"/>
                <w:sz w:val="18"/>
                <w:szCs w:val="18"/>
              </w:rPr>
              <w:t>10%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8,177,380.00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w:t>
            </w:r>
            <w:r>
              <w:rPr>
                <w:rFonts w:ascii="Arial" w:eastAsia="Arial" w:hAnsi="Arial" w:cs="Arial"/>
                <w:color w:val="000000"/>
                <w:spacing w:val="0"/>
                <w:w w:val="100"/>
                <w:position w:val="0"/>
                <w:sz w:val="18"/>
                <w:szCs w:val="18"/>
              </w:rPr>
              <w:t>2012</w:t>
            </w:r>
            <w:r>
              <w:rPr>
                <w:color w:val="000000"/>
                <w:spacing w:val="0"/>
                <w:w w:val="100"/>
                <w:position w:val="0"/>
              </w:rPr>
              <w:t>年末股本为基数， 向全体股东每</w:t>
            </w:r>
            <w:r>
              <w:rPr>
                <w:rFonts w:ascii="Arial" w:eastAsia="Arial" w:hAnsi="Arial" w:cs="Arial"/>
                <w:color w:val="000000"/>
                <w:spacing w:val="0"/>
                <w:w w:val="100"/>
                <w:position w:val="0"/>
                <w:sz w:val="18"/>
                <w:szCs w:val="18"/>
              </w:rPr>
              <w:t>10</w:t>
            </w:r>
            <w:r>
              <w:rPr>
                <w:color w:val="000000"/>
                <w:spacing w:val="0"/>
                <w:w w:val="100"/>
                <w:position w:val="0"/>
              </w:rPr>
              <w:t>股派发现 金股利人民币</w:t>
            </w:r>
            <w:r>
              <w:rPr>
                <w:rFonts w:ascii="Arial" w:eastAsia="Arial" w:hAnsi="Arial" w:cs="Arial"/>
                <w:color w:val="000000"/>
                <w:spacing w:val="0"/>
                <w:w w:val="100"/>
                <w:position w:val="0"/>
                <w:sz w:val="18"/>
                <w:szCs w:val="18"/>
              </w:rPr>
              <w:t>0.20</w:t>
            </w:r>
            <w:r>
              <w:rPr>
                <w:color w:val="000000"/>
                <w:spacing w:val="0"/>
                <w:w w:val="100"/>
                <w:position w:val="0"/>
              </w:rPr>
              <w:t>元（含 税）</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306,639,964.47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261" w:name="bookmark1261"/>
      <w:r>
        <w:rPr>
          <w:rFonts w:ascii="Times New Roman" w:eastAsia="Times New Roman" w:hAnsi="Times New Roman" w:cs="Times New Roman"/>
          <w:color w:val="000000"/>
          <w:spacing w:val="0"/>
          <w:w w:val="100"/>
          <w:position w:val="0"/>
          <w:sz w:val="18"/>
          <w:szCs w:val="18"/>
        </w:rPr>
        <w:t>1</w:t>
      </w:r>
      <w:bookmarkEnd w:id="12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62" w:name="bookmark1262"/>
      <w:r>
        <w:rPr>
          <w:rFonts w:ascii="Times New Roman" w:eastAsia="Times New Roman" w:hAnsi="Times New Roman" w:cs="Times New Roman"/>
          <w:color w:val="000000"/>
          <w:spacing w:val="0"/>
          <w:w w:val="100"/>
          <w:position w:val="0"/>
          <w:sz w:val="18"/>
          <w:szCs w:val="18"/>
        </w:rPr>
        <w:t>2</w:t>
      </w:r>
      <w:bookmarkEnd w:id="12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63" w:name="bookmark1263"/>
      <w:r>
        <w:rPr>
          <w:rFonts w:ascii="Times New Roman" w:eastAsia="Times New Roman" w:hAnsi="Times New Roman" w:cs="Times New Roman"/>
          <w:color w:val="000000"/>
          <w:spacing w:val="0"/>
          <w:w w:val="100"/>
          <w:position w:val="0"/>
          <w:sz w:val="18"/>
          <w:szCs w:val="18"/>
        </w:rPr>
        <w:t>3</w:t>
      </w:r>
      <w:bookmarkEnd w:id="12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264" w:name="bookmark1264"/>
      <w:r>
        <w:rPr>
          <w:rFonts w:ascii="Times New Roman" w:eastAsia="Times New Roman" w:hAnsi="Times New Roman" w:cs="Times New Roman"/>
          <w:color w:val="000000"/>
          <w:spacing w:val="0"/>
          <w:w w:val="100"/>
          <w:position w:val="0"/>
          <w:sz w:val="18"/>
          <w:szCs w:val="18"/>
        </w:rPr>
        <w:t>4</w:t>
      </w:r>
      <w:bookmarkEnd w:id="12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29"/>
        <w:keepNext w:val="0"/>
        <w:keepLines w:val="0"/>
        <w:widowControl w:val="0"/>
        <w:shd w:val="clear" w:color="auto" w:fill="auto"/>
        <w:tabs>
          <w:tab w:pos="349" w:val="left"/>
        </w:tabs>
        <w:bidi w:val="0"/>
        <w:spacing w:before="0" w:after="0" w:line="240" w:lineRule="auto"/>
        <w:ind w:left="0" w:right="0" w:firstLine="0"/>
        <w:jc w:val="left"/>
      </w:pPr>
      <w:bookmarkStart w:id="1265" w:name="bookmark1265"/>
      <w:r>
        <w:rPr>
          <w:rFonts w:ascii="Times New Roman" w:eastAsia="Times New Roman" w:hAnsi="Times New Roman" w:cs="Times New Roman"/>
          <w:color w:val="000000"/>
          <w:spacing w:val="0"/>
          <w:w w:val="100"/>
          <w:position w:val="0"/>
          <w:sz w:val="18"/>
          <w:szCs w:val="18"/>
        </w:rPr>
        <w:t>5</w:t>
      </w:r>
      <w:bookmarkEnd w:id="12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29"/>
        <w:keepNext w:val="0"/>
        <w:keepLines w:val="0"/>
        <w:widowControl w:val="0"/>
        <w:shd w:val="clear" w:color="auto" w:fill="auto"/>
        <w:bidi w:val="0"/>
        <w:spacing w:before="0" w:after="120" w:line="406" w:lineRule="exact"/>
        <w:ind w:left="0" w:right="0" w:firstLine="0"/>
        <w:jc w:val="left"/>
        <w:rPr>
          <w:sz w:val="36"/>
          <w:szCs w:val="36"/>
        </w:rPr>
      </w:pPr>
      <w:r>
        <w:rPr>
          <w:color w:val="000000"/>
          <w:spacing w:val="0"/>
          <w:w w:val="100"/>
          <w:position w:val="0"/>
          <w:sz w:val="17"/>
          <w:szCs w:val="17"/>
        </w:rPr>
        <w:t xml:space="preserve">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w:t>
      </w:r>
      <w:r>
        <w:rPr>
          <w:rFonts w:ascii="Arial" w:eastAsia="Arial" w:hAnsi="Arial" w:cs="Arial"/>
          <w:b/>
          <w:bCs/>
          <w:color w:val="D2D2D2"/>
          <w:spacing w:val="0"/>
          <w:w w:val="100"/>
          <w:position w:val="0"/>
          <w:sz w:val="36"/>
          <w:szCs w:val="36"/>
        </w:rPr>
        <w:t>cnii</w:t>
      </w:r>
      <w:r>
        <w:rPr>
          <w:rFonts w:ascii="Arial" w:eastAsia="Arial" w:hAnsi="Arial" w:cs="Arial"/>
          <w:b/>
          <w:bCs/>
          <w:color w:val="D2D2D2"/>
          <w:spacing w:val="0"/>
          <w:w w:val="100"/>
          <w:position w:val="0"/>
          <w:sz w:val="36"/>
          <w:szCs w:val="36"/>
          <w:vertAlign w:val="subscript"/>
        </w:rPr>
        <w:t>123</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经审计的利润数</w:t>
      </w:r>
    </w:p>
    <w:p>
      <w:pPr>
        <w:pStyle w:val="Style34"/>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66"/>
      <w:bookmarkEnd w:id="1267"/>
      <w:bookmarkEnd w:id="1269"/>
    </w:p>
    <w:p>
      <w:pPr>
        <w:pStyle w:val="Style34"/>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266"/>
      <w:bookmarkEnd w:id="1267"/>
      <w:bookmarkEnd w:id="12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894,799,011.67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934,394,633.96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10,396,447.36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9,651,264.99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534,160,881.94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561,606,212.97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r>
        <w:rPr>
          <w:color w:val="000000"/>
          <w:spacing w:val="0"/>
          <w:w w:val="100"/>
          <w:position w:val="0"/>
        </w:rPr>
        <w:t>)主营业务(分产品)</w:t>
      </w:r>
      <w:bookmarkEnd w:id="1271"/>
      <w:bookmarkEnd w:id="1272"/>
      <w:bookmarkEnd w:id="12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高、低压成套开关设备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630,397,721.86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395,586,388.95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656,978,747.66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416,856,208.93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169,841,022.02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86,757,069.43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199,602,777.02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100,690,940.76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84,673,224.20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44,632,800.07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70,153,066.94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36,398,854.96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1,100,720.50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770,985.76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1,968,896.85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1,268,802.00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电力电子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8,786,323.09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3,410,725.77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5,691,145.49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3,115,281.11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894,799,011.67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531,157,969.98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934,394,633.96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558,330,087.76</w:t>
            </w:r>
          </w:p>
        </w:tc>
      </w:tr>
    </w:tbl>
    <w:p>
      <w:pPr>
        <w:widowControl w:val="0"/>
        <w:spacing w:after="319" w:line="1" w:lineRule="exact"/>
      </w:pPr>
    </w:p>
    <w:p>
      <w:pPr>
        <w:pStyle w:val="Style34"/>
        <w:keepNext/>
        <w:keepLines/>
        <w:widowControl w:val="0"/>
        <w:numPr>
          <w:ilvl w:val="0"/>
          <w:numId w:val="35"/>
        </w:numPr>
        <w:shd w:val="clear" w:color="auto" w:fill="auto"/>
        <w:bidi w:val="0"/>
        <w:spacing w:before="0" w:after="380" w:line="240" w:lineRule="auto"/>
        <w:ind w:left="0" w:right="0" w:firstLine="14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公司来自前五名客户的营业收入情况</w:t>
      </w:r>
      <w:bookmarkEnd w:id="1274"/>
      <w:bookmarkEnd w:id="1275"/>
      <w:bookmarkEnd w:id="12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合肥淮成电力设备有限公司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31,918,033.33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滨化集团股份有限公司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30,129,025.70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南京禄口国际机场二期工程建设 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27,596,735.82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中国银行股份有限公司安徽省分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25,310,590.56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东风悦达起亚汽车有限公司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17,065,783.76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132,020,169.17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34"/>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、营业税金及附加</w:t>
      </w:r>
      <w:bookmarkEnd w:id="1278"/>
      <w:bookmarkEnd w:id="1279"/>
      <w:bookmarkEnd w:id="12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2,899,791.92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4,934,565.96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1,242,875.89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2,117,997.17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828,583.99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1,406,773.19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5,007,665.43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8,516,423.23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4"/>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282"/>
      <w:bookmarkEnd w:id="1283"/>
      <w:bookmarkEnd w:id="12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17,039,516.84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13,573,686.09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4,022,106.66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4,302,415.31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11,984,960.69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9,559,656.51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运输及劳务费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66,125,749.01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42,501,871.68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14,941,590.38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11,830,750.58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3,523,394.54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3,186,299.89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3,030,500.58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2,120,533.48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120,667,818.70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87,075,213.54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286"/>
      <w:bookmarkEnd w:id="1287"/>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34,988,355.86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21,837,309.00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73,914,277.78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61,407,016.45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办公、汽车费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3,975,349.99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3,893,065.00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11,060,189.46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9,503,913.50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7,927,136.25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6,720,181.92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5,327,314.00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8,486,725.87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5,007,307.86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139,959,631.02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113,696,107.73</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90"/>
      <w:bookmarkEnd w:id="1291"/>
      <w:bookmarkEnd w:id="12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27,122,687.14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46,375,160.91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-7,185,937.09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-2,273,619.15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6,747,900.06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968,174.97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26,696,095.08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45,075,257.20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294"/>
      <w:bookmarkEnd w:id="1295"/>
      <w:bookmarkEnd w:id="1297"/>
    </w:p>
    <w:p>
      <w:pPr>
        <w:pStyle w:val="Style34"/>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294"/>
      <w:bookmarkEnd w:id="1295"/>
      <w:bookmarkEnd w:id="12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-7,106,502.01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-5,979,951.12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-6,960,502.01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-5,833,951.12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299"/>
      <w:bookmarkEnd w:id="1300"/>
      <w:bookmarkEnd w:id="13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芜湖扬子农村商业银行股份有限公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37"/>
        </w:numPr>
        <w:shd w:val="clear" w:color="auto" w:fill="auto"/>
        <w:bidi w:val="0"/>
        <w:spacing w:before="0" w:after="380" w:line="240" w:lineRule="auto"/>
        <w:ind w:left="0" w:right="0" w:firstLine="14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按权益法核算的长期股权投资收益</w:t>
      </w:r>
      <w:bookmarkEnd w:id="1302"/>
      <w:bookmarkEnd w:id="1303"/>
      <w:bookmarkEnd w:id="13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安徽美能储能系统有限公司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-7,052,793.94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-5,979,951.12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被投资企业本期亏损较多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湖北祥华鑫龙电力发展股份有限公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-7,106,502.01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-5,979,951.12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sectPr>
          <w:headerReference w:type="default" r:id="rId297"/>
          <w:footerReference w:type="default" r:id="rId298"/>
          <w:headerReference w:type="even" r:id="rId299"/>
          <w:footerReference w:type="even" r:id="rId300"/>
          <w:headerReference w:type="first" r:id="rId301"/>
          <w:footerReference w:type="first" r:id="rId302"/>
          <w:footnotePr>
            <w:pos w:val="pageBottom"/>
            <w:numFmt w:val="decimal"/>
            <w:numRestart w:val="continuous"/>
          </w:footnotePr>
          <w:pgSz w:w="11900" w:h="16840"/>
          <w:pgMar w:top="994" w:right="1047" w:bottom="1057" w:left="1061" w:header="0" w:footer="3" w:gutter="0"/>
          <w:cols w:space="720"/>
          <w:noEndnote/>
          <w:titlePg/>
          <w:rtlGutter w:val="0"/>
          <w:docGrid w:linePitch="360"/>
        </w:sectPr>
      </w:pPr>
      <w:r>
        <w:rPr>
          <w:color w:val="000000"/>
          <w:spacing w:val="0"/>
          <w:w w:val="100"/>
          <w:position w:val="0"/>
        </w:rPr>
        <w:t>投资收益的说明，若投资收益汇回有重大限制的，应予以说明。若不存在此类重大限制，也应做出说明</w:t>
      </w:r>
    </w:p>
    <w:p>
      <w:pPr>
        <w:pStyle w:val="Style34"/>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306"/>
      <w:bookmarkEnd w:id="1307"/>
      <w:bookmarkEnd w:id="13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18,431,446.72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16,238,655.88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18,431,446.72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16,238,655.88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310"/>
      <w:bookmarkEnd w:id="1311"/>
      <w:bookmarkEnd w:id="1313"/>
    </w:p>
    <w:p>
      <w:pPr>
        <w:pStyle w:val="Style34"/>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10"/>
      <w:bookmarkEnd w:id="1311"/>
      <w:bookmarkEnd w:id="13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46,409,942.78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4,955,148.00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46,409,942.78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114,260.96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46,453,903.88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5,072,966.78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46,453,903.88</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4"/>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15"/>
      <w:bookmarkEnd w:id="1316"/>
      <w:bookmarkEnd w:id="13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289,500.00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技术标准战略奖励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技术改造奖励资金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单位创新奖励和产业技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术升级补助款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39,147,077.00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上市及债务融资奖补资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1,333,044.00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965,648.00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非公党组织建设奖励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科技计划补助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综合效益十强奖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税收贡献奖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土地使用税奖励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创新团队扶持资金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博士后科研项目资助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重点实验室建设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多层厂房建设奖励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科技计划项目设备资助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46,409,942.78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4,955,148.00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318"/>
      <w:bookmarkEnd w:id="1319"/>
      <w:bookmarkEnd w:id="13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16,530.68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51,960.39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16,530.68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16,530.68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51,960.39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16,530.68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1,868.68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50,453.86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8,732.80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98,654.38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30,132.16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204,068.63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30,132.16</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4"/>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322"/>
      <w:bookmarkEnd w:id="1323"/>
      <w:bookmarkEnd w:id="13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18,255,257.78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18,848,354.14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-6,079,574.45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-2,381,869.90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12,175,683.33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16,466,484.24</w:t>
            </w:r>
          </w:p>
        </w:tc>
      </w:tr>
    </w:tbl>
    <w:p>
      <w:pPr>
        <w:widowControl w:val="0"/>
        <w:spacing w:after="259" w:line="1" w:lineRule="exact"/>
      </w:pPr>
    </w:p>
    <w:p>
      <w:pPr>
        <w:pStyle w:val="Style34"/>
        <w:keepNext/>
        <w:keepLines/>
        <w:widowControl w:val="0"/>
        <w:shd w:val="clear" w:color="auto" w:fill="auto"/>
        <w:bidi w:val="0"/>
        <w:spacing w:before="0" w:after="260" w:line="307" w:lineRule="exact"/>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、基本每股收益和稀释每股收益的计算过程</w:t>
      </w:r>
      <w:bookmarkEnd w:id="1326"/>
      <w:bookmarkEnd w:id="1327"/>
      <w:bookmarkEnd w:id="1329"/>
    </w:p>
    <w:p>
      <w:pPr>
        <w:pStyle w:val="Style69"/>
        <w:keepNext w:val="0"/>
        <w:keepLines w:val="0"/>
        <w:widowControl w:val="0"/>
        <w:shd w:val="clear" w:color="auto" w:fill="auto"/>
        <w:bidi w:val="0"/>
        <w:spacing w:before="0" w:after="120" w:line="307" w:lineRule="exact"/>
        <w:ind w:left="0" w:right="0"/>
        <w:jc w:val="both"/>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号——净资产收益率和每股收益 的计算及披露（</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[2010]</w:t>
      </w:r>
      <w:r>
        <w:rPr>
          <w:rFonts w:ascii="Times New Roman" w:eastAsia="Times New Roman" w:hAnsi="Times New Roman" w:cs="Times New Roman"/>
          <w:color w:val="000000"/>
          <w:spacing w:val="0"/>
          <w:w w:val="100"/>
          <w:position w:val="0"/>
        </w:rPr>
        <w:t>2</w:t>
      </w:r>
      <w:r>
        <w:rPr>
          <w:color w:val="000000"/>
          <w:spacing w:val="0"/>
          <w:w w:val="100"/>
          <w:position w:val="0"/>
        </w:rPr>
        <w:t>号）、《公开发行证券的公司信 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[2008]43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）要求 计算的每股收益如下：</w:t>
      </w:r>
    </w:p>
    <w:p>
      <w:pPr>
        <w:pStyle w:val="Style34"/>
        <w:keepNext/>
        <w:keepLines/>
        <w:widowControl w:val="0"/>
        <w:shd w:val="clear" w:color="auto" w:fill="auto"/>
        <w:bidi w:val="0"/>
        <w:spacing w:before="0" w:after="80" w:line="307" w:lineRule="exact"/>
        <w:ind w:left="0" w:right="0" w:firstLine="0"/>
        <w:jc w:val="left"/>
      </w:pPr>
      <w:bookmarkStart w:id="1330" w:name="bookmark1330"/>
      <w:bookmarkStart w:id="1331" w:name="bookmark1331"/>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）计算结果 </w:t>
      </w:r>
      <w:bookmarkEnd w:id="1330"/>
      <w:bookmarkEnd w:id="1331"/>
      <w:bookmarkEnd w:id="1332"/>
    </w:p>
    <w:p>
      <w:pPr>
        <w:pStyle w:val="Style29"/>
        <w:keepNext w:val="0"/>
        <w:keepLines w:val="0"/>
        <w:widowControl w:val="0"/>
        <w:shd w:val="clear" w:color="auto" w:fill="auto"/>
        <w:tabs>
          <w:tab w:pos="3168" w:val="left"/>
          <w:tab w:pos="5578" w:val="left"/>
        </w:tabs>
        <w:bidi w:val="0"/>
        <w:spacing w:before="0" w:after="300" w:line="240" w:lineRule="auto"/>
        <w:ind w:left="0" w:right="0" w:firstLine="0"/>
        <w:jc w:val="center"/>
        <w:rPr>
          <w:sz w:val="16"/>
          <w:szCs w:val="16"/>
        </w:rPr>
      </w:pPr>
      <w:r>
        <w:rPr>
          <w:color w:val="000000"/>
          <w:spacing w:val="0"/>
          <w:w w:val="100"/>
          <w:position w:val="0"/>
          <w:sz w:val="16"/>
          <w:szCs w:val="16"/>
        </w:rPr>
        <w:t>报告期利润</w:t>
        <w:tab/>
        <w:t>本期数</w:t>
        <w:tab/>
        <w:t>上期数</w:t>
      </w:r>
      <w:r>
        <w:br w:type="page"/>
      </w:r>
    </w:p>
    <w:tbl>
      <w:tblPr>
        <w:tblOverlap w:val="never"/>
        <w:jc w:val="left"/>
        <w:tblLayout w:type="fixed"/>
      </w:tblPr>
      <w:tblGrid>
        <w:gridCol w:w="3720"/>
        <w:gridCol w:w="1210"/>
        <w:gridCol w:w="1104"/>
        <w:gridCol w:w="1253"/>
        <w:gridCol w:w="1282"/>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稀释每股收益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稀释每股收益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归属于公司普通股股东的净利润</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0.2561</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扣除非经常性损益后归属于公司普通股股东的净利润</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0.1168</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0.1167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0.2471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0.2452</w:t>
            </w:r>
          </w:p>
        </w:tc>
      </w:tr>
    </w:tbl>
    <w:p>
      <w:pPr>
        <w:widowControl w:val="0"/>
        <w:spacing w:after="139" w:line="1" w:lineRule="exact"/>
      </w:pPr>
    </w:p>
    <w:p>
      <w:pPr>
        <w:pStyle w:val="Style34"/>
        <w:keepNext/>
        <w:keepLines/>
        <w:widowControl w:val="0"/>
        <w:shd w:val="clear" w:color="auto" w:fill="auto"/>
        <w:bidi w:val="0"/>
        <w:spacing w:before="0" w:after="0" w:line="240" w:lineRule="auto"/>
        <w:ind w:left="0" w:right="0" w:firstLine="14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）每股收益的计算过程</w:t>
      </w:r>
      <w:bookmarkEnd w:id="1333"/>
      <w:bookmarkEnd w:id="1334"/>
      <w:bookmarkEnd w:id="1335"/>
    </w:p>
    <w:tbl>
      <w:tblPr>
        <w:tblOverlap w:val="never"/>
        <w:jc w:val="left"/>
        <w:tblLayout w:type="fixed"/>
      </w:tblPr>
      <w:tblGrid>
        <w:gridCol w:w="3302"/>
        <w:gridCol w:w="1589"/>
        <w:gridCol w:w="1805"/>
        <w:gridCol w:w="1872"/>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上期数</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归属于本公司普通股股东的净利润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87,486,738.75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95,341,859.82</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扣除所得税影响后归属于母公司普通股股东净</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利润的非经常性损益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39,376,486.66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4,038,937.34</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扣除非经常性损益后的归属于本公司普通股股</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东的净利润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48,110,252.09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91,302,922.48</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期初股份总数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408,869,000.00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165,000,000.00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报告期因公积金转增股本或股票股利分配等增</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加的股份数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165,000,000.00</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报告期因发行新股或债转股等增加的股份数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4,979,300.00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78,869,000.00</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20" w:line="240" w:lineRule="auto"/>
              <w:ind w:left="0" w:right="0" w:firstLine="0"/>
              <w:jc w:val="left"/>
              <w:rPr>
                <w:sz w:val="16"/>
                <w:szCs w:val="16"/>
              </w:rPr>
            </w:pPr>
            <w:r>
              <w:rPr>
                <w:color w:val="000000"/>
                <w:spacing w:val="0"/>
                <w:w w:val="100"/>
                <w:position w:val="0"/>
                <w:sz w:val="16"/>
                <w:szCs w:val="16"/>
              </w:rPr>
              <w:t>发行新股或债转股等增加股份下一月份起至报</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告期年末的月份数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报告期因回购等减少的股份数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减少股份下一月份起至报告期年末的月份数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报告期缩股数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报告期月份数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w:t>
            </w:r>
          </w:p>
        </w:tc>
      </w:tr>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发行在外的普通股加权平均数</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12=4+5+6x7</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-11-8x9-11-10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411,773,592.00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369,434,500.00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6"/>
                <w:szCs w:val="16"/>
              </w:rPr>
              <w:t>因同一控制下企业合并而调整的发行在外的普 通股加权平均数</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基本每股收益</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0.2581</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基本每股收益</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0.2471</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已确认为费用的稀释性潜在普通股利息及其他 影响因素</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所得税率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转换费用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可转换公司债券、认股权证、股份期权等转换 或行权而增加的股份数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 xml:space="preserve">371,716.00 </w:t>
            </w:r>
            <w:r>
              <w:rPr>
                <w:color w:val="000000"/>
                <w:spacing w:val="0"/>
                <w:w w:val="100"/>
                <w:position w:val="0"/>
                <w:sz w:val="16"/>
                <w:szCs w:val="16"/>
              </w:rPr>
              <w:t>(注)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2,868,224.00</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稀释每股收益</w:t>
            </w:r>
            <w:r>
              <w:rPr>
                <w:rFonts w:ascii="Arial Unicode MS" w:eastAsia="Arial Unicode MS" w:hAnsi="Arial Unicode MS" w:cs="Arial Unicode MS"/>
                <w:color w:val="000000"/>
                <w:spacing w:val="0"/>
                <w:w w:val="100"/>
                <w:position w:val="0"/>
                <w:sz w:val="19"/>
                <w:szCs w:val="19"/>
              </w:rPr>
              <w:t>（I）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20=[1+(16-18)x</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(100%-17)]-(13+19)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0.2123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0.2561</w:t>
            </w:r>
          </w:p>
        </w:tc>
      </w:tr>
      <w:tr>
        <w:trPr>
          <w:trHeight w:val="68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6"/>
                <w:szCs w:val="16"/>
              </w:rPr>
              <w:t>稀释每股收益</w:t>
            </w:r>
            <w:r>
              <w:rPr>
                <w:rFonts w:ascii="Arial Unicode MS" w:eastAsia="Arial Unicode MS" w:hAnsi="Arial Unicode MS" w:cs="Arial Unicode MS"/>
                <w:color w:val="000000"/>
                <w:spacing w:val="0"/>
                <w:w w:val="100"/>
                <w:position w:val="0"/>
                <w:sz w:val="19"/>
                <w:szCs w:val="19"/>
              </w:rPr>
              <w:t>（II）</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21=[3+(16-18)</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x(100%-17)]-(12+19)</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0.1167</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0.2452</w:t>
            </w:r>
          </w:p>
        </w:tc>
      </w:tr>
    </w:tbl>
    <w:p>
      <w:pPr>
        <w:sectPr>
          <w:headerReference w:type="default" r:id="rId303"/>
          <w:footerReference w:type="default" r:id="rId304"/>
          <w:headerReference w:type="even" r:id="rId305"/>
          <w:footerReference w:type="even" r:id="rId306"/>
          <w:headerReference w:type="first" r:id="rId307"/>
          <w:footerReference w:type="first" r:id="rId308"/>
          <w:footnotePr>
            <w:pos w:val="pageBottom"/>
            <w:numFmt w:val="decimal"/>
            <w:numRestart w:val="continuous"/>
          </w:footnotePr>
          <w:pgSz w:w="11900" w:h="16840"/>
          <w:pgMar w:top="994" w:right="1047" w:bottom="1057" w:left="1061" w:header="0" w:footer="3" w:gutter="0"/>
          <w:cols w:space="720"/>
          <w:noEndnote/>
          <w:titlePg/>
          <w:rtlGutter w:val="0"/>
          <w:docGrid w:linePitch="360"/>
        </w:sectPr>
      </w:pPr>
    </w:p>
    <w:p>
      <w:pPr>
        <w:pStyle w:val="Style69"/>
        <w:keepNext w:val="0"/>
        <w:keepLines w:val="0"/>
        <w:widowControl w:val="0"/>
        <w:shd w:val="clear" w:color="auto" w:fill="auto"/>
        <w:bidi w:val="0"/>
        <w:spacing w:before="0" w:after="380" w:line="314" w:lineRule="exact"/>
        <w:ind w:left="0" w:right="0"/>
        <w:jc w:val="left"/>
      </w:pPr>
      <w:r>
        <w:rPr>
          <w:color w:val="000000"/>
          <w:spacing w:val="0"/>
          <w:w w:val="100"/>
          <w:position w:val="0"/>
        </w:rPr>
        <w:t>注：公司本期末累计授予的股份期权总额</w:t>
      </w:r>
      <w:r>
        <w:rPr>
          <w:rFonts w:ascii="Times New Roman" w:eastAsia="Times New Roman" w:hAnsi="Times New Roman" w:cs="Times New Roman"/>
          <w:color w:val="000000"/>
          <w:spacing w:val="0"/>
          <w:w w:val="100"/>
          <w:position w:val="0"/>
        </w:rPr>
        <w:t>864.40</w:t>
      </w:r>
      <w:r>
        <w:rPr>
          <w:color w:val="000000"/>
          <w:spacing w:val="0"/>
          <w:w w:val="100"/>
          <w:position w:val="0"/>
        </w:rPr>
        <w:t>万份，股份期权情况详见本报告第十节、九。其中首 次授予股票期权</w:t>
      </w:r>
      <w:r>
        <w:rPr>
          <w:rFonts w:ascii="Times New Roman" w:eastAsia="Times New Roman" w:hAnsi="Times New Roman" w:cs="Times New Roman"/>
          <w:color w:val="000000"/>
          <w:spacing w:val="0"/>
          <w:w w:val="100"/>
          <w:position w:val="0"/>
        </w:rPr>
        <w:t>764.4</w:t>
      </w:r>
      <w:r>
        <w:rPr>
          <w:rFonts w:ascii="Times New Roman" w:eastAsia="Times New Roman" w:hAnsi="Times New Roman" w:cs="Times New Roman"/>
          <w:color w:val="000000"/>
          <w:spacing w:val="0"/>
          <w:w w:val="100"/>
          <w:position w:val="0"/>
        </w:rPr>
        <w:t>0</w:t>
      </w:r>
      <w:r>
        <w:rPr>
          <w:color w:val="000000"/>
          <w:spacing w:val="0"/>
          <w:w w:val="100"/>
          <w:position w:val="0"/>
        </w:rPr>
        <w:t>万份，股份期权的行权价格为每股</w:t>
      </w:r>
      <w:r>
        <w:rPr>
          <w:rFonts w:ascii="Times New Roman" w:eastAsia="Times New Roman" w:hAnsi="Times New Roman" w:cs="Times New Roman"/>
          <w:color w:val="000000"/>
          <w:spacing w:val="0"/>
          <w:w w:val="100"/>
          <w:position w:val="0"/>
        </w:rPr>
        <w:t>7.63</w:t>
      </w:r>
      <w:r>
        <w:rPr>
          <w:color w:val="000000"/>
          <w:spacing w:val="0"/>
          <w:w w:val="100"/>
          <w:position w:val="0"/>
        </w:rPr>
        <w:t>元，当期普通股平均市场价格为每股</w:t>
      </w:r>
      <w:r>
        <w:rPr>
          <w:rFonts w:ascii="Times New Roman" w:eastAsia="Times New Roman" w:hAnsi="Times New Roman" w:cs="Times New Roman"/>
          <w:color w:val="000000"/>
          <w:spacing w:val="0"/>
          <w:w w:val="100"/>
          <w:position w:val="0"/>
        </w:rPr>
        <w:t>8.02</w:t>
      </w:r>
      <w:r>
        <w:rPr>
          <w:color w:val="000000"/>
          <w:spacing w:val="0"/>
          <w:w w:val="100"/>
          <w:position w:val="0"/>
        </w:rPr>
        <w:t>元， 具有稀释性，因此首次授予的股份期权若行权增加的股份数为：</w:t>
      </w:r>
      <w:r>
        <w:rPr>
          <w:rFonts w:ascii="Times New Roman" w:eastAsia="Times New Roman" w:hAnsi="Times New Roman" w:cs="Times New Roman"/>
          <w:color w:val="000000"/>
          <w:spacing w:val="0"/>
          <w:w w:val="100"/>
          <w:position w:val="0"/>
        </w:rPr>
        <w:t>7,644,000-7,644,000*7.63/8.02=371,716</w:t>
      </w:r>
      <w:r>
        <w:rPr>
          <w:color w:val="000000"/>
          <w:spacing w:val="0"/>
          <w:w w:val="100"/>
          <w:position w:val="0"/>
        </w:rPr>
        <w:t>股; 预留股份期权</w:t>
      </w:r>
      <w:r>
        <w:rPr>
          <w:rFonts w:ascii="Times New Roman" w:eastAsia="Times New Roman" w:hAnsi="Times New Roman" w:cs="Times New Roman"/>
          <w:color w:val="000000"/>
          <w:spacing w:val="0"/>
          <w:w w:val="100"/>
          <w:position w:val="0"/>
        </w:rPr>
        <w:t>100</w:t>
      </w:r>
      <w:r>
        <w:rPr>
          <w:color w:val="000000"/>
          <w:spacing w:val="0"/>
          <w:w w:val="100"/>
          <w:position w:val="0"/>
        </w:rPr>
        <w:t>万份，股份期权的行权价格为每股</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.25</w:t>
      </w:r>
      <w:r>
        <w:rPr>
          <w:color w:val="000000"/>
          <w:spacing w:val="0"/>
          <w:w w:val="100"/>
          <w:position w:val="0"/>
        </w:rPr>
        <w:t>元，当期普通股平均市场价格为每股</w:t>
      </w:r>
      <w:r>
        <w:rPr>
          <w:rFonts w:ascii="Times New Roman" w:eastAsia="Times New Roman" w:hAnsi="Times New Roman" w:cs="Times New Roman"/>
          <w:color w:val="000000"/>
          <w:spacing w:val="0"/>
          <w:w w:val="100"/>
          <w:position w:val="0"/>
        </w:rPr>
        <w:t>8.02</w:t>
      </w:r>
      <w:r>
        <w:rPr>
          <w:color w:val="000000"/>
          <w:spacing w:val="0"/>
          <w:w w:val="100"/>
          <w:position w:val="0"/>
        </w:rPr>
        <w:t>元，具有 反稀释性，因此未计算稀释每股收益。公司股份期权若行权合计增加股份数</w:t>
      </w:r>
      <w:r>
        <w:rPr>
          <w:rFonts w:ascii="Times New Roman" w:eastAsia="Times New Roman" w:hAnsi="Times New Roman" w:cs="Times New Roman"/>
          <w:color w:val="000000"/>
          <w:spacing w:val="0"/>
          <w:w w:val="100"/>
          <w:position w:val="0"/>
        </w:rPr>
        <w:t>371,716</w:t>
      </w:r>
      <w:r>
        <w:rPr>
          <w:color w:val="000000"/>
          <w:spacing w:val="0"/>
          <w:w w:val="100"/>
          <w:position w:val="0"/>
        </w:rPr>
        <w:t>股。</w:t>
      </w:r>
    </w:p>
    <w:p>
      <w:pPr>
        <w:pStyle w:val="Style34"/>
        <w:keepNext/>
        <w:keepLines/>
        <w:widowControl w:val="0"/>
        <w:shd w:val="clear" w:color="auto" w:fill="auto"/>
        <w:bidi w:val="0"/>
        <w:spacing w:before="0" w:after="200" w:line="329"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、现金流量表附注</w:t>
      </w:r>
      <w:bookmarkEnd w:id="1336"/>
      <w:bookmarkEnd w:id="1337"/>
      <w:bookmarkEnd w:id="1339"/>
    </w:p>
    <w:p>
      <w:pPr>
        <w:pStyle w:val="Style34"/>
        <w:keepNext/>
        <w:keepLines/>
        <w:widowControl w:val="0"/>
        <w:shd w:val="clear" w:color="auto" w:fill="auto"/>
        <w:bidi w:val="0"/>
        <w:spacing w:before="0" w:after="380" w:line="314" w:lineRule="exact"/>
        <w:ind w:left="0" w:right="0" w:firstLine="0"/>
        <w:jc w:val="left"/>
      </w:pPr>
      <w:bookmarkStart w:id="1336" w:name="bookmark1336"/>
      <w:bookmarkStart w:id="1337" w:name="bookmark1337"/>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36"/>
      <w:bookmarkEnd w:id="1337"/>
      <w:bookmarkEnd w:id="13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收回其他保证金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594,840.37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67,297,656.00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2,522,159.12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70,450,964.39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1"/>
      <w:bookmarkEnd w:id="1342"/>
      <w:bookmarkEnd w:id="13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管理费用付现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31,184,704.30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销售费用付现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103,591,894.40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14,032,257.84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148,808,856.54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14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44"/>
      <w:bookmarkEnd w:id="1345"/>
      <w:bookmarkEnd w:id="13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48"/>
      <w:bookmarkEnd w:id="1349"/>
      <w:bookmarkEnd w:id="13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4"/>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52"/>
      <w:bookmarkEnd w:id="1353"/>
      <w:bookmarkEnd w:id="13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募股资金利息收入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4,663,777.97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收回借款保证金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5,613,777.97</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56"/>
      <w:bookmarkEnd w:id="1357"/>
      <w:bookmarkEnd w:id="13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收购子公司少数股权款项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4,920,000.00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4,920,000.00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360"/>
      <w:bookmarkEnd w:id="1361"/>
      <w:bookmarkEnd w:id="1363"/>
    </w:p>
    <w:p>
      <w:pPr>
        <w:pStyle w:val="Style34"/>
        <w:keepNext/>
        <w:keepLines/>
        <w:widowControl w:val="0"/>
        <w:shd w:val="clear" w:color="auto" w:fill="auto"/>
        <w:bidi w:val="0"/>
        <w:spacing w:before="0" w:after="380" w:line="240" w:lineRule="auto"/>
        <w:ind w:left="0" w:right="0" w:firstLine="0"/>
        <w:jc w:val="left"/>
      </w:pPr>
      <w:bookmarkStart w:id="1360" w:name="bookmark1360"/>
      <w:bookmarkStart w:id="1361" w:name="bookmark1361"/>
      <w:bookmarkStart w:id="1364" w:name="bookmark136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0"/>
      <w:bookmarkEnd w:id="1361"/>
      <w:bookmarkEnd w:id="13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87,559,506.52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94,406,491.19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18,431,446.72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16,238,655.88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21,594,080.70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20,580,623.79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3,016,941.04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2,047,525.21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27,122,687.14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44,101,541.76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6,960,502.01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5,833,951.12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-6,079,574.45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-2,381,869.90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-98,101,146.83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44,758,884.85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-91,192,930.06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-256,336,650.53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-53,168,580.50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76,878,938.75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-83,848,189.23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46,176,494.69</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408,670,145.41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474,399,966.73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474,399,966.73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133,146,358.99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-65,729,821.32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341,253,607.74</w:t>
            </w:r>
          </w:p>
        </w:tc>
      </w:tr>
    </w:tbl>
    <w:p>
      <w:pPr>
        <w:widowControl w:val="0"/>
        <w:spacing w:after="339" w:line="1" w:lineRule="exact"/>
      </w:pPr>
    </w:p>
    <w:p>
      <w:pPr>
        <w:pStyle w:val="Style34"/>
        <w:keepNext/>
        <w:keepLines/>
        <w:widowControl w:val="0"/>
        <w:shd w:val="clear" w:color="auto" w:fill="auto"/>
        <w:bidi w:val="0"/>
        <w:spacing w:before="0" w:after="400" w:line="240" w:lineRule="auto"/>
        <w:ind w:left="0" w:right="0" w:firstLine="14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365"/>
      <w:bookmarkEnd w:id="1366"/>
      <w:bookmarkEnd w:id="13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numPr>
          <w:ilvl w:val="0"/>
          <w:numId w:val="39"/>
        </w:numPr>
        <w:shd w:val="clear" w:color="auto" w:fill="auto"/>
        <w:bidi w:val="0"/>
        <w:spacing w:before="0" w:after="400" w:line="240" w:lineRule="auto"/>
        <w:ind w:left="0" w:right="0" w:firstLine="14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现金和现金等价物的构成</w:t>
      </w:r>
      <w:bookmarkEnd w:id="1368"/>
      <w:bookmarkEnd w:id="1369"/>
      <w:bookmarkEnd w:id="13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408,670,145.41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474,399,966.73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241,848.12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789,170.73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408,428,297.29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473,610,796.00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408,670,145.41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474,399,966.73</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现金流量表补充资料的说明</w:t>
      </w:r>
    </w:p>
    <w:p>
      <w:pPr>
        <w:pStyle w:val="Style34"/>
        <w:keepNext/>
        <w:keepLines/>
        <w:widowControl w:val="0"/>
        <w:shd w:val="clear" w:color="auto" w:fill="auto"/>
        <w:bidi w:val="0"/>
        <w:spacing w:before="0" w:after="40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4</w:t>
      </w:r>
      <w:bookmarkEnd w:id="1374"/>
      <w:r>
        <w:rPr>
          <w:rFonts w:ascii="Times New Roman" w:eastAsia="Times New Roman" w:hAnsi="Times New Roman" w:cs="Times New Roman"/>
          <w:color w:val="000000"/>
          <w:spacing w:val="0"/>
          <w:w w:val="100"/>
          <w:position w:val="0"/>
        </w:rPr>
        <w:t>4</w:t>
      </w:r>
      <w:r>
        <w:rPr>
          <w:color w:val="000000"/>
          <w:spacing w:val="0"/>
          <w:w w:val="100"/>
          <w:position w:val="0"/>
        </w:rPr>
        <w:t>、所有者权益变动表项目注释</w:t>
      </w:r>
      <w:bookmarkEnd w:id="1372"/>
      <w:bookmarkEnd w:id="1373"/>
      <w:bookmarkEnd w:id="1375"/>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25"/>
        <w:keepNext/>
        <w:keepLines/>
        <w:widowControl w:val="0"/>
        <w:shd w:val="clear" w:color="auto" w:fill="auto"/>
        <w:bidi w:val="0"/>
        <w:spacing w:before="0" w:after="34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sz w:val="24"/>
          <w:szCs w:val="24"/>
        </w:rPr>
        <w:t>八</w:t>
      </w:r>
      <w:bookmarkEnd w:id="1378"/>
      <w:r>
        <w:rPr>
          <w:color w:val="000000"/>
          <w:spacing w:val="0"/>
          <w:w w:val="100"/>
          <w:position w:val="0"/>
          <w:sz w:val="24"/>
          <w:szCs w:val="24"/>
        </w:rPr>
        <w:t>、关联方及关联交易</w:t>
      </w:r>
      <w:bookmarkEnd w:id="1376"/>
      <w:bookmarkEnd w:id="1377"/>
      <w:bookmarkEnd w:id="1379"/>
    </w:p>
    <w:p>
      <w:pPr>
        <w:pStyle w:val="Style34"/>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bookmarkEnd w:id="1382"/>
      <w:r>
        <w:rPr>
          <w:color w:val="000000"/>
          <w:spacing w:val="0"/>
          <w:w w:val="100"/>
          <w:position w:val="0"/>
        </w:rPr>
        <w:t>、本企业的母公司情况</w:t>
      </w:r>
      <w:bookmarkEnd w:id="1380"/>
      <w:bookmarkEnd w:id="1381"/>
      <w:bookmarkEnd w:id="1383"/>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本企业的母公司情况的说明</w:t>
      </w:r>
    </w:p>
    <w:p>
      <w:pPr>
        <w:pStyle w:val="Style34"/>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color w:val="000000"/>
          <w:spacing w:val="0"/>
          <w:w w:val="100"/>
          <w:position w:val="0"/>
        </w:rPr>
        <w:t>、本企业的子公司情况</w:t>
      </w:r>
      <w:bookmarkEnd w:id="1384"/>
      <w:bookmarkEnd w:id="1385"/>
      <w:bookmarkEnd w:id="1387"/>
    </w:p>
    <w:tbl>
      <w:tblPr>
        <w:tblOverlap w:val="never"/>
        <w:jc w:val="center"/>
        <w:tblLayout w:type="fixed"/>
      </w:tblPr>
      <w:tblGrid>
        <w:gridCol w:w="965"/>
        <w:gridCol w:w="960"/>
        <w:gridCol w:w="955"/>
        <w:gridCol w:w="960"/>
        <w:gridCol w:w="955"/>
        <w:gridCol w:w="955"/>
        <w:gridCol w:w="960"/>
        <w:gridCol w:w="955"/>
        <w:gridCol w:w="955"/>
        <w:gridCol w:w="97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组织机构代</w:t>
            </w:r>
          </w:p>
        </w:tc>
      </w:tr>
    </w:tbl>
    <w:p>
      <w:pPr>
        <w:widowControl w:val="0"/>
        <w:spacing w:line="1" w:lineRule="exact"/>
        <w:sectPr>
          <w:headerReference w:type="default" r:id="rId309"/>
          <w:footerReference w:type="default" r:id="rId310"/>
          <w:headerReference w:type="even" r:id="rId311"/>
          <w:footerReference w:type="even" r:id="rId312"/>
          <w:headerReference w:type="first" r:id="rId313"/>
          <w:footerReference w:type="first" r:id="rId314"/>
          <w:footnotePr>
            <w:pos w:val="pageBottom"/>
            <w:numFmt w:val="decimal"/>
            <w:numRestart w:val="continuous"/>
          </w:footnotePr>
          <w:pgSz w:w="11900" w:h="16840"/>
          <w:pgMar w:top="994" w:right="1047" w:bottom="1057" w:left="1061" w:header="0" w:footer="3" w:gutter="0"/>
          <w:cols w:space="720"/>
          <w:noEndnote/>
          <w:titlePg/>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color w:val="000000"/>
          <w:spacing w:val="0"/>
          <w:w w:val="100"/>
          <w:position w:val="0"/>
        </w:rPr>
        <w:t>、本企业的合营和联营企业情况</w:t>
      </w:r>
      <w:bookmarkEnd w:id="1388"/>
      <w:bookmarkEnd w:id="1389"/>
      <w:bookmarkEnd w:id="1391"/>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color w:val="000000"/>
          <w:spacing w:val="0"/>
          <w:w w:val="100"/>
          <w:position w:val="0"/>
        </w:rPr>
        <w:t>、本企业的其他关联方情况</w:t>
      </w:r>
      <w:bookmarkEnd w:id="1392"/>
      <w:bookmarkEnd w:id="1393"/>
      <w:bookmarkEnd w:id="1395"/>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本企业的其他关联方情况的说明</w:t>
      </w:r>
    </w:p>
    <w:p>
      <w:pPr>
        <w:pStyle w:val="Style34"/>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5</w:t>
      </w:r>
      <w:bookmarkEnd w:id="1398"/>
      <w:r>
        <w:rPr>
          <w:color w:val="000000"/>
          <w:spacing w:val="0"/>
          <w:w w:val="100"/>
          <w:position w:val="0"/>
        </w:rPr>
        <w:t>、关联方交易</w:t>
      </w:r>
      <w:bookmarkEnd w:id="1396"/>
      <w:bookmarkEnd w:id="1397"/>
      <w:bookmarkEnd w:id="1399"/>
    </w:p>
    <w:p>
      <w:pPr>
        <w:pStyle w:val="Style34"/>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396"/>
      <w:bookmarkEnd w:id="1397"/>
      <w:bookmarkEnd w:id="140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安徽美能储能系统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140,555.56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1,419,464.44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401"/>
      <w:bookmarkEnd w:id="1402"/>
      <w:bookmarkEnd w:id="1403"/>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368"/>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w:t>
            </w:r>
          </w:p>
        </w:tc>
      </w:tr>
    </w:tbl>
    <w:p>
      <w:pPr>
        <w:widowControl w:val="0"/>
        <w:spacing w:line="1" w:lineRule="exact"/>
      </w:pPr>
      <w:r>
        <w:br w:type="page"/>
      </w:r>
    </w:p>
    <w:p>
      <w:pPr>
        <w:widowControl w:val="0"/>
        <w:jc w:val="center"/>
        <w:rPr>
          <w:sz w:val="2"/>
          <w:szCs w:val="2"/>
        </w:rPr>
      </w:pPr>
      <w:r>
        <w:drawing>
          <wp:inline>
            <wp:extent cx="6163310" cy="1560830"/>
            <wp:docPr id="852" name="Picutre 852"/>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315"/>
                    <a:stretch/>
                  </pic:blipFill>
                  <pic:spPr>
                    <a:xfrm>
                      <a:ext cx="6163310" cy="1560830"/>
                    </a:xfrm>
                    <a:prstGeom prst="rect"/>
                  </pic:spPr>
                </pic:pic>
              </a:graphicData>
            </a:graphic>
          </wp:inline>
        </w:drawing>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404"/>
      <w:bookmarkEnd w:id="1405"/>
      <w:bookmarkEnd w:id="140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公司出租情况表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4"/>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408"/>
      <w:bookmarkEnd w:id="1409"/>
      <w:bookmarkEnd w:id="14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担保是否已经履行 完毕</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安徽森源电器有限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安徽鑫龙电器股份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安徽鑫龙自动化有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34"/>
        <w:keepNext/>
        <w:keepLines/>
        <w:widowControl w:val="0"/>
        <w:shd w:val="clear" w:color="auto" w:fill="auto"/>
        <w:bidi w:val="0"/>
        <w:spacing w:before="0" w:after="40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412"/>
      <w:bookmarkEnd w:id="1413"/>
      <w:bookmarkEnd w:id="1415"/>
    </w:p>
    <w:p>
      <w:pPr>
        <w:widowControl w:val="0"/>
        <w:jc w:val="center"/>
        <w:rPr>
          <w:sz w:val="2"/>
          <w:szCs w:val="2"/>
        </w:rPr>
      </w:pPr>
      <w:r>
        <w:drawing>
          <wp:inline>
            <wp:extent cx="6126480" cy="951230"/>
            <wp:docPr id="853" name="Picutre 853"/>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317"/>
                    <a:stretch/>
                  </pic:blipFill>
                  <pic:spPr>
                    <a:xfrm>
                      <a:ext cx="6126480" cy="951230"/>
                    </a:xfrm>
                    <a:prstGeom prst="rect"/>
                  </pic:spPr>
                </pic:pic>
              </a:graphicData>
            </a:graphic>
          </wp:inline>
        </w:drawing>
      </w:r>
    </w:p>
    <w:p>
      <w:pPr>
        <w:widowControl w:val="0"/>
        <w:spacing w:after="319" w:line="1" w:lineRule="exact"/>
      </w:pPr>
    </w:p>
    <w:p>
      <w:pPr>
        <w:pStyle w:val="Style34"/>
        <w:keepNext/>
        <w:keepLines/>
        <w:widowControl w:val="0"/>
        <w:shd w:val="clear" w:color="auto" w:fill="auto"/>
        <w:bidi w:val="0"/>
        <w:spacing w:before="0" w:after="400" w:line="240" w:lineRule="auto"/>
        <w:ind w:left="0" w:right="0" w:firstLine="14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416"/>
      <w:bookmarkEnd w:id="1417"/>
      <w:bookmarkEnd w:id="141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关联交易定价原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259" w:line="1" w:lineRule="exact"/>
      </w:pPr>
    </w:p>
    <w:p>
      <w:pPr>
        <w:pStyle w:val="Style34"/>
        <w:keepNext/>
        <w:keepLines/>
        <w:widowControl w:val="0"/>
        <w:shd w:val="clear" w:color="auto" w:fill="auto"/>
        <w:bidi w:val="0"/>
        <w:spacing w:before="0" w:after="260" w:line="322" w:lineRule="exact"/>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420"/>
      <w:bookmarkEnd w:id="1421"/>
      <w:bookmarkEnd w:id="1423"/>
    </w:p>
    <w:p>
      <w:pPr>
        <w:pStyle w:val="Style69"/>
        <w:keepNext w:val="0"/>
        <w:keepLines w:val="0"/>
        <w:widowControl w:val="0"/>
        <w:shd w:val="clear" w:color="auto" w:fill="auto"/>
        <w:bidi w:val="0"/>
        <w:spacing w:before="0" w:after="260" w:line="322"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年度关键管理人员报酬为</w:t>
      </w:r>
      <w:r>
        <w:rPr>
          <w:rFonts w:ascii="Times New Roman" w:eastAsia="Times New Roman" w:hAnsi="Times New Roman" w:cs="Times New Roman"/>
          <w:color w:val="000000"/>
          <w:spacing w:val="0"/>
          <w:w w:val="100"/>
          <w:position w:val="0"/>
        </w:rPr>
        <w:t>312.10</w:t>
      </w:r>
      <w:r>
        <w:rPr>
          <w:color w:val="000000"/>
          <w:spacing w:val="0"/>
          <w:w w:val="100"/>
          <w:position w:val="0"/>
        </w:rPr>
        <w:t>万元，上述关键管理人员包含公司董事、监事、总经理、 副总经理、董事会秘书、总工程师、财务负责人。</w:t>
      </w:r>
    </w:p>
    <w:p>
      <w:pPr>
        <w:pStyle w:val="Style34"/>
        <w:keepNext/>
        <w:keepLines/>
        <w:widowControl w:val="0"/>
        <w:shd w:val="clear" w:color="auto" w:fill="auto"/>
        <w:bidi w:val="0"/>
        <w:spacing w:before="0" w:after="400" w:line="322" w:lineRule="exact"/>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6</w:t>
      </w:r>
      <w:bookmarkEnd w:id="1426"/>
      <w:r>
        <w:rPr>
          <w:color w:val="000000"/>
          <w:spacing w:val="0"/>
          <w:w w:val="100"/>
          <w:position w:val="0"/>
        </w:rPr>
        <w:t>、关联方应收应付款项</w:t>
      </w:r>
      <w:bookmarkEnd w:id="1424"/>
      <w:bookmarkEnd w:id="1425"/>
      <w:bookmarkEnd w:id="142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安徽美能储能系统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406,898.00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406,898.00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12,206.94</w:t>
            </w:r>
          </w:p>
        </w:tc>
      </w:tr>
    </w:tbl>
    <w:p>
      <w:pPr>
        <w:widowControl w:val="0"/>
        <w:spacing w:line="1" w:lineRule="exact"/>
      </w:pPr>
      <w:r>
        <w:br w:type="page"/>
      </w:r>
    </w:p>
    <w:tbl>
      <w:tblPr>
        <w:tblOverlap w:val="never"/>
        <w:jc w:val="center"/>
        <w:tblLayout w:type="fixed"/>
      </w:tblPr>
      <w:tblGrid>
        <w:gridCol w:w="2069"/>
        <w:gridCol w:w="1666"/>
        <w:gridCol w:w="1459"/>
        <w:gridCol w:w="1464"/>
        <w:gridCol w:w="1459"/>
        <w:gridCol w:w="1469"/>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上市公司应付关联方款项</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both"/>
      </w:pPr>
      <w:bookmarkStart w:id="1428" w:name="bookmark1428"/>
      <w:bookmarkStart w:id="1429" w:name="bookmark1429"/>
      <w:bookmarkStart w:id="1430" w:name="bookmark1430"/>
      <w:bookmarkStart w:id="1431" w:name="bookmark1431"/>
      <w:r>
        <w:rPr>
          <w:color w:val="000000"/>
          <w:spacing w:val="0"/>
          <w:w w:val="100"/>
          <w:position w:val="0"/>
          <w:sz w:val="24"/>
          <w:szCs w:val="24"/>
        </w:rPr>
        <w:t>九</w:t>
      </w:r>
      <w:bookmarkEnd w:id="1430"/>
      <w:r>
        <w:rPr>
          <w:color w:val="000000"/>
          <w:spacing w:val="0"/>
          <w:w w:val="100"/>
          <w:position w:val="0"/>
          <w:sz w:val="24"/>
          <w:szCs w:val="24"/>
        </w:rPr>
        <w:t>、股份支付</w:t>
      </w:r>
      <w:bookmarkEnd w:id="1428"/>
      <w:bookmarkEnd w:id="1429"/>
      <w:bookmarkEnd w:id="1431"/>
    </w:p>
    <w:p>
      <w:pPr>
        <w:pStyle w:val="Style34"/>
        <w:keepNext/>
        <w:keepLines/>
        <w:widowControl w:val="0"/>
        <w:shd w:val="clear" w:color="auto" w:fill="auto"/>
        <w:bidi w:val="0"/>
        <w:spacing w:before="0" w:after="36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1</w:t>
      </w:r>
      <w:bookmarkEnd w:id="1434"/>
      <w:r>
        <w:rPr>
          <w:color w:val="000000"/>
          <w:spacing w:val="0"/>
          <w:w w:val="100"/>
          <w:position w:val="0"/>
        </w:rPr>
        <w:t>、股份支付总体情况</w:t>
      </w:r>
      <w:bookmarkEnd w:id="1432"/>
      <w:bookmarkEnd w:id="1433"/>
      <w:bookmarkEnd w:id="14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4,979,300.00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14,776,700.00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首次授予股票期权的行权价格</w:t>
            </w:r>
            <w:r>
              <w:rPr>
                <w:rFonts w:ascii="Times New Roman" w:eastAsia="Times New Roman" w:hAnsi="Times New Roman" w:cs="Times New Roman"/>
                <w:color w:val="000000"/>
                <w:spacing w:val="0"/>
                <w:w w:val="100"/>
                <w:position w:val="0"/>
                <w:sz w:val="18"/>
                <w:szCs w:val="18"/>
              </w:rPr>
              <w:t>7.63</w:t>
            </w:r>
            <w:r>
              <w:rPr>
                <w:color w:val="000000"/>
                <w:spacing w:val="0"/>
                <w:w w:val="100"/>
                <w:position w:val="0"/>
              </w:rPr>
              <w:t>元,预留期权行权价格为人民币</w:t>
            </w:r>
            <w:r>
              <w:rPr>
                <w:rFonts w:ascii="Times New Roman" w:eastAsia="Times New Roman" w:hAnsi="Times New Roman" w:cs="Times New Roman"/>
                <w:color w:val="000000"/>
                <w:spacing w:val="0"/>
                <w:w w:val="100"/>
                <w:position w:val="0"/>
                <w:sz w:val="18"/>
                <w:szCs w:val="18"/>
              </w:rPr>
              <w:t xml:space="preserve">9.25 </w:t>
            </w:r>
            <w:r>
              <w:rPr>
                <w:color w:val="000000"/>
                <w:spacing w:val="0"/>
                <w:w w:val="100"/>
                <w:position w:val="0"/>
              </w:rPr>
              <w:t>元，剩余期限</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widowControl w:val="0"/>
        <w:spacing w:after="99" w:line="1" w:lineRule="exact"/>
      </w:pPr>
    </w:p>
    <w:p>
      <w:pPr>
        <w:pStyle w:val="Style69"/>
        <w:keepNext w:val="0"/>
        <w:keepLines w:val="0"/>
        <w:widowControl w:val="0"/>
        <w:shd w:val="clear" w:color="auto" w:fill="auto"/>
        <w:bidi w:val="0"/>
        <w:spacing w:before="0" w:after="360" w:line="314" w:lineRule="exact"/>
        <w:ind w:left="0" w:right="0"/>
        <w:jc w:val="both"/>
      </w:pPr>
      <w:r>
        <w:rPr>
          <w:color w:val="000000"/>
          <w:spacing w:val="0"/>
          <w:w w:val="100"/>
          <w:position w:val="0"/>
        </w:rPr>
        <w:t>首次授予的第一期股票期权已行权</w:t>
      </w:r>
      <w:r>
        <w:rPr>
          <w:rFonts w:ascii="Times New Roman" w:eastAsia="Times New Roman" w:hAnsi="Times New Roman" w:cs="Times New Roman"/>
          <w:color w:val="000000"/>
          <w:spacing w:val="0"/>
          <w:w w:val="100"/>
          <w:position w:val="0"/>
        </w:rPr>
        <w:t>497.93</w:t>
      </w:r>
      <w:r>
        <w:rPr>
          <w:color w:val="000000"/>
          <w:spacing w:val="0"/>
          <w:w w:val="100"/>
          <w:position w:val="0"/>
        </w:rPr>
        <w:t>万份，未行权</w:t>
      </w:r>
      <w:r>
        <w:rPr>
          <w:rFonts w:ascii="Times New Roman" w:eastAsia="Times New Roman" w:hAnsi="Times New Roman" w:cs="Times New Roman"/>
          <w:color w:val="000000"/>
          <w:spacing w:val="0"/>
          <w:w w:val="100"/>
          <w:position w:val="0"/>
        </w:rPr>
        <w:t>521.27</w:t>
      </w:r>
      <w:r>
        <w:rPr>
          <w:color w:val="000000"/>
          <w:spacing w:val="0"/>
          <w:w w:val="100"/>
          <w:position w:val="0"/>
        </w:rPr>
        <w:t xml:space="preserve">万份；首次授予的第二期股票期权为 </w:t>
      </w:r>
      <w:r>
        <w:rPr>
          <w:rFonts w:ascii="Times New Roman" w:eastAsia="Times New Roman" w:hAnsi="Times New Roman" w:cs="Times New Roman"/>
          <w:color w:val="000000"/>
          <w:spacing w:val="0"/>
          <w:w w:val="100"/>
          <w:position w:val="0"/>
        </w:rPr>
        <w:t>764.4</w:t>
      </w:r>
      <w:r>
        <w:rPr>
          <w:rFonts w:ascii="Times New Roman" w:eastAsia="Times New Roman" w:hAnsi="Times New Roman" w:cs="Times New Roman"/>
          <w:color w:val="000000"/>
          <w:spacing w:val="0"/>
          <w:w w:val="100"/>
          <w:position w:val="0"/>
        </w:rPr>
        <w:t>0</w:t>
      </w:r>
      <w:r>
        <w:rPr>
          <w:color w:val="000000"/>
          <w:spacing w:val="0"/>
          <w:w w:val="100"/>
          <w:position w:val="0"/>
        </w:rPr>
        <w:t>万份，预留的第一期股票期权为</w:t>
      </w:r>
      <w:r>
        <w:rPr>
          <w:rFonts w:ascii="Times New Roman" w:eastAsia="Times New Roman" w:hAnsi="Times New Roman" w:cs="Times New Roman"/>
          <w:color w:val="000000"/>
          <w:spacing w:val="0"/>
          <w:w w:val="100"/>
          <w:position w:val="0"/>
        </w:rPr>
        <w:t>100.00</w:t>
      </w:r>
      <w:r>
        <w:rPr>
          <w:color w:val="000000"/>
          <w:spacing w:val="0"/>
          <w:w w:val="100"/>
          <w:position w:val="0"/>
        </w:rPr>
        <w:t>万份；首次授予的第三期及预留的第二期股票期权未能达到 行权条件中的非市场条件，以及员工离职而失效</w:t>
      </w:r>
      <w:r>
        <w:rPr>
          <w:rFonts w:ascii="Times New Roman" w:eastAsia="Times New Roman" w:hAnsi="Times New Roman" w:cs="Times New Roman"/>
          <w:color w:val="000000"/>
          <w:spacing w:val="0"/>
          <w:w w:val="100"/>
          <w:position w:val="0"/>
        </w:rPr>
        <w:t>956.4</w:t>
      </w:r>
      <w:r>
        <w:rPr>
          <w:rFonts w:ascii="Times New Roman" w:eastAsia="Times New Roman" w:hAnsi="Times New Roman" w:cs="Times New Roman"/>
          <w:color w:val="000000"/>
          <w:spacing w:val="0"/>
          <w:w w:val="100"/>
          <w:position w:val="0"/>
        </w:rPr>
        <w:t>0</w:t>
      </w:r>
      <w:r>
        <w:rPr>
          <w:color w:val="000000"/>
          <w:spacing w:val="0"/>
          <w:w w:val="100"/>
          <w:position w:val="0"/>
        </w:rPr>
        <w:t>万份。</w:t>
      </w:r>
    </w:p>
    <w:p>
      <w:pPr>
        <w:pStyle w:val="Style34"/>
        <w:keepNext/>
        <w:keepLines/>
        <w:widowControl w:val="0"/>
        <w:shd w:val="clear" w:color="auto" w:fill="auto"/>
        <w:bidi w:val="0"/>
        <w:spacing w:before="0" w:after="300" w:line="329"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bookmarkEnd w:id="1438"/>
      <w:r>
        <w:rPr>
          <w:color w:val="000000"/>
          <w:spacing w:val="0"/>
          <w:w w:val="100"/>
          <w:position w:val="0"/>
        </w:rPr>
        <w:t>、以权益结算的股份支付情况</w:t>
      </w:r>
      <w:bookmarkEnd w:id="1436"/>
      <w:bookmarkEnd w:id="1437"/>
      <w:bookmarkEnd w:id="14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在等待期内的每个资产负债表日，根据最新取得的可行权人 数变动、行权条件完成情况等信息，修正预计可行权的股票 期权数量。</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首次授予的第三期及预留的第二期股票期权未能达到行权条 件中的非市场条件，以及员工离职。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8,235,600.00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-392,400.00</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4"/>
        <w:keepNext/>
        <w:keepLines/>
        <w:widowControl w:val="0"/>
        <w:shd w:val="clear" w:color="auto" w:fill="auto"/>
        <w:bidi w:val="0"/>
        <w:spacing w:before="0" w:after="36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color w:val="000000"/>
          <w:spacing w:val="0"/>
          <w:w w:val="100"/>
          <w:position w:val="0"/>
        </w:rPr>
        <w:t>、以现金结算的股份支付情况</w:t>
      </w:r>
      <w:bookmarkEnd w:id="1440"/>
      <w:bookmarkEnd w:id="1441"/>
      <w:bookmarkEnd w:id="1443"/>
    </w:p>
    <w:p>
      <w:pPr>
        <w:pStyle w:val="Style29"/>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 元</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以现金结算的股份支付的说明</w:t>
      </w:r>
    </w:p>
    <w:p>
      <w:pPr>
        <w:pStyle w:val="Style69"/>
        <w:keepNext w:val="0"/>
        <w:keepLines w:val="0"/>
        <w:widowControl w:val="0"/>
        <w:shd w:val="clear" w:color="auto" w:fill="auto"/>
        <w:bidi w:val="0"/>
        <w:spacing w:before="0" w:after="380" w:line="240" w:lineRule="auto"/>
        <w:ind w:left="0" w:right="0" w:firstLine="0"/>
        <w:jc w:val="left"/>
      </w:pPr>
      <w:bookmarkStart w:id="1444" w:name="bookmark1444"/>
      <w:r>
        <w:rPr>
          <w:rFonts w:ascii="Times New Roman" w:eastAsia="Times New Roman" w:hAnsi="Times New Roman" w:cs="Times New Roman"/>
          <w:b/>
          <w:bCs/>
          <w:color w:val="000000"/>
          <w:spacing w:val="0"/>
          <w:w w:val="100"/>
          <w:position w:val="0"/>
        </w:rPr>
        <w:t>4</w:t>
      </w:r>
      <w:bookmarkEnd w:id="1444"/>
      <w:r>
        <w:rPr>
          <w:b/>
          <w:bCs/>
          <w:color w:val="000000"/>
          <w:spacing w:val="0"/>
          <w:w w:val="100"/>
          <w:position w:val="0"/>
        </w:rPr>
        <w:t>、以股份支付服务情况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8,235,600.00</w:t>
            </w:r>
          </w:p>
        </w:tc>
      </w:tr>
    </w:tbl>
    <w:p>
      <w:pPr>
        <w:widowControl w:val="0"/>
        <w:spacing w:after="319" w:line="1" w:lineRule="exact"/>
      </w:pPr>
    </w:p>
    <w:p>
      <w:pPr>
        <w:pStyle w:val="Style69"/>
        <w:keepNext w:val="0"/>
        <w:keepLines w:val="0"/>
        <w:widowControl w:val="0"/>
        <w:shd w:val="clear" w:color="auto" w:fill="auto"/>
        <w:bidi w:val="0"/>
        <w:spacing w:before="0" w:after="320" w:line="240" w:lineRule="auto"/>
        <w:ind w:left="0" w:right="0" w:firstLine="0"/>
        <w:jc w:val="left"/>
      </w:pPr>
      <w:bookmarkStart w:id="1445" w:name="bookmark1445"/>
      <w:r>
        <w:rPr>
          <w:rFonts w:ascii="Times New Roman" w:eastAsia="Times New Roman" w:hAnsi="Times New Roman" w:cs="Times New Roman"/>
          <w:b/>
          <w:bCs/>
          <w:color w:val="000000"/>
          <w:spacing w:val="0"/>
          <w:w w:val="100"/>
          <w:position w:val="0"/>
        </w:rPr>
        <w:t>5</w:t>
      </w:r>
      <w:bookmarkEnd w:id="1445"/>
      <w:r>
        <w:rPr>
          <w:b/>
          <w:bCs/>
          <w:color w:val="000000"/>
          <w:spacing w:val="0"/>
          <w:w w:val="100"/>
          <w:position w:val="0"/>
        </w:rPr>
        <w:t>、股份支付的修改、终止情况</w:t>
      </w:r>
    </w:p>
    <w:p>
      <w:pPr>
        <w:pStyle w:val="Style25"/>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r>
        <w:rPr>
          <w:color w:val="000000"/>
          <w:spacing w:val="0"/>
          <w:w w:val="100"/>
          <w:position w:val="0"/>
          <w:sz w:val="24"/>
          <w:szCs w:val="24"/>
        </w:rPr>
        <w:t>十、或有事项</w:t>
      </w:r>
      <w:bookmarkEnd w:id="1446"/>
      <w:bookmarkEnd w:id="1447"/>
      <w:bookmarkEnd w:id="1448"/>
    </w:p>
    <w:p>
      <w:pPr>
        <w:pStyle w:val="Style34"/>
        <w:keepNext/>
        <w:keepLines/>
        <w:widowControl w:val="0"/>
        <w:shd w:val="clear" w:color="auto" w:fill="auto"/>
        <w:bidi w:val="0"/>
        <w:spacing w:before="0" w:after="32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color w:val="000000"/>
          <w:spacing w:val="0"/>
          <w:w w:val="100"/>
          <w:position w:val="0"/>
        </w:rPr>
        <w:t>、未决诉讼或仲裁形成的或有负债及其财务影响</w:t>
      </w:r>
      <w:bookmarkEnd w:id="1449"/>
      <w:bookmarkEnd w:id="1450"/>
      <w:bookmarkEnd w:id="1452"/>
    </w:p>
    <w:tbl>
      <w:tblPr>
        <w:tblOverlap w:val="never"/>
        <w:jc w:val="left"/>
        <w:tblLayout w:type="fixed"/>
      </w:tblPr>
      <w:tblGrid>
        <w:gridCol w:w="1819"/>
        <w:gridCol w:w="1982"/>
        <w:gridCol w:w="1258"/>
        <w:gridCol w:w="1435"/>
        <w:gridCol w:w="850"/>
        <w:gridCol w:w="1190"/>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案由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受理法院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标的额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案件进展情况</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安徽鑫龙电器股份有限公</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安徽祥洋新材料有限公司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合同纠纷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芜湖经济开发区人</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民法院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187.80</w:t>
            </w:r>
            <w:r>
              <w:rPr>
                <w:color w:val="000000"/>
                <w:spacing w:val="0"/>
                <w:w w:val="100"/>
                <w:position w:val="0"/>
                <w:sz w:val="16"/>
                <w:szCs w:val="16"/>
              </w:rPr>
              <w:t>万元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审理中</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安徽鑫龙电器股份有限公</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河北钢铁集团金鼎重工股份</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欠款纠纷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邯郸市中级人民法</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489.04</w:t>
            </w:r>
            <w:r>
              <w:rPr>
                <w:color w:val="000000"/>
                <w:spacing w:val="0"/>
                <w:w w:val="100"/>
                <w:position w:val="0"/>
                <w:sz w:val="16"/>
                <w:szCs w:val="16"/>
              </w:rPr>
              <w:t>万元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审理中</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安徽鑫龙电器股份有限公</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r>
              <w:rPr>
                <w:rFonts w:ascii="Times New Roman" w:eastAsia="Times New Roman" w:hAnsi="Times New Roman" w:cs="Times New Roman"/>
                <w:color w:val="000000"/>
                <w:spacing w:val="0"/>
                <w:w w:val="100"/>
                <w:position w:val="0"/>
                <w:sz w:val="16"/>
                <w:szCs w:val="16"/>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繁昌县好而优购物中心有限</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欠款纠纷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芜湖市中级人民法</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院</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151.08</w:t>
            </w:r>
            <w:r>
              <w:rPr>
                <w:color w:val="000000"/>
                <w:spacing w:val="0"/>
                <w:w w:val="100"/>
                <w:position w:val="0"/>
                <w:sz w:val="16"/>
                <w:szCs w:val="16"/>
              </w:rPr>
              <w:t>万元</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二审审理中</w:t>
            </w:r>
          </w:p>
        </w:tc>
      </w:tr>
    </w:tbl>
    <w:p>
      <w:pPr>
        <w:widowControl w:val="0"/>
        <w:spacing w:after="199" w:line="1" w:lineRule="exact"/>
      </w:pPr>
    </w:p>
    <w:p>
      <w:pPr>
        <w:pStyle w:val="Style69"/>
        <w:keepNext w:val="0"/>
        <w:keepLines w:val="0"/>
        <w:widowControl w:val="0"/>
        <w:shd w:val="clear" w:color="auto" w:fill="auto"/>
        <w:tabs>
          <w:tab w:pos="896" w:val="left"/>
        </w:tabs>
        <w:bidi w:val="0"/>
        <w:spacing w:before="0" w:after="0" w:line="313" w:lineRule="exact"/>
        <w:ind w:left="0" w:right="0" w:firstLine="320"/>
        <w:jc w:val="both"/>
      </w:pPr>
      <w:bookmarkStart w:id="1453" w:name="bookmark1453"/>
      <w:r>
        <w:rPr>
          <w:color w:val="000000"/>
          <w:spacing w:val="0"/>
          <w:w w:val="100"/>
          <w:position w:val="0"/>
        </w:rPr>
        <w:t>（</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w:t>
        <w:tab/>
        <w:t>因安徽祥洋新材料有限公司无故解除定做加工合同而给公司造成损失及拖欠部分货款，本公司向 芜湖经济开发区人民法院提起诉讼，诉讼金额为人民币</w:t>
      </w:r>
      <w:r>
        <w:rPr>
          <w:rFonts w:ascii="Times New Roman" w:eastAsia="Times New Roman" w:hAnsi="Times New Roman" w:cs="Times New Roman"/>
          <w:color w:val="000000"/>
          <w:spacing w:val="0"/>
          <w:w w:val="100"/>
          <w:position w:val="0"/>
        </w:rPr>
        <w:t>187.80</w:t>
      </w:r>
      <w:r>
        <w:rPr>
          <w:color w:val="000000"/>
          <w:spacing w:val="0"/>
          <w:w w:val="100"/>
          <w:position w:val="0"/>
        </w:rPr>
        <w:t>万元，截止本报告日，此案正在审理过程中。</w:t>
      </w:r>
    </w:p>
    <w:p>
      <w:pPr>
        <w:pStyle w:val="Style69"/>
        <w:keepNext w:val="0"/>
        <w:keepLines w:val="0"/>
        <w:widowControl w:val="0"/>
        <w:shd w:val="clear" w:color="auto" w:fill="auto"/>
        <w:tabs>
          <w:tab w:pos="896" w:val="left"/>
        </w:tabs>
        <w:bidi w:val="0"/>
        <w:spacing w:before="0" w:after="0" w:line="313" w:lineRule="exact"/>
        <w:ind w:left="0" w:right="0" w:firstLine="320"/>
        <w:jc w:val="both"/>
      </w:pPr>
      <w:bookmarkStart w:id="1454" w:name="bookmark1454"/>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w:t>
        <w:tab/>
        <w:t>因河北钢铁集团金鼎重工股份有限公司无故拖欠部分货款，本公司向邯郸市中级人民法院提起诉 讼，诉讼金额为人民币</w:t>
      </w:r>
      <w:r>
        <w:rPr>
          <w:rFonts w:ascii="Times New Roman" w:eastAsia="Times New Roman" w:hAnsi="Times New Roman" w:cs="Times New Roman"/>
          <w:color w:val="000000"/>
          <w:spacing w:val="0"/>
          <w:w w:val="100"/>
          <w:position w:val="0"/>
        </w:rPr>
        <w:t>539.04</w:t>
      </w:r>
      <w:r>
        <w:rPr>
          <w:color w:val="000000"/>
          <w:spacing w:val="0"/>
          <w:w w:val="100"/>
          <w:position w:val="0"/>
        </w:rPr>
        <w:t>万元，诉讼期间被告支付欠款</w:t>
      </w:r>
      <w:r>
        <w:rPr>
          <w:rFonts w:ascii="Times New Roman" w:eastAsia="Times New Roman" w:hAnsi="Times New Roman" w:cs="Times New Roman"/>
          <w:color w:val="000000"/>
          <w:spacing w:val="0"/>
          <w:w w:val="100"/>
          <w:position w:val="0"/>
        </w:rPr>
        <w:t>50</w:t>
      </w:r>
      <w:r>
        <w:rPr>
          <w:color w:val="000000"/>
          <w:spacing w:val="0"/>
          <w:w w:val="100"/>
          <w:position w:val="0"/>
        </w:rPr>
        <w:t>万元，余下</w:t>
      </w:r>
      <w:r>
        <w:rPr>
          <w:rFonts w:ascii="Times New Roman" w:eastAsia="Times New Roman" w:hAnsi="Times New Roman" w:cs="Times New Roman"/>
          <w:color w:val="000000"/>
          <w:spacing w:val="0"/>
          <w:w w:val="100"/>
          <w:position w:val="0"/>
        </w:rPr>
        <w:t>489.04</w:t>
      </w:r>
      <w:r>
        <w:rPr>
          <w:color w:val="000000"/>
          <w:spacing w:val="0"/>
          <w:w w:val="100"/>
          <w:position w:val="0"/>
        </w:rPr>
        <w:t>万元仍未支付，截止本报 告日，此案正在审理过程中。</w:t>
      </w:r>
    </w:p>
    <w:p>
      <w:pPr>
        <w:pStyle w:val="Style69"/>
        <w:keepNext w:val="0"/>
        <w:keepLines w:val="0"/>
        <w:widowControl w:val="0"/>
        <w:shd w:val="clear" w:color="auto" w:fill="auto"/>
        <w:tabs>
          <w:tab w:pos="901" w:val="left"/>
        </w:tabs>
        <w:bidi w:val="0"/>
        <w:spacing w:before="0" w:after="320" w:line="313" w:lineRule="exact"/>
        <w:ind w:left="0" w:right="0" w:firstLine="320"/>
        <w:jc w:val="both"/>
      </w:pPr>
      <w:bookmarkStart w:id="1455" w:name="bookmark1455"/>
      <w:r>
        <w:rPr>
          <w:color w:val="000000"/>
          <w:spacing w:val="0"/>
          <w:w w:val="100"/>
          <w:position w:val="0"/>
        </w:rPr>
        <w:t>（</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w:t>
        <w:tab/>
        <w:t>因繁昌县好而优购物中心有限公司无故拖欠部分货款，本公司向繁昌县人民法院提起诉讼，诉讼 金额为人民币</w:t>
      </w:r>
      <w:r>
        <w:rPr>
          <w:rFonts w:ascii="Times New Roman" w:eastAsia="Times New Roman" w:hAnsi="Times New Roman" w:cs="Times New Roman"/>
          <w:color w:val="000000"/>
          <w:spacing w:val="0"/>
          <w:w w:val="100"/>
          <w:position w:val="0"/>
        </w:rPr>
        <w:t>151.08</w:t>
      </w:r>
      <w:r>
        <w:rPr>
          <w:color w:val="000000"/>
          <w:spacing w:val="0"/>
          <w:w w:val="100"/>
          <w:position w:val="0"/>
        </w:rPr>
        <w:t>万元及利息，</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日繁昌县人民法院作出一审判决，支持本公司诉求，被告不 服判决向芜湖市中级人民法院提起上诉，截止本报告日，此案二审正在进行中。</w:t>
      </w:r>
    </w:p>
    <w:p>
      <w:pPr>
        <w:pStyle w:val="Style34"/>
        <w:keepNext/>
        <w:keepLines/>
        <w:widowControl w:val="0"/>
        <w:shd w:val="clear" w:color="auto" w:fill="auto"/>
        <w:bidi w:val="0"/>
        <w:spacing w:before="0" w:after="380" w:line="313" w:lineRule="exact"/>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bookmarkEnd w:id="1458"/>
      <w:r>
        <w:rPr>
          <w:color w:val="000000"/>
          <w:spacing w:val="0"/>
          <w:w w:val="100"/>
          <w:position w:val="0"/>
        </w:rPr>
        <w:t>、为其他单位提供债务担保形成的或有负债及其财务影响</w:t>
      </w:r>
      <w:bookmarkEnd w:id="1456"/>
      <w:bookmarkEnd w:id="1457"/>
      <w:bookmarkEnd w:id="145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其他或有负债及其财务影响</w:t>
      </w:r>
    </w:p>
    <w:p>
      <w:pPr>
        <w:pStyle w:val="Style25"/>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color w:val="000000"/>
          <w:spacing w:val="0"/>
          <w:w w:val="100"/>
          <w:position w:val="0"/>
          <w:sz w:val="24"/>
          <w:szCs w:val="24"/>
        </w:rPr>
        <w:t>十一、资产负债表日后事项</w:t>
      </w:r>
      <w:bookmarkEnd w:id="1460"/>
      <w:bookmarkEnd w:id="1461"/>
      <w:bookmarkEnd w:id="1462"/>
    </w:p>
    <w:p>
      <w:pPr>
        <w:pStyle w:val="Style34"/>
        <w:keepNext/>
        <w:keepLines/>
        <w:widowControl w:val="0"/>
        <w:shd w:val="clear" w:color="auto" w:fill="auto"/>
        <w:bidi w:val="0"/>
        <w:spacing w:before="0" w:after="380" w:line="313" w:lineRule="exact"/>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463"/>
      <w:bookmarkEnd w:id="1464"/>
      <w:bookmarkEnd w:id="1465"/>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、资产负债表日后利润分配情况说明</w:t>
      </w:r>
    </w:p>
    <w:p>
      <w:pPr>
        <w:widowControl w:val="0"/>
        <w:spacing w:after="319" w:line="1" w:lineRule="exact"/>
      </w:pPr>
    </w:p>
    <w:p>
      <w:pPr>
        <w:pStyle w:val="Style69"/>
        <w:keepNext w:val="0"/>
        <w:keepLines w:val="0"/>
        <w:widowControl w:val="0"/>
        <w:shd w:val="clear" w:color="auto" w:fill="auto"/>
        <w:bidi w:val="0"/>
        <w:spacing w:before="0" w:after="320" w:line="240" w:lineRule="auto"/>
        <w:ind w:left="0" w:right="0"/>
        <w:jc w:val="both"/>
        <w:sectPr>
          <w:headerReference w:type="default" r:id="rId319"/>
          <w:footerReference w:type="default" r:id="rId320"/>
          <w:headerReference w:type="even" r:id="rId321"/>
          <w:footerReference w:type="even" r:id="rId322"/>
          <w:headerReference w:type="first" r:id="rId323"/>
          <w:footerReference w:type="first" r:id="rId324"/>
          <w:footnotePr>
            <w:pos w:val="pageBottom"/>
            <w:numFmt w:val="decimal"/>
            <w:numRestart w:val="continuous"/>
          </w:footnotePr>
          <w:pgSz w:w="11900" w:h="16840"/>
          <w:pgMar w:top="994" w:right="1047" w:bottom="1057" w:left="1061" w:header="0" w:footer="3" w:gutter="0"/>
          <w:cols w:space="720"/>
          <w:noEndnote/>
          <w:titlePg/>
          <w:rtlGutter w:val="0"/>
          <w:docGrid w:linePitch="360"/>
        </w:sectPr>
      </w:pPr>
      <w:r>
        <w:rPr>
          <w:color w:val="000000"/>
          <w:spacing w:val="0"/>
          <w:w w:val="100"/>
          <w:position w:val="0"/>
        </w:rPr>
        <w:t>经</w:t>
      </w:r>
      <w:r>
        <w:rPr>
          <w:rFonts w:ascii="Arial Narrow" w:eastAsia="Arial Narrow" w:hAnsi="Arial Narrow" w:cs="Arial Narrow"/>
          <w:color w:val="000000"/>
          <w:spacing w:val="0"/>
          <w:w w:val="100"/>
          <w:position w:val="0"/>
        </w:rPr>
        <w:t>2014</w:t>
      </w:r>
      <w:r>
        <w:rPr>
          <w:color w:val="000000"/>
          <w:spacing w:val="0"/>
          <w:w w:val="100"/>
          <w:position w:val="0"/>
        </w:rPr>
        <w:t>年</w:t>
      </w:r>
      <w:r>
        <w:rPr>
          <w:rFonts w:ascii="Arial Narrow" w:eastAsia="Arial Narrow" w:hAnsi="Arial Narrow" w:cs="Arial Narrow"/>
          <w:color w:val="000000"/>
          <w:spacing w:val="0"/>
          <w:w w:val="100"/>
          <w:position w:val="0"/>
        </w:rPr>
        <w:t>4</w:t>
      </w:r>
      <w:r>
        <w:rPr>
          <w:color w:val="000000"/>
          <w:spacing w:val="0"/>
          <w:w w:val="100"/>
          <w:position w:val="0"/>
        </w:rPr>
        <w:t>月</w:t>
      </w:r>
      <w:r>
        <w:rPr>
          <w:rFonts w:ascii="Arial Narrow" w:eastAsia="Arial Narrow" w:hAnsi="Arial Narrow" w:cs="Arial Narrow"/>
          <w:color w:val="000000"/>
          <w:spacing w:val="0"/>
          <w:w w:val="100"/>
          <w:position w:val="0"/>
        </w:rPr>
        <w:t>9</w:t>
      </w:r>
      <w:r>
        <w:rPr>
          <w:color w:val="000000"/>
          <w:spacing w:val="0"/>
          <w:w w:val="100"/>
          <w:position w:val="0"/>
        </w:rPr>
        <w:t>日第六届董事会第六次会议审议决定，以</w:t>
      </w:r>
      <w:r>
        <w:rPr>
          <w:rFonts w:ascii="Arial Narrow" w:eastAsia="Arial Narrow" w:hAnsi="Arial Narrow" w:cs="Arial Narrow"/>
          <w:color w:val="000000"/>
          <w:spacing w:val="0"/>
          <w:w w:val="100"/>
          <w:position w:val="0"/>
        </w:rPr>
        <w:t>2013</w:t>
      </w:r>
      <w:r>
        <w:rPr>
          <w:color w:val="000000"/>
          <w:spacing w:val="0"/>
          <w:w w:val="100"/>
          <w:position w:val="0"/>
        </w:rPr>
        <w:t>年</w:t>
      </w:r>
      <w:r>
        <w:rPr>
          <w:rFonts w:ascii="Arial Narrow" w:eastAsia="Arial Narrow" w:hAnsi="Arial Narrow" w:cs="Arial Narrow"/>
          <w:color w:val="000000"/>
          <w:spacing w:val="0"/>
          <w:w w:val="100"/>
          <w:position w:val="0"/>
        </w:rPr>
        <w:t>12</w:t>
      </w:r>
      <w:r>
        <w:rPr>
          <w:color w:val="000000"/>
          <w:spacing w:val="0"/>
          <w:w w:val="100"/>
          <w:position w:val="0"/>
        </w:rPr>
        <w:t>月</w:t>
      </w:r>
      <w:r>
        <w:rPr>
          <w:rFonts w:ascii="Arial Narrow" w:eastAsia="Arial Narrow" w:hAnsi="Arial Narrow" w:cs="Arial Narrow"/>
          <w:color w:val="000000"/>
          <w:spacing w:val="0"/>
          <w:w w:val="100"/>
          <w:position w:val="0"/>
        </w:rPr>
        <w:t>31</w:t>
      </w:r>
      <w:r>
        <w:rPr>
          <w:color w:val="000000"/>
          <w:spacing w:val="0"/>
          <w:w w:val="100"/>
          <w:position w:val="0"/>
        </w:rPr>
        <w:t>日总股本</w:t>
      </w:r>
      <w:r>
        <w:rPr>
          <w:rFonts w:ascii="Arial Narrow" w:eastAsia="Arial Narrow" w:hAnsi="Arial Narrow" w:cs="Arial Narrow"/>
          <w:color w:val="000000"/>
          <w:spacing w:val="0"/>
          <w:w w:val="100"/>
          <w:position w:val="0"/>
        </w:rPr>
        <w:t>413,848,300</w:t>
      </w:r>
      <w:r>
        <w:rPr>
          <w:color w:val="000000"/>
          <w:spacing w:val="0"/>
          <w:w w:val="100"/>
          <w:position w:val="0"/>
        </w:rPr>
        <w:t>股为</w:t>
      </w:r>
    </w:p>
    <w:p>
      <w:pPr>
        <w:pStyle w:val="Style6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基数，按每</w:t>
      </w:r>
      <w:r>
        <w:rPr>
          <w:rFonts w:ascii="Arial Narrow" w:eastAsia="Arial Narrow" w:hAnsi="Arial Narrow" w:cs="Arial Narrow"/>
          <w:color w:val="000000"/>
          <w:spacing w:val="0"/>
          <w:w w:val="100"/>
          <w:position w:val="0"/>
        </w:rPr>
        <w:t>10</w:t>
      </w:r>
      <w:r>
        <w:rPr>
          <w:color w:val="000000"/>
          <w:spacing w:val="0"/>
          <w:w w:val="100"/>
          <w:position w:val="0"/>
        </w:rPr>
        <w:t>股派发现金股利人民币</w:t>
      </w:r>
      <w:r>
        <w:rPr>
          <w:rFonts w:ascii="Arial Narrow" w:eastAsia="Arial Narrow" w:hAnsi="Arial Narrow" w:cs="Arial Narrow"/>
          <w:color w:val="000000"/>
          <w:spacing w:val="0"/>
          <w:w w:val="100"/>
          <w:position w:val="0"/>
        </w:rPr>
        <w:t>0.35</w:t>
      </w:r>
      <w:r>
        <w:rPr>
          <w:color w:val="000000"/>
          <w:spacing w:val="0"/>
          <w:w w:val="100"/>
          <w:position w:val="0"/>
        </w:rPr>
        <w:t>元（含税），共计派发现金</w:t>
      </w:r>
      <w:r>
        <w:rPr>
          <w:rFonts w:ascii="Arial Narrow" w:eastAsia="Arial Narrow" w:hAnsi="Arial Narrow" w:cs="Arial Narrow"/>
          <w:color w:val="000000"/>
          <w:spacing w:val="0"/>
          <w:w w:val="100"/>
          <w:position w:val="0"/>
        </w:rPr>
        <w:t>14,484,690.50</w:t>
      </w:r>
      <w:r>
        <w:rPr>
          <w:color w:val="000000"/>
          <w:spacing w:val="0"/>
          <w:w w:val="100"/>
          <w:position w:val="0"/>
        </w:rPr>
        <w:t>元。上述分红决定尚需 经</w:t>
      </w:r>
      <w:r>
        <w:rPr>
          <w:rFonts w:ascii="Arial Narrow" w:eastAsia="Arial Narrow" w:hAnsi="Arial Narrow" w:cs="Arial Narrow"/>
          <w:color w:val="000000"/>
          <w:spacing w:val="0"/>
          <w:w w:val="100"/>
          <w:position w:val="0"/>
        </w:rPr>
        <w:t>2013</w:t>
      </w:r>
      <w:r>
        <w:rPr>
          <w:color w:val="000000"/>
          <w:spacing w:val="0"/>
          <w:w w:val="100"/>
          <w:position w:val="0"/>
        </w:rPr>
        <w:t>年度股东大会批准实施。</w:t>
      </w:r>
    </w:p>
    <w:p>
      <w:pPr>
        <w:pStyle w:val="Style69"/>
        <w:keepNext w:val="0"/>
        <w:keepLines w:val="0"/>
        <w:widowControl w:val="0"/>
        <w:shd w:val="clear" w:color="auto" w:fill="auto"/>
        <w:bidi w:val="0"/>
        <w:spacing w:before="0" w:after="300" w:line="312" w:lineRule="exact"/>
        <w:ind w:left="0" w:right="0" w:firstLine="0"/>
        <w:jc w:val="left"/>
      </w:pPr>
      <w:bookmarkStart w:id="1466" w:name="bookmark1466"/>
      <w:r>
        <w:rPr>
          <w:rFonts w:ascii="Times New Roman" w:eastAsia="Times New Roman" w:hAnsi="Times New Roman" w:cs="Times New Roman"/>
          <w:b/>
          <w:bCs/>
          <w:color w:val="000000"/>
          <w:spacing w:val="0"/>
          <w:w w:val="100"/>
          <w:position w:val="0"/>
        </w:rPr>
        <w:t>3</w:t>
      </w:r>
      <w:bookmarkEnd w:id="1466"/>
      <w:r>
        <w:rPr>
          <w:b/>
          <w:bCs/>
          <w:color w:val="000000"/>
          <w:spacing w:val="0"/>
          <w:w w:val="100"/>
          <w:position w:val="0"/>
        </w:rPr>
        <w:t>、其他资产负债表日后事项说明</w:t>
      </w:r>
    </w:p>
    <w:p>
      <w:pPr>
        <w:pStyle w:val="Style6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截至本财务报告日止，本公司无需要披露的其他日后事项。</w:t>
      </w:r>
    </w:p>
    <w:p>
      <w:pPr>
        <w:pStyle w:val="Style25"/>
        <w:keepNext/>
        <w:keepLines/>
        <w:widowControl w:val="0"/>
        <w:shd w:val="clear" w:color="auto" w:fill="auto"/>
        <w:bidi w:val="0"/>
        <w:spacing w:before="0" w:after="300" w:line="240" w:lineRule="auto"/>
        <w:ind w:left="0" w:right="0" w:firstLine="0"/>
        <w:jc w:val="left"/>
      </w:pPr>
      <w:bookmarkStart w:id="1467" w:name="bookmark1467"/>
      <w:bookmarkStart w:id="1468" w:name="bookmark1468"/>
      <w:bookmarkStart w:id="1469" w:name="bookmark1469"/>
      <w:r>
        <w:rPr>
          <w:color w:val="000000"/>
          <w:spacing w:val="0"/>
          <w:w w:val="100"/>
          <w:position w:val="0"/>
          <w:sz w:val="24"/>
          <w:szCs w:val="24"/>
        </w:rPr>
        <w:t>十二、其他重要事项</w:t>
      </w:r>
      <w:bookmarkEnd w:id="1467"/>
      <w:bookmarkEnd w:id="1468"/>
      <w:bookmarkEnd w:id="1469"/>
    </w:p>
    <w:p>
      <w:pPr>
        <w:pStyle w:val="Style69"/>
        <w:keepNext w:val="0"/>
        <w:keepLines w:val="0"/>
        <w:widowControl w:val="0"/>
        <w:shd w:val="clear" w:color="auto" w:fill="auto"/>
        <w:tabs>
          <w:tab w:pos="368" w:val="left"/>
        </w:tabs>
        <w:bidi w:val="0"/>
        <w:spacing w:before="0" w:after="300" w:line="312" w:lineRule="exact"/>
        <w:ind w:left="0" w:right="0" w:firstLine="0"/>
        <w:jc w:val="left"/>
      </w:pPr>
      <w:bookmarkStart w:id="1470" w:name="bookmark1470"/>
      <w:r>
        <w:rPr>
          <w:rFonts w:ascii="Times New Roman" w:eastAsia="Times New Roman" w:hAnsi="Times New Roman" w:cs="Times New Roman"/>
          <w:b/>
          <w:bCs/>
          <w:color w:val="000000"/>
          <w:spacing w:val="0"/>
          <w:w w:val="100"/>
          <w:position w:val="0"/>
        </w:rPr>
        <w:t>1</w:t>
      </w:r>
      <w:bookmarkEnd w:id="1470"/>
      <w:r>
        <w:rPr>
          <w:b/>
          <w:bCs/>
          <w:color w:val="000000"/>
          <w:spacing w:val="0"/>
          <w:w w:val="100"/>
          <w:position w:val="0"/>
        </w:rPr>
        <w:t>、</w:t>
        <w:tab/>
        <w:t>非货币性资产交换</w:t>
      </w:r>
    </w:p>
    <w:p>
      <w:pPr>
        <w:pStyle w:val="Style69"/>
        <w:keepNext w:val="0"/>
        <w:keepLines w:val="0"/>
        <w:widowControl w:val="0"/>
        <w:shd w:val="clear" w:color="auto" w:fill="auto"/>
        <w:tabs>
          <w:tab w:pos="378" w:val="left"/>
        </w:tabs>
        <w:bidi w:val="0"/>
        <w:spacing w:before="0" w:after="300" w:line="312" w:lineRule="exact"/>
        <w:ind w:left="0" w:right="0" w:firstLine="0"/>
        <w:jc w:val="left"/>
      </w:pPr>
      <w:bookmarkStart w:id="1471" w:name="bookmark1471"/>
      <w:r>
        <w:rPr>
          <w:rFonts w:ascii="Times New Roman" w:eastAsia="Times New Roman" w:hAnsi="Times New Roman" w:cs="Times New Roman"/>
          <w:b/>
          <w:bCs/>
          <w:color w:val="000000"/>
          <w:spacing w:val="0"/>
          <w:w w:val="100"/>
          <w:position w:val="0"/>
        </w:rPr>
        <w:t>2</w:t>
      </w:r>
      <w:bookmarkEnd w:id="1471"/>
      <w:r>
        <w:rPr>
          <w:b/>
          <w:bCs/>
          <w:color w:val="000000"/>
          <w:spacing w:val="0"/>
          <w:w w:val="100"/>
          <w:position w:val="0"/>
        </w:rPr>
        <w:t>、</w:t>
        <w:tab/>
        <w:t>债务重组</w:t>
      </w:r>
    </w:p>
    <w:p>
      <w:pPr>
        <w:pStyle w:val="Style69"/>
        <w:keepNext w:val="0"/>
        <w:keepLines w:val="0"/>
        <w:widowControl w:val="0"/>
        <w:shd w:val="clear" w:color="auto" w:fill="auto"/>
        <w:tabs>
          <w:tab w:pos="378" w:val="left"/>
        </w:tabs>
        <w:bidi w:val="0"/>
        <w:spacing w:before="0" w:after="300" w:line="312" w:lineRule="exact"/>
        <w:ind w:left="0" w:right="0" w:firstLine="0"/>
        <w:jc w:val="left"/>
      </w:pPr>
      <w:bookmarkStart w:id="1472" w:name="bookmark1472"/>
      <w:r>
        <w:rPr>
          <w:rFonts w:ascii="Times New Roman" w:eastAsia="Times New Roman" w:hAnsi="Times New Roman" w:cs="Times New Roman"/>
          <w:b/>
          <w:bCs/>
          <w:color w:val="000000"/>
          <w:spacing w:val="0"/>
          <w:w w:val="100"/>
          <w:position w:val="0"/>
        </w:rPr>
        <w:t>3</w:t>
      </w:r>
      <w:bookmarkEnd w:id="1472"/>
      <w:r>
        <w:rPr>
          <w:b/>
          <w:bCs/>
          <w:color w:val="000000"/>
          <w:spacing w:val="0"/>
          <w:w w:val="100"/>
          <w:position w:val="0"/>
        </w:rPr>
        <w:t>、</w:t>
        <w:tab/>
        <w:t>企业合并</w:t>
      </w:r>
    </w:p>
    <w:p>
      <w:pPr>
        <w:pStyle w:val="Style69"/>
        <w:keepNext w:val="0"/>
        <w:keepLines w:val="0"/>
        <w:widowControl w:val="0"/>
        <w:shd w:val="clear" w:color="auto" w:fill="auto"/>
        <w:tabs>
          <w:tab w:pos="378" w:val="left"/>
        </w:tabs>
        <w:bidi w:val="0"/>
        <w:spacing w:before="0" w:after="300" w:line="312" w:lineRule="exact"/>
        <w:ind w:left="0" w:right="0" w:firstLine="0"/>
        <w:jc w:val="left"/>
      </w:pPr>
      <w:bookmarkStart w:id="1473" w:name="bookmark1473"/>
      <w:r>
        <w:rPr>
          <w:rFonts w:ascii="Times New Roman" w:eastAsia="Times New Roman" w:hAnsi="Times New Roman" w:cs="Times New Roman"/>
          <w:b/>
          <w:bCs/>
          <w:color w:val="000000"/>
          <w:spacing w:val="0"/>
          <w:w w:val="100"/>
          <w:position w:val="0"/>
        </w:rPr>
        <w:t>4</w:t>
      </w:r>
      <w:bookmarkEnd w:id="1473"/>
      <w:r>
        <w:rPr>
          <w:b/>
          <w:bCs/>
          <w:color w:val="000000"/>
          <w:spacing w:val="0"/>
          <w:w w:val="100"/>
          <w:position w:val="0"/>
        </w:rPr>
        <w:t>、</w:t>
        <w:tab/>
        <w:t>租赁</w:t>
      </w:r>
    </w:p>
    <w:p>
      <w:pPr>
        <w:pStyle w:val="Style69"/>
        <w:keepNext w:val="0"/>
        <w:keepLines w:val="0"/>
        <w:widowControl w:val="0"/>
        <w:shd w:val="clear" w:color="auto" w:fill="auto"/>
        <w:tabs>
          <w:tab w:pos="378" w:val="left"/>
        </w:tabs>
        <w:bidi w:val="0"/>
        <w:spacing w:before="0" w:after="300" w:line="312" w:lineRule="exact"/>
        <w:ind w:left="0" w:right="0" w:firstLine="0"/>
        <w:jc w:val="left"/>
      </w:pPr>
      <w:bookmarkStart w:id="1474" w:name="bookmark1474"/>
      <w:r>
        <w:rPr>
          <w:rFonts w:ascii="Times New Roman" w:eastAsia="Times New Roman" w:hAnsi="Times New Roman" w:cs="Times New Roman"/>
          <w:b/>
          <w:bCs/>
          <w:color w:val="000000"/>
          <w:spacing w:val="0"/>
          <w:w w:val="100"/>
          <w:position w:val="0"/>
        </w:rPr>
        <w:t>5</w:t>
      </w:r>
      <w:bookmarkEnd w:id="1474"/>
      <w:r>
        <w:rPr>
          <w:b/>
          <w:bCs/>
          <w:color w:val="000000"/>
          <w:spacing w:val="0"/>
          <w:w w:val="100"/>
          <w:position w:val="0"/>
        </w:rPr>
        <w:t>、</w:t>
        <w:tab/>
        <w:t>期末发行在外的、可转换为股份的金融工具</w:t>
      </w:r>
    </w:p>
    <w:p>
      <w:pPr>
        <w:pStyle w:val="Style69"/>
        <w:keepNext w:val="0"/>
        <w:keepLines w:val="0"/>
        <w:widowControl w:val="0"/>
        <w:shd w:val="clear" w:color="auto" w:fill="auto"/>
        <w:tabs>
          <w:tab w:pos="378" w:val="left"/>
        </w:tabs>
        <w:bidi w:val="0"/>
        <w:spacing w:before="0" w:after="360" w:line="312" w:lineRule="exact"/>
        <w:ind w:left="0" w:right="0" w:firstLine="0"/>
        <w:jc w:val="left"/>
      </w:pPr>
      <w:bookmarkStart w:id="1475" w:name="bookmark1475"/>
      <w:r>
        <w:rPr>
          <w:rFonts w:ascii="Times New Roman" w:eastAsia="Times New Roman" w:hAnsi="Times New Roman" w:cs="Times New Roman"/>
          <w:b/>
          <w:bCs/>
          <w:color w:val="000000"/>
          <w:spacing w:val="0"/>
          <w:w w:val="100"/>
          <w:position w:val="0"/>
        </w:rPr>
        <w:t>6</w:t>
      </w:r>
      <w:bookmarkEnd w:id="1475"/>
      <w:r>
        <w:rPr>
          <w:b/>
          <w:bCs/>
          <w:color w:val="000000"/>
          <w:spacing w:val="0"/>
          <w:w w:val="100"/>
          <w:position w:val="0"/>
        </w:rPr>
        <w:t>、</w:t>
        <w:tab/>
        <w:t>以公允价值计量的资产和负债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99" w:line="1" w:lineRule="exact"/>
      </w:pPr>
    </w:p>
    <w:p>
      <w:pPr>
        <w:pStyle w:val="Style69"/>
        <w:keepNext w:val="0"/>
        <w:keepLines w:val="0"/>
        <w:widowControl w:val="0"/>
        <w:shd w:val="clear" w:color="auto" w:fill="auto"/>
        <w:bidi w:val="0"/>
        <w:spacing w:before="0" w:after="360" w:line="240" w:lineRule="auto"/>
        <w:ind w:left="0" w:right="0" w:firstLine="0"/>
        <w:jc w:val="left"/>
      </w:pPr>
      <w:bookmarkStart w:id="1476" w:name="bookmark1476"/>
      <w:r>
        <w:rPr>
          <w:rFonts w:ascii="Times New Roman" w:eastAsia="Times New Roman" w:hAnsi="Times New Roman" w:cs="Times New Roman"/>
          <w:b/>
          <w:bCs/>
          <w:color w:val="000000"/>
          <w:spacing w:val="0"/>
          <w:w w:val="100"/>
          <w:position w:val="0"/>
        </w:rPr>
        <w:t>7</w:t>
      </w:r>
      <w:bookmarkEnd w:id="1476"/>
      <w:r>
        <w:rPr>
          <w:b/>
          <w:bCs/>
          <w:color w:val="000000"/>
          <w:spacing w:val="0"/>
          <w:w w:val="100"/>
          <w:position w:val="0"/>
        </w:rPr>
        <w:t>、外币金融资产和外币金融负债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919" w:line="1" w:lineRule="exact"/>
      </w:pPr>
    </w:p>
    <w:p>
      <w:pPr>
        <w:widowControl w:val="0"/>
        <w:jc w:val="center"/>
        <w:rPr>
          <w:sz w:val="2"/>
          <w:szCs w:val="2"/>
        </w:rPr>
        <w:sectPr>
          <w:headerReference w:type="default" r:id="rId325"/>
          <w:footerReference w:type="default" r:id="rId326"/>
          <w:headerReference w:type="even" r:id="rId327"/>
          <w:footerReference w:type="even" r:id="rId328"/>
          <w:footnotePr>
            <w:pos w:val="pageBottom"/>
            <w:numFmt w:val="decimal"/>
            <w:numRestart w:val="continuous"/>
          </w:footnotePr>
          <w:pgSz w:w="11900" w:h="16840"/>
          <w:pgMar w:top="1407" w:right="1109" w:bottom="1" w:left="1104" w:header="0" w:footer="3" w:gutter="0"/>
          <w:cols w:space="720"/>
          <w:noEndnote/>
          <w:rtlGutter w:val="0"/>
          <w:docGrid w:linePitch="360"/>
        </w:sectPr>
      </w:pPr>
      <w:r>
        <w:drawing>
          <wp:inline>
            <wp:extent cx="1718945" cy="981710"/>
            <wp:docPr id="881" name="Picutre 881"/>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329"/>
                    <a:stretch/>
                  </pic:blipFill>
                  <pic:spPr>
                    <a:xfrm>
                      <a:ext cx="1718945" cy="981710"/>
                    </a:xfrm>
                    <a:prstGeom prst="rect"/>
                  </pic:spPr>
                </pic:pic>
              </a:graphicData>
            </a:graphic>
          </wp:inline>
        </w:drawing>
      </w:r>
    </w:p>
    <w:p>
      <w:pPr>
        <w:pStyle w:val="Style34"/>
        <w:keepNext/>
        <w:keepLines/>
        <w:widowControl w:val="0"/>
        <w:shd w:val="clear" w:color="auto" w:fill="auto"/>
        <w:tabs>
          <w:tab w:pos="378" w:val="left"/>
        </w:tabs>
        <w:bidi w:val="0"/>
        <w:spacing w:before="0" w:after="3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8</w:t>
      </w:r>
      <w:bookmarkEnd w:id="1479"/>
      <w:r>
        <w:rPr>
          <w:color w:val="000000"/>
          <w:spacing w:val="0"/>
          <w:w w:val="100"/>
          <w:position w:val="0"/>
        </w:rPr>
        <w:t>、</w:t>
        <w:tab/>
        <w:t>年金计划主要内容及重大变化</w:t>
      </w:r>
      <w:bookmarkEnd w:id="1477"/>
      <w:bookmarkEnd w:id="1478"/>
      <w:bookmarkEnd w:id="1480"/>
    </w:p>
    <w:p>
      <w:pPr>
        <w:pStyle w:val="Style34"/>
        <w:keepNext/>
        <w:keepLines/>
        <w:widowControl w:val="0"/>
        <w:shd w:val="clear" w:color="auto" w:fill="auto"/>
        <w:tabs>
          <w:tab w:pos="378" w:val="left"/>
        </w:tabs>
        <w:bidi w:val="0"/>
        <w:spacing w:before="0" w:after="360" w:line="240" w:lineRule="auto"/>
        <w:ind w:left="0" w:right="0" w:firstLine="0"/>
        <w:jc w:val="left"/>
      </w:pPr>
      <w:bookmarkStart w:id="1477" w:name="bookmark1477"/>
      <w:bookmarkStart w:id="1478" w:name="bookmark1478"/>
      <w:bookmarkStart w:id="1481" w:name="bookmark1481"/>
      <w:bookmarkStart w:id="1482" w:name="bookmark1482"/>
      <w:r>
        <w:rPr>
          <w:rFonts w:ascii="Times New Roman" w:eastAsia="Times New Roman" w:hAnsi="Times New Roman" w:cs="Times New Roman"/>
          <w:color w:val="000000"/>
          <w:spacing w:val="0"/>
          <w:w w:val="100"/>
          <w:position w:val="0"/>
        </w:rPr>
        <w:t>9</w:t>
      </w:r>
      <w:bookmarkEnd w:id="1481"/>
      <w:r>
        <w:rPr>
          <w:color w:val="000000"/>
          <w:spacing w:val="0"/>
          <w:w w:val="100"/>
          <w:position w:val="0"/>
        </w:rPr>
        <w:t>、</w:t>
        <w:tab/>
        <w:t>其他</w:t>
      </w:r>
      <w:bookmarkEnd w:id="1477"/>
      <w:bookmarkEnd w:id="1478"/>
      <w:bookmarkEnd w:id="1482"/>
    </w:p>
    <w:p>
      <w:pPr>
        <w:pStyle w:val="Style25"/>
        <w:keepNext/>
        <w:keepLines/>
        <w:widowControl w:val="0"/>
        <w:shd w:val="clear" w:color="auto" w:fill="auto"/>
        <w:bidi w:val="0"/>
        <w:spacing w:before="0" w:after="360" w:line="240" w:lineRule="auto"/>
        <w:ind w:left="0" w:right="0" w:firstLine="0"/>
        <w:jc w:val="left"/>
      </w:pPr>
      <w:bookmarkStart w:id="1483" w:name="bookmark1483"/>
      <w:bookmarkStart w:id="1484" w:name="bookmark1484"/>
      <w:bookmarkStart w:id="1485" w:name="bookmark1485"/>
      <w:r>
        <w:rPr>
          <w:color w:val="000000"/>
          <w:spacing w:val="0"/>
          <w:w w:val="100"/>
          <w:position w:val="0"/>
          <w:sz w:val="24"/>
          <w:szCs w:val="24"/>
        </w:rPr>
        <w:t>十三、母公司财务报表主要项目注释</w:t>
      </w:r>
      <w:bookmarkEnd w:id="1483"/>
      <w:bookmarkEnd w:id="1484"/>
      <w:bookmarkEnd w:id="1485"/>
    </w:p>
    <w:p>
      <w:pPr>
        <w:pStyle w:val="Style34"/>
        <w:keepNext/>
        <w:keepLines/>
        <w:widowControl w:val="0"/>
        <w:shd w:val="clear" w:color="auto" w:fill="auto"/>
        <w:bidi w:val="0"/>
        <w:spacing w:before="0" w:after="360" w:line="240" w:lineRule="auto"/>
        <w:ind w:left="0" w:right="0" w:firstLine="0"/>
        <w:jc w:val="left"/>
      </w:pPr>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86"/>
      <w:bookmarkEnd w:id="1487"/>
      <w:bookmarkEnd w:id="1488"/>
    </w:p>
    <w:p>
      <w:pPr>
        <w:pStyle w:val="Style34"/>
        <w:keepNext/>
        <w:keepLines/>
        <w:widowControl w:val="0"/>
        <w:shd w:val="clear" w:color="auto" w:fill="auto"/>
        <w:bidi w:val="0"/>
        <w:spacing w:before="0" w:after="360" w:line="240" w:lineRule="auto"/>
        <w:ind w:left="0" w:right="0" w:firstLine="0"/>
        <w:jc w:val="left"/>
      </w:pPr>
      <w:bookmarkStart w:id="1486" w:name="bookmark1486"/>
      <w:bookmarkStart w:id="1487" w:name="bookmark1487"/>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86"/>
      <w:bookmarkEnd w:id="1487"/>
      <w:bookmarkEnd w:id="14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按照账龄组合计提坏账 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716,166,936.95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99.54</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49,948,394.67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645,487,852.10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32,047,042.53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合并范围内关联方的应 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3,294,038.00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719,460,974.95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49,948,394.67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645,929,469.10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32,047,042.53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719,460,974.95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49,948,394.67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645,929,469.10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32,047,042.53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449,911,783.67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13,497,353.51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497,308,820.84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14,919,264.63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205,499,986.56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20,549,998.66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127,800,437.47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12,780,043.75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48,255,136.20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9,651,027.24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19,471,875.84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3,894,375.17</w:t>
            </w:r>
          </w:p>
        </w:tc>
      </w:tr>
    </w:tbl>
    <w:p>
      <w:pPr>
        <w:spacing w:lineRule="exact" w:line="1"/>
        <w:rPr>
          <w:sz w:val="2"/>
          <w:szCs w:val="2"/>
        </w:rPr>
      </w:pPr>
      <w:r>
        <w:br w:type="page"/>
      </w:r>
    </w:p>
    <w:tbl>
      <w:tblPr>
        <w:tblOverlap w:val="never"/>
        <w:jc w:val="center"/>
        <w:tblLayout w:type="fixed"/>
      </w:tblPr>
      <w:tblGrid>
        <w:gridCol w:w="1075"/>
        <w:gridCol w:w="1992"/>
        <w:gridCol w:w="662"/>
        <w:gridCol w:w="1464"/>
        <w:gridCol w:w="2126"/>
        <w:gridCol w:w="662"/>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12,500,030.52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6,250,015.26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906,717.95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453,358.98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716,166,936.95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49,948,394.67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645,487,852.10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32,047,042.53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490"/>
      <w:bookmarkEnd w:id="1491"/>
      <w:bookmarkEnd w:id="14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4"/>
        <w:keepNext/>
        <w:keepLines/>
        <w:widowControl w:val="0"/>
        <w:numPr>
          <w:ilvl w:val="0"/>
          <w:numId w:val="41"/>
        </w:numPr>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本报告期实际核销的应收账款情况</w:t>
      </w:r>
      <w:bookmarkEnd w:id="1493"/>
      <w:bookmarkEnd w:id="1494"/>
      <w:bookmarkEnd w:id="14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numPr>
          <w:ilvl w:val="0"/>
          <w:numId w:val="41"/>
        </w:numPr>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497"/>
      <w:bookmarkEnd w:id="1498"/>
      <w:bookmarkEnd w:id="150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34"/>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金额较大的其他的应收账款的性质或内容</w:t>
      </w:r>
      <w:bookmarkEnd w:id="1501"/>
      <w:bookmarkEnd w:id="1502"/>
      <w:bookmarkEnd w:id="1504"/>
    </w:p>
    <w:p>
      <w:pPr>
        <w:pStyle w:val="Style34"/>
        <w:keepNext/>
        <w:keepLines/>
        <w:widowControl w:val="0"/>
        <w:numPr>
          <w:ilvl w:val="0"/>
          <w:numId w:val="41"/>
        </w:numPr>
        <w:shd w:val="clear" w:color="auto" w:fill="auto"/>
        <w:tabs>
          <w:tab w:pos="493" w:val="left"/>
        </w:tabs>
        <w:bidi w:val="0"/>
        <w:spacing w:before="0" w:after="380" w:line="240" w:lineRule="auto"/>
        <w:ind w:left="0" w:right="0" w:firstLine="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应收账款中金额前五名单位情况</w:t>
      </w:r>
      <w:bookmarkEnd w:id="1501"/>
      <w:bookmarkEnd w:id="1502"/>
      <w:bookmarkEnd w:id="15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合肥淮成电力设备有限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19,663,354.50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365" w:hRule="exact"/>
        </w:trPr>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中国银行股份有限公司 安徽省分行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23,690,712.60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中国铁建电气化局集团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17,674,611.80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10,524,387.80 </w:t>
            </w:r>
            <w:r>
              <w:rPr>
                <w:color w:val="000000"/>
                <w:spacing w:val="0"/>
                <w:w w:val="100"/>
                <w:position w:val="0"/>
              </w:rPr>
              <w:t>元，其余</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中铁电气化局集团有限 公司杭州至长沙铁路客 运专线江西段系统集成 项目部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16,642,599.00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中铁电气化局集团有限 公司杭长客专湖南段系 统集成项目部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14,968,278.00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92,639,555.90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r>
    </w:tbl>
    <w:p>
      <w:pPr>
        <w:widowControl w:val="0"/>
        <w:spacing w:after="319" w:line="1" w:lineRule="exact"/>
      </w:pPr>
    </w:p>
    <w:p>
      <w:pPr>
        <w:pStyle w:val="Style34"/>
        <w:keepNext/>
        <w:keepLines/>
        <w:widowControl w:val="0"/>
        <w:numPr>
          <w:ilvl w:val="0"/>
          <w:numId w:val="41"/>
        </w:numPr>
        <w:shd w:val="clear" w:color="auto" w:fill="auto"/>
        <w:bidi w:val="0"/>
        <w:spacing w:before="0" w:after="380" w:line="240" w:lineRule="auto"/>
        <w:ind w:left="0" w:right="0" w:firstLine="14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应收关联方账款情况</w:t>
      </w:r>
      <w:bookmarkEnd w:id="1507"/>
      <w:bookmarkEnd w:id="1508"/>
      <w:bookmarkEnd w:id="15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安徽佑赛科技有限公司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3,294,038.00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3,294,038.00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bl>
    <w:p>
      <w:pPr>
        <w:widowControl w:val="0"/>
        <w:spacing w:after="319" w:line="1" w:lineRule="exact"/>
      </w:pPr>
    </w:p>
    <w:p>
      <w:pPr>
        <w:pStyle w:val="Style69"/>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不符合终止确认条件的应收账款的转移金额为元。</w:t>
      </w:r>
    </w:p>
    <w:p>
      <w:pPr>
        <w:pStyle w:val="Style34"/>
        <w:keepNext/>
        <w:keepLines/>
        <w:widowControl w:val="0"/>
        <w:numPr>
          <w:ilvl w:val="0"/>
          <w:numId w:val="43"/>
        </w:numPr>
        <w:shd w:val="clear" w:color="auto" w:fill="auto"/>
        <w:bidi w:val="0"/>
        <w:spacing w:before="0" w:after="38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以应收款项为标的资产进行资产证券化的，需简要说明相关交易安排</w:t>
      </w:r>
      <w:bookmarkEnd w:id="1511"/>
      <w:bookmarkEnd w:id="1512"/>
      <w:bookmarkEnd w:id="1514"/>
    </w:p>
    <w:p>
      <w:pPr>
        <w:pStyle w:val="Style34"/>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5" w:name="bookmark1515"/>
      <w:bookmarkStart w:id="1516" w:name="bookmark1516"/>
      <w:r>
        <w:rPr>
          <w:rFonts w:ascii="Times New Roman" w:eastAsia="Times New Roman" w:hAnsi="Times New Roman" w:cs="Times New Roman"/>
          <w:color w:val="000000"/>
          <w:spacing w:val="0"/>
          <w:w w:val="100"/>
          <w:position w:val="0"/>
        </w:rPr>
        <w:t>2</w:t>
      </w:r>
      <w:bookmarkEnd w:id="1515"/>
      <w:r>
        <w:rPr>
          <w:color w:val="000000"/>
          <w:spacing w:val="0"/>
          <w:w w:val="100"/>
          <w:position w:val="0"/>
        </w:rPr>
        <w:t>、其他应收款</w:t>
      </w:r>
      <w:bookmarkEnd w:id="1511"/>
      <w:bookmarkEnd w:id="1512"/>
      <w:bookmarkEnd w:id="1516"/>
    </w:p>
    <w:p>
      <w:pPr>
        <w:pStyle w:val="Style34"/>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11"/>
      <w:bookmarkEnd w:id="1512"/>
      <w:bookmarkEnd w:id="15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按照账龄组合计提坏账准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36,919,731.35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1,765,266.15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35,925,146.58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1,723,573.84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合并范围内关联方的其他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889,403.04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37,809,134.39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1,765,266.15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35,925,146.58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1,723,573.84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37,809,134.39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1,765,266.15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35,925,146.58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1,723,573.84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31,783,537.28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953,506.12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31,943,792.71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958,313.78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3,628,950.33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362,895.04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1,643,684.42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164,368.44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1,015,856.29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203,171.26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1,893,143.70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378,628.74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491,387.45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245,693.73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444,525.75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222,262.88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36,919,731.35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1,765,266.15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35,925,146.58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1,723,573.84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518"/>
      <w:bookmarkEnd w:id="1519"/>
      <w:bookmarkEnd w:id="15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1"/>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r>
        <w:br w:type="page"/>
      </w: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本报告期实际核销的其他应收款情况</w:t>
      </w:r>
      <w:bookmarkEnd w:id="1521"/>
      <w:bookmarkEnd w:id="1522"/>
      <w:bookmarkEnd w:id="152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525"/>
      <w:bookmarkEnd w:id="1526"/>
      <w:bookmarkEnd w:id="1528"/>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34"/>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529" w:name="bookmark1529"/>
      <w:bookmarkStart w:id="1530" w:name="bookmark1530"/>
      <w:bookmarkStart w:id="1531" w:name="bookmark1531"/>
      <w:bookmarkStart w:id="1532" w:name="bookmark1532"/>
      <w:bookmarkEnd w:id="1531"/>
      <w:r>
        <w:rPr>
          <w:color w:val="000000"/>
          <w:spacing w:val="0"/>
          <w:w w:val="100"/>
          <w:position w:val="0"/>
        </w:rPr>
        <w:t>金额较大的其他应收款的性质或内容</w:t>
      </w:r>
      <w:bookmarkEnd w:id="1529"/>
      <w:bookmarkEnd w:id="1530"/>
      <w:bookmarkEnd w:id="1532"/>
    </w:p>
    <w:p>
      <w:pPr>
        <w:pStyle w:val="Style34"/>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529" w:name="bookmark1529"/>
      <w:bookmarkStart w:id="1530" w:name="bookmark1530"/>
      <w:bookmarkStart w:id="1533" w:name="bookmark1533"/>
      <w:bookmarkStart w:id="1534" w:name="bookmark1534"/>
      <w:bookmarkEnd w:id="1533"/>
      <w:r>
        <w:rPr>
          <w:color w:val="000000"/>
          <w:spacing w:val="0"/>
          <w:w w:val="100"/>
          <w:position w:val="0"/>
        </w:rPr>
        <w:t>其他应收款金额前五名单位情况</w:t>
      </w:r>
      <w:bookmarkEnd w:id="1529"/>
      <w:bookmarkEnd w:id="1530"/>
      <w:bookmarkEnd w:id="15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芜湖市鸠江区财政局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2,586,499.00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蚌埠皖投融富投资管理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699,161.10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昆明新投建设项目管理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542,686.58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喻超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公司员工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中铁四局集团房地产开 发有限公司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4,880,146.68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w:t>
            </w:r>
          </w:p>
        </w:tc>
      </w:tr>
    </w:tbl>
    <w:p>
      <w:pPr>
        <w:widowControl w:val="0"/>
        <w:spacing w:after="359" w:line="1" w:lineRule="exact"/>
      </w:pPr>
    </w:p>
    <w:p>
      <w:pPr>
        <w:pStyle w:val="Style34"/>
        <w:keepNext/>
        <w:keepLines/>
        <w:widowControl w:val="0"/>
        <w:numPr>
          <w:ilvl w:val="0"/>
          <w:numId w:val="45"/>
        </w:numPr>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其他应收关联方账款情况</w:t>
      </w:r>
      <w:bookmarkEnd w:id="1535"/>
      <w:bookmarkEnd w:id="1536"/>
      <w:bookmarkEnd w:id="15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安徽鑫龙电力工程安装有限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安徽森源电器有限公司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674,734.68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安徽鑫龙低压电器有限公司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190,683.36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889,403.04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bl>
    <w:p>
      <w:pPr>
        <w:spacing w:lineRule="exact" w:line="1"/>
        <w:rPr>
          <w:sz w:val="2"/>
          <w:szCs w:val="2"/>
        </w:rPr>
      </w:pPr>
      <w:r>
        <w:br w:type="page"/>
      </w:r>
    </w:p>
    <w:p>
      <w:pPr>
        <w:pStyle w:val="Style34"/>
        <w:keepNext/>
        <w:keepLines/>
        <w:widowControl w:val="0"/>
        <w:shd w:val="clear" w:color="auto" w:fill="auto"/>
        <w:bidi w:val="0"/>
        <w:spacing w:before="0" w:after="44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8</w:t>
      </w:r>
      <w:r>
        <w:rPr>
          <w:color w:val="000000"/>
          <w:spacing w:val="0"/>
          <w:w w:val="100"/>
          <w:position w:val="0"/>
        </w:rPr>
        <w:t>)</w:t>
      </w:r>
      <w:bookmarkEnd w:id="1539"/>
      <w:bookmarkEnd w:id="1540"/>
      <w:bookmarkEnd w:id="154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不符合终止确认条件的其他应收款项的转移金额为元。</w:t>
      </w:r>
    </w:p>
    <w:p>
      <w:pPr>
        <w:pStyle w:val="Style34"/>
        <w:keepNext/>
        <w:keepLines/>
        <w:widowControl w:val="0"/>
        <w:numPr>
          <w:ilvl w:val="0"/>
          <w:numId w:val="45"/>
        </w:numPr>
        <w:shd w:val="clear" w:color="auto" w:fill="auto"/>
        <w:tabs>
          <w:tab w:pos="493" w:val="left"/>
        </w:tabs>
        <w:bidi w:val="0"/>
        <w:spacing w:before="0" w:after="36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以其他应收款项为标的资产进行资产证券化的，需简要说明相关交易安排</w:t>
      </w:r>
      <w:bookmarkEnd w:id="1543"/>
      <w:bookmarkEnd w:id="1544"/>
      <w:bookmarkEnd w:id="1546"/>
    </w:p>
    <w:p>
      <w:pPr>
        <w:pStyle w:val="Style34"/>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color w:val="000000"/>
          <w:spacing w:val="0"/>
          <w:w w:val="100"/>
          <w:position w:val="0"/>
        </w:rPr>
        <w:t>、长期股权投资</w:t>
      </w:r>
      <w:bookmarkEnd w:id="1543"/>
      <w:bookmarkEnd w:id="1544"/>
      <w:bookmarkEnd w:id="15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300" w:right="0" w:hanging="300"/>
              <w:jc w:val="both"/>
            </w:pPr>
            <w:r>
              <w:rPr>
                <w:color w:val="000000"/>
                <w:spacing w:val="0"/>
                <w:w w:val="100"/>
                <w:position w:val="0"/>
              </w:rPr>
              <w:t>被投资单 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1"/>
              <w:keepNext w:val="0"/>
              <w:keepLines w:val="0"/>
              <w:widowControl w:val="0"/>
              <w:shd w:val="clear" w:color="auto" w:fill="auto"/>
              <w:bidi w:val="0"/>
              <w:spacing w:before="0" w:after="0" w:line="36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安徽森源 电器有限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295,678,9</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296,853,3</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296,850,1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 低压电器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50,070,26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50,559,54</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-45,088.1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50,514,45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 自动化有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30,266,86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30,824,68</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-60,214.2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30,764,47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 变压器有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3,066,448</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3,122,173</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3,154,784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 电器元件 销售有限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4,479,262</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4,479,262</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4,479,262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 电力工程 安装有限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29,994,09</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30,164,85</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30,146,42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安徽鑫东 投资管理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安徽佑赛 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23,400,00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17,400,00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芜湖扬子 农村商业 银行股份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芜湖市中 小企业信 用担保有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亳州鑫龙 电气有限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湖北祥华 鑫龙电力 发展股份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696,291.9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696,291.9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529,705,8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475,403,8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56,601,99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532,005,8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4</w:t>
      </w:r>
      <w:bookmarkEnd w:id="1551"/>
      <w:r>
        <w:rPr>
          <w:color w:val="000000"/>
          <w:spacing w:val="0"/>
          <w:w w:val="100"/>
          <w:position w:val="0"/>
        </w:rPr>
        <w:t>、营业收入和营业成本</w:t>
      </w:r>
      <w:bookmarkEnd w:id="1549"/>
      <w:bookmarkEnd w:id="1550"/>
      <w:bookmarkEnd w:id="1552"/>
    </w:p>
    <w:p>
      <w:pPr>
        <w:pStyle w:val="Style34"/>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3" w:name="bookmark1553"/>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549"/>
      <w:bookmarkEnd w:id="1550"/>
      <w:bookmarkEnd w:id="15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858,083,277.20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846,033,293.91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5,569,346.89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4,196,462.63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863,652,624.09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850,229,756.54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613,264,984.96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580,626,511.70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(2</w:t>
      </w:r>
      <w:r>
        <w:rPr>
          <w:color w:val="000000"/>
          <w:spacing w:val="0"/>
          <w:w w:val="100"/>
          <w:position w:val="0"/>
        </w:rPr>
        <w:t>)主营业务(分产品)</w:t>
      </w:r>
      <w:bookmarkEnd w:id="1554"/>
      <w:bookmarkEnd w:id="1555"/>
      <w:bookmarkEnd w:id="15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高、低压成套开关设备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722,478,445.48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533,188,258.96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738,427,144.63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523,110,590.90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65,097,455.14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40,625,381.40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62,470,149.33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30,466,562.26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70,507,376.58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39,304,497.79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45,135,999.95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26,991,037.79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858,083,277.20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613,118,138.15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846,033,293.91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580,568,190.95</w:t>
            </w:r>
          </w:p>
        </w:tc>
      </w:tr>
    </w:tbl>
    <w:p>
      <w:pPr>
        <w:spacing w:lineRule="exact" w:line="1"/>
        <w:rPr>
          <w:sz w:val="2"/>
          <w:szCs w:val="2"/>
        </w:rPr>
      </w:pPr>
      <w:r>
        <w:br w:type="page"/>
      </w:r>
    </w:p>
    <w:p>
      <w:pPr>
        <w:pStyle w:val="Style34"/>
        <w:keepNext/>
        <w:keepLines/>
        <w:widowControl w:val="0"/>
        <w:numPr>
          <w:ilvl w:val="0"/>
          <w:numId w:val="47"/>
        </w:numPr>
        <w:shd w:val="clear" w:color="auto" w:fill="auto"/>
        <w:bidi w:val="0"/>
        <w:spacing w:before="0" w:after="36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公司来自前五名客户的营业收入情况</w:t>
      </w:r>
      <w:bookmarkEnd w:id="1557"/>
      <w:bookmarkEnd w:id="1558"/>
      <w:bookmarkEnd w:id="15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合肥淮成电力设备有限公司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31,918,033.33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滨化集团股份有限公司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30,129,025.70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南京禄口国际机场二期工程建设指挥部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27,596,735.82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中国银行股份有限公司安徽省分行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25,310,590.56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东风悦达起亚汽车有限公司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17,065,783.76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132,020,169.17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4"/>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5</w:t>
      </w:r>
      <w:bookmarkEnd w:id="1563"/>
      <w:r>
        <w:rPr>
          <w:color w:val="000000"/>
          <w:spacing w:val="0"/>
          <w:w w:val="100"/>
          <w:position w:val="0"/>
        </w:rPr>
        <w:t>、投资收益</w:t>
      </w:r>
      <w:bookmarkEnd w:id="1561"/>
      <w:bookmarkEnd w:id="1562"/>
      <w:bookmarkEnd w:id="1564"/>
    </w:p>
    <w:p>
      <w:pPr>
        <w:pStyle w:val="Style34"/>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5" w:name="bookmark1565"/>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561"/>
      <w:bookmarkEnd w:id="1562"/>
      <w:bookmarkEnd w:id="15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-53,708.07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92,291.93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566"/>
      <w:bookmarkEnd w:id="1567"/>
      <w:bookmarkEnd w:id="15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芜湖扬子农村商业银行股份有限公司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numPr>
          <w:ilvl w:val="0"/>
          <w:numId w:val="49"/>
        </w:numPr>
        <w:shd w:val="clear" w:color="auto" w:fill="auto"/>
        <w:bidi w:val="0"/>
        <w:spacing w:before="0" w:after="36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按权益法核算的长期股权投资收益</w:t>
      </w:r>
      <w:bookmarkEnd w:id="1569"/>
      <w:bookmarkEnd w:id="1570"/>
      <w:bookmarkEnd w:id="15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湖北祥华鑫龙电力发展股份有限公司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r>
        <w:br w:type="page"/>
      </w:r>
    </w:p>
    <w:p>
      <w:pPr>
        <w:pStyle w:val="Style34"/>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color w:val="000000"/>
          <w:spacing w:val="0"/>
          <w:w w:val="100"/>
          <w:position w:val="0"/>
        </w:rPr>
        <w:t>、现金流量表补充资料</w:t>
      </w:r>
      <w:bookmarkEnd w:id="1573"/>
      <w:bookmarkEnd w:id="1574"/>
      <w:bookmarkEnd w:id="15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77,212,669.74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81,114,299.42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17,943,044.45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15,894,425.04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17,734,958.02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16,859,306.39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1,318,930.39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323,507.55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24,355,233.01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37,101,968.83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-5,858,249.17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-2,362,188.93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-87,523,867.54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32,233,488.99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-84,782,736.71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-235,486,528.01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-2,758,203.81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160,730,542.92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-42,446,507.37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106,293,884.41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267,234,502.93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315,484,629.44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315,484,629.44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87,839,397.67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-48,250,126.51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227,645,231.77</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577" w:name="bookmark1577"/>
      <w:bookmarkStart w:id="1578" w:name="bookmark1578"/>
      <w:bookmarkStart w:id="1579" w:name="bookmark1579"/>
      <w:r>
        <w:rPr>
          <w:color w:val="000000"/>
          <w:spacing w:val="0"/>
          <w:w w:val="100"/>
          <w:position w:val="0"/>
          <w:sz w:val="24"/>
          <w:szCs w:val="24"/>
        </w:rPr>
        <w:t>十四、补充资料</w:t>
      </w:r>
      <w:bookmarkEnd w:id="1577"/>
      <w:bookmarkEnd w:id="1578"/>
      <w:bookmarkEnd w:id="1579"/>
    </w:p>
    <w:p>
      <w:pPr>
        <w:pStyle w:val="Style34"/>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80"/>
      <w:bookmarkEnd w:id="1581"/>
      <w:bookmarkEnd w:id="15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46,409,942.78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主要系收到单位创新奖励和产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业技术升级补助款等</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6,984,507.41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62,777.65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39,376,486.66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331"/>
          <w:footerReference w:type="default" r:id="rId332"/>
          <w:headerReference w:type="even" r:id="rId333"/>
          <w:footerReference w:type="even" r:id="rId334"/>
          <w:headerReference w:type="first" r:id="rId335"/>
          <w:footerReference w:type="first" r:id="rId336"/>
          <w:footnotePr>
            <w:pos w:val="pageBottom"/>
            <w:numFmt w:val="decimal"/>
            <w:numRestart w:val="continuous"/>
          </w:footnotePr>
          <w:pgSz w:w="11900" w:h="16840"/>
          <w:pgMar w:top="1441" w:right="1112" w:bottom="1455" w:left="1101" w:header="0" w:footer="3" w:gutter="0"/>
          <w:cols w:space="720"/>
          <w:noEndnote/>
          <w:titlePg/>
          <w:rtlGutter w:val="0"/>
          <w:docGrid w:linePitch="360"/>
        </w:sectPr>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83"/>
      <w:bookmarkEnd w:id="1584"/>
      <w:bookmarkEnd w:id="158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0.1167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3</w:t>
      </w:r>
      <w:bookmarkEnd w:id="1588"/>
      <w:r>
        <w:rPr>
          <w:color w:val="000000"/>
          <w:spacing w:val="0"/>
          <w:w w:val="100"/>
          <w:position w:val="0"/>
        </w:rPr>
        <w:t>、公司主要会计报表项目的异常情况及原因的说明</w:t>
      </w:r>
      <w:bookmarkEnd w:id="1586"/>
      <w:bookmarkEnd w:id="1587"/>
      <w:bookmarkEnd w:id="1589"/>
    </w:p>
    <w:p>
      <w:pPr>
        <w:pStyle w:val="Style34"/>
        <w:keepNext/>
        <w:keepLines/>
        <w:widowControl w:val="0"/>
        <w:shd w:val="clear" w:color="auto" w:fill="auto"/>
        <w:bidi w:val="0"/>
        <w:spacing w:before="0" w:after="0" w:line="240" w:lineRule="auto"/>
        <w:ind w:left="0" w:right="0" w:firstLine="440"/>
        <w:jc w:val="left"/>
      </w:pPr>
      <w:bookmarkStart w:id="1586" w:name="bookmark1586"/>
      <w:bookmarkStart w:id="1587" w:name="bookmark1587"/>
      <w:bookmarkStart w:id="1590" w:name="bookmark1590"/>
      <w:r>
        <w:rPr>
          <w:color w:val="000000"/>
          <w:spacing w:val="0"/>
          <w:w w:val="100"/>
          <w:position w:val="0"/>
        </w:rPr>
        <w:t>金额异常或比较期间变动异常的报表项目</w:t>
      </w:r>
      <w:bookmarkEnd w:id="1586"/>
      <w:bookmarkEnd w:id="1587"/>
      <w:bookmarkEnd w:id="1590"/>
    </w:p>
    <w:tbl>
      <w:tblPr>
        <w:tblOverlap w:val="never"/>
        <w:jc w:val="left"/>
        <w:tblLayout w:type="fixed"/>
      </w:tblPr>
      <w:tblGrid>
        <w:gridCol w:w="1699"/>
        <w:gridCol w:w="1397"/>
        <w:gridCol w:w="1392"/>
        <w:gridCol w:w="706"/>
        <w:gridCol w:w="3197"/>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20"/>
              <w:jc w:val="left"/>
              <w:rPr>
                <w:sz w:val="16"/>
                <w:szCs w:val="16"/>
              </w:rPr>
            </w:pPr>
            <w:r>
              <w:rPr>
                <w:color w:val="000000"/>
                <w:spacing w:val="0"/>
                <w:w w:val="100"/>
                <w:position w:val="0"/>
                <w:sz w:val="16"/>
                <w:szCs w:val="16"/>
              </w:rPr>
              <w:t>报表项目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360"/>
              <w:jc w:val="left"/>
              <w:rPr>
                <w:sz w:val="16"/>
                <w:szCs w:val="16"/>
              </w:rPr>
            </w:pPr>
            <w:r>
              <w:rPr>
                <w:color w:val="000000"/>
                <w:spacing w:val="0"/>
                <w:w w:val="100"/>
                <w:position w:val="0"/>
                <w:sz w:val="16"/>
                <w:szCs w:val="16"/>
              </w:rPr>
              <w:t>期末余额</w:t>
            </w:r>
          </w:p>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（或本期金额）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360"/>
              <w:jc w:val="left"/>
              <w:rPr>
                <w:sz w:val="16"/>
                <w:szCs w:val="16"/>
              </w:rPr>
            </w:pPr>
            <w:r>
              <w:rPr>
                <w:color w:val="000000"/>
                <w:spacing w:val="0"/>
                <w:w w:val="100"/>
                <w:position w:val="0"/>
                <w:sz w:val="16"/>
                <w:szCs w:val="16"/>
              </w:rPr>
              <w:t>期初余额</w:t>
            </w:r>
          </w:p>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（或上期金额）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color w:val="000000"/>
                <w:spacing w:val="0"/>
                <w:w w:val="100"/>
                <w:position w:val="0"/>
                <w:sz w:val="16"/>
                <w:szCs w:val="16"/>
              </w:rPr>
              <w:t>变动比率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变动原因</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83,798,338.95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59,190,578.47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期末回款中票据回款较多所致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22,172,698.53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34,882,189.40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本期预付材料款下降所致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519,424,692.14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421,323,545.31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6"/>
                <w:szCs w:val="16"/>
              </w:rPr>
            </w:pPr>
            <w:r>
              <w:rPr>
                <w:color w:val="000000"/>
                <w:spacing w:val="0"/>
                <w:w w:val="100"/>
                <w:position w:val="0"/>
                <w:sz w:val="16"/>
                <w:szCs w:val="16"/>
              </w:rPr>
              <w:t>未履行完合同增长导致原材料备料、在产品和 产成品相应增长所致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302,584,336.29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234,434,189.87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29.07%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本期部分募投项目完工转入固定资产所致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59,598,987.48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13,522,191.15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加大募投项目建设所致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87,771,838.95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46,084,057.12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本期购入土地使用权所致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递延所得税资产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11,356,224.47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5,276,650.02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本期计提减值准备增加及收到与资产相关的 政府补助较多所致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231,000,000.00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向银行借款增加所致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148,251,284.19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114,858,239.36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29.07%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应付募投项目工程设备款项增加所致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7,182,280.58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4,173,617.07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计提本年绩效工资所致</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16,776,973.18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24,858,374.17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期末应交增值税、所得税减少所致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514,694,436.86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484,880,825.61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本期股权激励对象行权所致</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905,195,459.03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944,045,898.95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6"/>
                <w:szCs w:val="16"/>
              </w:rPr>
              <w:t>宏观环境从紧导致项目工期延长使得收入下 降所致</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534,160,881.94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561,606,212.97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收入下降相应结转的成本也减少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5,007,665.43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8,516,423.23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本期应交纳的增值税减少所致</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销售费用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120,667,818.70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87,075,213.54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6"/>
                <w:szCs w:val="16"/>
              </w:rPr>
            </w:pPr>
            <w:r>
              <w:rPr>
                <w:color w:val="000000"/>
                <w:spacing w:val="0"/>
                <w:w w:val="100"/>
                <w:position w:val="0"/>
                <w:sz w:val="16"/>
                <w:szCs w:val="16"/>
              </w:rPr>
              <w:t>宏观环境从紧收入有所下降，为扩大销售，公 司加大了市场营销力度，同时由于人工成本提 高，使得费用有所增长</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139,959,631.02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113,696,107.73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本期公司提高工资水平且继续加大研发投入 所致</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26,696,095.08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45,075,257.20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本期平均借款比上年下降较多所致</w:t>
            </w:r>
          </w:p>
        </w:tc>
      </w:tr>
    </w:tbl>
    <w:p>
      <w:pPr>
        <w:sectPr>
          <w:headerReference w:type="default" r:id="rId337"/>
          <w:footerReference w:type="default" r:id="rId338"/>
          <w:headerReference w:type="even" r:id="rId339"/>
          <w:footerReference w:type="even" r:id="rId340"/>
          <w:footnotePr>
            <w:pos w:val="pageBottom"/>
            <w:numFmt w:val="decimal"/>
            <w:numRestart w:val="continuous"/>
          </w:footnotePr>
          <w:pgSz w:w="11900" w:h="16840"/>
          <w:pgMar w:top="1441" w:right="1112" w:bottom="1455" w:left="1101" w:header="0" w:footer="3" w:gutter="0"/>
          <w:cols w:space="720"/>
          <w:noEndnote/>
          <w:rtlGutter w:val="0"/>
          <w:docGrid w:linePitch="360"/>
        </w:sectPr>
      </w:pPr>
    </w:p>
    <w:tbl>
      <w:tblPr>
        <w:tblOverlap w:val="never"/>
        <w:jc w:val="left"/>
        <w:tblLayout w:type="fixed"/>
      </w:tblPr>
      <w:tblGrid>
        <w:gridCol w:w="1699"/>
        <w:gridCol w:w="1397"/>
        <w:gridCol w:w="1392"/>
        <w:gridCol w:w="706"/>
        <w:gridCol w:w="3197"/>
      </w:tblGrid>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46,453,903.88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5,072,966.78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本期收到政府补助增加所致</w:t>
            </w:r>
          </w:p>
        </w:tc>
      </w:tr>
    </w:tbl>
    <w:p>
      <w:pPr>
        <w:widowControl w:val="0"/>
        <w:spacing w:after="1039" w:line="1" w:lineRule="exact"/>
      </w:pPr>
    </w:p>
    <w:p>
      <w:pPr>
        <w:pStyle w:val="Style25"/>
        <w:keepNext/>
        <w:keepLines/>
        <w:widowControl w:val="0"/>
        <w:shd w:val="clear" w:color="auto" w:fill="auto"/>
        <w:bidi w:val="0"/>
        <w:spacing w:before="0" w:after="360" w:line="240" w:lineRule="auto"/>
        <w:ind w:left="0" w:right="0" w:firstLine="0"/>
        <w:jc w:val="left"/>
      </w:pPr>
      <w:bookmarkStart w:id="1591" w:name="bookmark1591"/>
      <w:bookmarkStart w:id="1592" w:name="bookmark1592"/>
      <w:bookmarkStart w:id="1593" w:name="bookmark1593"/>
      <w:r>
        <w:rPr>
          <w:color w:val="000000"/>
          <w:spacing w:val="0"/>
          <w:w w:val="100"/>
          <w:position w:val="0"/>
          <w:sz w:val="24"/>
          <w:szCs w:val="24"/>
        </w:rPr>
        <w:t>十五、财务报表的批准报出</w:t>
      </w:r>
      <w:bookmarkEnd w:id="1591"/>
      <w:bookmarkEnd w:id="1592"/>
      <w:bookmarkEnd w:id="1593"/>
    </w:p>
    <w:p>
      <w:pPr>
        <w:pStyle w:val="Style69"/>
        <w:keepNext w:val="0"/>
        <w:keepLines w:val="0"/>
        <w:widowControl w:val="0"/>
        <w:shd w:val="clear" w:color="auto" w:fill="auto"/>
        <w:bidi w:val="0"/>
        <w:spacing w:before="0" w:after="11540" w:line="240" w:lineRule="auto"/>
        <w:ind w:left="0" w:right="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日批准报出。</w:t>
      </w:r>
    </w:p>
    <w:p>
      <w:pPr>
        <w:widowControl w:val="0"/>
        <w:jc w:val="center"/>
        <w:rPr>
          <w:sz w:val="2"/>
          <w:szCs w:val="2"/>
        </w:rPr>
      </w:pPr>
      <w:r>
        <w:drawing>
          <wp:inline>
            <wp:extent cx="1718945" cy="981710"/>
            <wp:docPr id="917" name="Picutre 917"/>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341"/>
                    <a:stretch/>
                  </pic:blipFill>
                  <pic:spPr>
                    <a:xfrm>
                      <a:ext cx="1718945" cy="981710"/>
                    </a:xfrm>
                    <a:prstGeom prst="rect"/>
                  </pic:spPr>
                </pic:pic>
              </a:graphicData>
            </a:graphic>
          </wp:inline>
        </w:drawing>
      </w:r>
    </w:p>
    <w:p>
      <w:pPr>
        <w:pStyle w:val="Style9"/>
        <w:keepNext/>
        <w:keepLines/>
        <w:widowControl w:val="0"/>
        <w:shd w:val="clear" w:color="auto" w:fill="auto"/>
        <w:bidi w:val="0"/>
        <w:spacing w:before="0" w:after="720" w:line="240" w:lineRule="auto"/>
        <w:ind w:left="0" w:right="0" w:firstLine="0"/>
        <w:jc w:val="center"/>
      </w:pPr>
      <w:bookmarkStart w:id="1594" w:name="bookmark1594"/>
      <w:bookmarkStart w:id="1595" w:name="bookmark1595"/>
      <w:bookmarkStart w:id="1596" w:name="bookmark1596"/>
      <w:r>
        <w:rPr>
          <w:color w:val="000000"/>
          <w:spacing w:val="0"/>
          <w:w w:val="100"/>
          <w:position w:val="0"/>
        </w:rPr>
        <w:t>第十一节备查文件目录</w:t>
      </w:r>
      <w:bookmarkEnd w:id="1594"/>
      <w:bookmarkEnd w:id="1595"/>
      <w:bookmarkEnd w:id="1596"/>
    </w:p>
    <w:p>
      <w:pPr>
        <w:pStyle w:val="Style59"/>
        <w:keepNext w:val="0"/>
        <w:keepLines w:val="0"/>
        <w:widowControl w:val="0"/>
        <w:shd w:val="clear" w:color="auto" w:fill="auto"/>
        <w:bidi w:val="0"/>
        <w:spacing w:before="0" w:after="340" w:line="240" w:lineRule="auto"/>
        <w:ind w:left="0" w:right="0" w:firstLine="0"/>
        <w:jc w:val="left"/>
      </w:pPr>
      <w:bookmarkStart w:id="1597" w:name="bookmark1597"/>
      <w:r>
        <w:rPr>
          <w:color w:val="000000"/>
          <w:spacing w:val="0"/>
          <w:w w:val="100"/>
          <w:position w:val="0"/>
          <w:sz w:val="24"/>
          <w:szCs w:val="24"/>
        </w:rPr>
        <w:t>一</w:t>
      </w:r>
      <w:bookmarkEnd w:id="1597"/>
      <w:r>
        <w:rPr>
          <w:color w:val="000000"/>
          <w:spacing w:val="0"/>
          <w:w w:val="100"/>
          <w:position w:val="0"/>
          <w:sz w:val="24"/>
          <w:szCs w:val="24"/>
        </w:rPr>
        <w:t>、载有公司法定代表人、公司财务负责人及会计机构负责人签名并盖章的会计报表。</w:t>
      </w:r>
    </w:p>
    <w:p>
      <w:pPr>
        <w:pStyle w:val="Style59"/>
        <w:keepNext w:val="0"/>
        <w:keepLines w:val="0"/>
        <w:widowControl w:val="0"/>
        <w:shd w:val="clear" w:color="auto" w:fill="auto"/>
        <w:bidi w:val="0"/>
        <w:spacing w:before="0" w:after="340" w:line="240" w:lineRule="auto"/>
        <w:ind w:left="0" w:right="0" w:firstLine="0"/>
        <w:jc w:val="left"/>
      </w:pPr>
      <w:bookmarkStart w:id="1598" w:name="bookmark1598"/>
      <w:r>
        <w:rPr>
          <w:color w:val="000000"/>
          <w:spacing w:val="0"/>
          <w:w w:val="100"/>
          <w:position w:val="0"/>
          <w:sz w:val="24"/>
          <w:szCs w:val="24"/>
        </w:rPr>
        <w:t>二</w:t>
      </w:r>
      <w:bookmarkEnd w:id="1598"/>
      <w:r>
        <w:rPr>
          <w:color w:val="000000"/>
          <w:spacing w:val="0"/>
          <w:w w:val="100"/>
          <w:position w:val="0"/>
          <w:sz w:val="24"/>
          <w:szCs w:val="24"/>
        </w:rPr>
        <w:t>、载有大华会计师事务所（特殊普通合伙）盖章、注册会计师签名并盖章的审计报告原件。</w:t>
      </w:r>
    </w:p>
    <w:p>
      <w:pPr>
        <w:pStyle w:val="Style59"/>
        <w:keepNext w:val="0"/>
        <w:keepLines w:val="0"/>
        <w:widowControl w:val="0"/>
        <w:shd w:val="clear" w:color="auto" w:fill="auto"/>
        <w:bidi w:val="0"/>
        <w:spacing w:before="0" w:after="340" w:line="240" w:lineRule="auto"/>
        <w:ind w:left="0" w:right="0" w:firstLine="0"/>
        <w:jc w:val="left"/>
      </w:pPr>
      <w:bookmarkStart w:id="1599" w:name="bookmark1599"/>
      <w:r>
        <w:rPr>
          <w:color w:val="000000"/>
          <w:spacing w:val="0"/>
          <w:w w:val="100"/>
          <w:position w:val="0"/>
          <w:sz w:val="24"/>
          <w:szCs w:val="24"/>
        </w:rPr>
        <w:t>三</w:t>
      </w:r>
      <w:bookmarkEnd w:id="1599"/>
      <w:r>
        <w:rPr>
          <w:color w:val="000000"/>
          <w:spacing w:val="0"/>
          <w:w w:val="100"/>
          <w:position w:val="0"/>
          <w:sz w:val="24"/>
          <w:szCs w:val="24"/>
        </w:rPr>
        <w:t>、报告期内在中国证监会指定报纸上公开披露过的所有公司文件的正本及公告的原稿。</w:t>
      </w:r>
    </w:p>
    <w:p>
      <w:pPr>
        <w:pStyle w:val="Style59"/>
        <w:keepNext w:val="0"/>
        <w:keepLines w:val="0"/>
        <w:widowControl w:val="0"/>
        <w:shd w:val="clear" w:color="auto" w:fill="auto"/>
        <w:bidi w:val="0"/>
        <w:spacing w:before="0" w:after="3860" w:line="240" w:lineRule="auto"/>
        <w:ind w:left="0" w:right="0" w:firstLine="0"/>
        <w:jc w:val="left"/>
      </w:pPr>
      <w:bookmarkStart w:id="1600" w:name="bookmark1600"/>
      <w:r>
        <w:rPr>
          <w:color w:val="000000"/>
          <w:spacing w:val="0"/>
          <w:w w:val="100"/>
          <w:position w:val="0"/>
          <w:sz w:val="24"/>
          <w:szCs w:val="24"/>
        </w:rPr>
        <w:t>四</w:t>
      </w:r>
      <w:bookmarkEnd w:id="1600"/>
      <w:r>
        <w:rPr>
          <w:color w:val="000000"/>
          <w:spacing w:val="0"/>
          <w:w w:val="100"/>
          <w:position w:val="0"/>
          <w:sz w:val="24"/>
          <w:szCs w:val="24"/>
        </w:rPr>
        <w:t>、备查文件备置地点：董事会办公室。</w:t>
      </w:r>
    </w:p>
    <w:p>
      <w:pPr>
        <w:pStyle w:val="Style59"/>
        <w:keepNext w:val="0"/>
        <w:keepLines w:val="0"/>
        <w:widowControl w:val="0"/>
        <w:shd w:val="clear" w:color="auto" w:fill="auto"/>
        <w:bidi w:val="0"/>
        <w:spacing w:before="0" w:after="720" w:line="240" w:lineRule="auto"/>
        <w:ind w:left="0" w:right="1720" w:firstLine="0"/>
        <w:jc w:val="right"/>
      </w:pPr>
      <w:r>
        <w:rPr>
          <w:color w:val="000000"/>
          <w:spacing w:val="0"/>
          <w:w w:val="100"/>
          <w:position w:val="0"/>
          <w:sz w:val="24"/>
          <w:szCs w:val="24"/>
        </w:rPr>
        <w:t xml:space="preserve">安徽鑫龙电器股份有限公司 </w:t>
      </w:r>
      <w:r>
        <w:rPr>
          <w:color w:val="000000"/>
          <w:spacing w:val="0"/>
          <w:w w:val="100"/>
          <w:position w:val="0"/>
          <w:sz w:val="24"/>
          <w:szCs w:val="24"/>
        </w:rPr>
        <w:t>董事长：束龙胜</w:t>
      </w:r>
    </w:p>
    <w:p>
      <w:pPr>
        <w:pStyle w:val="Style69"/>
        <w:keepNext w:val="0"/>
        <w:keepLines w:val="0"/>
        <w:widowControl w:val="0"/>
        <w:shd w:val="clear" w:color="auto" w:fill="auto"/>
        <w:bidi w:val="0"/>
        <w:spacing w:before="0" w:after="4440" w:line="240" w:lineRule="auto"/>
        <w:ind w:left="0" w:right="1560" w:firstLine="0"/>
        <w:jc w:val="right"/>
        <w:rPr>
          <w:sz w:val="24"/>
          <w:szCs w:val="24"/>
        </w:rPr>
      </w:pPr>
      <w:r>
        <w:rPr>
          <w:color w:val="000000"/>
          <w:spacing w:val="0"/>
          <w:w w:val="100"/>
          <w:position w:val="0"/>
          <w:sz w:val="22"/>
          <w:szCs w:val="22"/>
        </w:rPr>
        <w:t>2014</w:t>
      </w:r>
      <w:r>
        <w:rPr>
          <w:color w:val="000000"/>
          <w:spacing w:val="0"/>
          <w:w w:val="100"/>
          <w:position w:val="0"/>
          <w:sz w:val="24"/>
          <w:szCs w:val="24"/>
        </w:rPr>
        <w:t>年</w:t>
      </w:r>
      <w:r>
        <w:rPr>
          <w:color w:val="000000"/>
          <w:spacing w:val="0"/>
          <w:w w:val="100"/>
          <w:position w:val="0"/>
          <w:sz w:val="22"/>
          <w:szCs w:val="22"/>
        </w:rPr>
        <w:t>4</w:t>
      </w:r>
      <w:r>
        <w:rPr>
          <w:color w:val="000000"/>
          <w:spacing w:val="0"/>
          <w:w w:val="100"/>
          <w:position w:val="0"/>
          <w:sz w:val="24"/>
          <w:szCs w:val="24"/>
        </w:rPr>
        <w:t>月</w:t>
      </w:r>
      <w:r>
        <w:rPr>
          <w:color w:val="000000"/>
          <w:spacing w:val="0"/>
          <w:w w:val="100"/>
          <w:position w:val="0"/>
          <w:sz w:val="22"/>
          <w:szCs w:val="22"/>
        </w:rPr>
        <w:t>9</w:t>
      </w:r>
      <w:r>
        <w:rPr>
          <w:color w:val="000000"/>
          <w:spacing w:val="0"/>
          <w:w w:val="100"/>
          <w:position w:val="0"/>
          <w:sz w:val="24"/>
          <w:szCs w:val="24"/>
        </w:rPr>
        <w:t>日</w:t>
      </w:r>
    </w:p>
    <w:p>
      <w:pPr>
        <w:widowControl w:val="0"/>
        <w:jc w:val="center"/>
        <w:rPr>
          <w:sz w:val="2"/>
          <w:szCs w:val="2"/>
        </w:rPr>
      </w:pPr>
      <w:r>
        <w:drawing>
          <wp:inline>
            <wp:extent cx="1737360" cy="999490"/>
            <wp:docPr id="918" name="Picutre 918"/>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343"/>
                    <a:stretch/>
                  </pic:blipFill>
                  <pic:spPr>
                    <a:xfrm>
                      <a:ext cx="1737360" cy="999490"/>
                    </a:xfrm>
                    <a:prstGeom prst="rect"/>
                  </pic:spPr>
                </pic:pic>
              </a:graphicData>
            </a:graphic>
          </wp:inline>
        </w:drawing>
      </w:r>
    </w:p>
    <w:sectPr>
      <w:headerReference w:type="default" r:id="rId345"/>
      <w:footerReference w:type="default" r:id="rId346"/>
      <w:headerReference w:type="even" r:id="rId347"/>
      <w:footerReference w:type="even" r:id="rId348"/>
      <w:footnotePr>
        <w:pos w:val="pageBottom"/>
        <w:numFmt w:val="decimal"/>
        <w:numRestart w:val="continuous"/>
      </w:footnotePr>
      <w:pgSz w:w="11900" w:h="16840"/>
      <w:pgMar w:top="1441" w:right="1042" w:bottom="1" w:left="10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6788150</wp:posOffset>
              </wp:positionH>
              <wp:positionV relativeFrom="page">
                <wp:posOffset>10128885</wp:posOffset>
              </wp:positionV>
              <wp:extent cx="33655" cy="82550"/>
              <wp:wrapNone/>
              <wp:docPr id="5" name="Shape 5"/>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5pt;margin-top:797.55000000000007pt;width:2.64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5843270</wp:posOffset>
              </wp:positionH>
              <wp:positionV relativeFrom="page">
                <wp:posOffset>10436860</wp:posOffset>
              </wp:positionV>
              <wp:extent cx="133985" cy="103505"/>
              <wp:wrapNone/>
              <wp:docPr id="7" name="Shape 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3" type="#_x0000_t202" style="position:absolute;margin-left:460.10000000000002pt;margin-top:821.80000000000007pt;width:10.550000000000001pt;height:8.1500000000000004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6756400</wp:posOffset>
              </wp:positionH>
              <wp:positionV relativeFrom="page">
                <wp:posOffset>9979025</wp:posOffset>
              </wp:positionV>
              <wp:extent cx="100330" cy="79375"/>
              <wp:wrapNone/>
              <wp:docPr id="51" name="Shape 5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32.pt;margin-top:785.75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6918325</wp:posOffset>
              </wp:positionH>
              <wp:positionV relativeFrom="page">
                <wp:posOffset>10460990</wp:posOffset>
              </wp:positionV>
              <wp:extent cx="42545" cy="97790"/>
              <wp:wrapNone/>
              <wp:docPr id="53" name="Shape 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79" type="#_x0000_t202" style="position:absolute;margin-left:544.75pt;margin-top:823.70000000000005pt;width:3.3500000000000001pt;height:7.7000000000000002pt;z-index:-1887440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6678930</wp:posOffset>
              </wp:positionH>
              <wp:positionV relativeFrom="page">
                <wp:posOffset>10028555</wp:posOffset>
              </wp:positionV>
              <wp:extent cx="155575" cy="82550"/>
              <wp:wrapNone/>
              <wp:docPr id="646" name="Shape 64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72" type="#_x0000_t202" style="position:absolute;margin-left:525.89999999999998pt;margin-top:789.64999999999998pt;width:12.25pt;height:6.5pt;z-index:-1887435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5843905</wp:posOffset>
              </wp:positionH>
              <wp:positionV relativeFrom="page">
                <wp:posOffset>10513060</wp:posOffset>
              </wp:positionV>
              <wp:extent cx="133985" cy="103505"/>
              <wp:wrapNone/>
              <wp:docPr id="648" name="Shape 64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74" type="#_x0000_t202" style="position:absolute;margin-left:460.15000000000003pt;margin-top:827.80000000000007pt;width:10.550000000000001pt;height:8.1500000000000004pt;z-index:-1887435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6678930</wp:posOffset>
              </wp:positionH>
              <wp:positionV relativeFrom="page">
                <wp:posOffset>10028555</wp:posOffset>
              </wp:positionV>
              <wp:extent cx="155575" cy="82550"/>
              <wp:wrapNone/>
              <wp:docPr id="653" name="Shape 65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79" type="#_x0000_t202" style="position:absolute;margin-left:525.89999999999998pt;margin-top:789.64999999999998pt;width:12.25pt;height:6.5pt;z-index:-1887435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8" behindDoc="1" locked="0" layoutInCell="1" allowOverlap="1">
              <wp:simplePos x="0" y="0"/>
              <wp:positionH relativeFrom="page">
                <wp:posOffset>5843905</wp:posOffset>
              </wp:positionH>
              <wp:positionV relativeFrom="page">
                <wp:posOffset>10513060</wp:posOffset>
              </wp:positionV>
              <wp:extent cx="133985" cy="103505"/>
              <wp:wrapNone/>
              <wp:docPr id="655" name="Shape 65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1" type="#_x0000_t202" style="position:absolute;margin-left:460.15000000000003pt;margin-top:827.80000000000007pt;width:10.550000000000001pt;height:8.1500000000000004pt;z-index:-1887435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6678930</wp:posOffset>
              </wp:positionH>
              <wp:positionV relativeFrom="page">
                <wp:posOffset>10028555</wp:posOffset>
              </wp:positionV>
              <wp:extent cx="155575" cy="82550"/>
              <wp:wrapNone/>
              <wp:docPr id="660" name="Shape 66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86" type="#_x0000_t202" style="position:absolute;margin-left:525.89999999999998pt;margin-top:789.64999999999998pt;width:12.25pt;height:6.5pt;z-index:-1887435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5843905</wp:posOffset>
              </wp:positionH>
              <wp:positionV relativeFrom="page">
                <wp:posOffset>10513060</wp:posOffset>
              </wp:positionV>
              <wp:extent cx="133985" cy="103505"/>
              <wp:wrapNone/>
              <wp:docPr id="662" name="Shape 6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88" type="#_x0000_t202" style="position:absolute;margin-left:460.15000000000003pt;margin-top:827.80000000000007pt;width:10.550000000000001pt;height:8.1500000000000004pt;z-index:-1887435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6678930</wp:posOffset>
              </wp:positionH>
              <wp:positionV relativeFrom="page">
                <wp:posOffset>10028555</wp:posOffset>
              </wp:positionV>
              <wp:extent cx="155575" cy="82550"/>
              <wp:wrapNone/>
              <wp:docPr id="667" name="Shape 66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93" type="#_x0000_t202" style="position:absolute;margin-left:525.89999999999998pt;margin-top:789.64999999999998pt;width:12.25pt;height:6.5pt;z-index:-1887435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5843905</wp:posOffset>
              </wp:positionH>
              <wp:positionV relativeFrom="page">
                <wp:posOffset>10513060</wp:posOffset>
              </wp:positionV>
              <wp:extent cx="133985" cy="103505"/>
              <wp:wrapNone/>
              <wp:docPr id="669" name="Shape 6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5" type="#_x0000_t202" style="position:absolute;margin-left:460.15000000000003pt;margin-top:827.80000000000007pt;width:10.550000000000001pt;height:8.1500000000000004pt;z-index:-1887435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6675120</wp:posOffset>
              </wp:positionH>
              <wp:positionV relativeFrom="page">
                <wp:posOffset>9966960</wp:posOffset>
              </wp:positionV>
              <wp:extent cx="155575" cy="82550"/>
              <wp:wrapNone/>
              <wp:docPr id="674" name="Shape 67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00" type="#_x0000_t202" style="position:absolute;margin-left:525.60000000000002pt;margin-top:784.80000000000007pt;width:12.25pt;height:6.5pt;z-index:-1887435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6" behindDoc="1" locked="0" layoutInCell="1" allowOverlap="1">
              <wp:simplePos x="0" y="0"/>
              <wp:positionH relativeFrom="page">
                <wp:posOffset>6967855</wp:posOffset>
              </wp:positionH>
              <wp:positionV relativeFrom="page">
                <wp:posOffset>10452100</wp:posOffset>
              </wp:positionV>
              <wp:extent cx="45720" cy="97790"/>
              <wp:wrapNone/>
              <wp:docPr id="676" name="Shape 67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2" type="#_x0000_t202" style="position:absolute;margin-left:548.64999999999998pt;margin-top:823.pt;width:3.6000000000000001pt;height:7.7000000000000002pt;z-index:-1887435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6728460</wp:posOffset>
              </wp:positionH>
              <wp:positionV relativeFrom="page">
                <wp:posOffset>9977120</wp:posOffset>
              </wp:positionV>
              <wp:extent cx="97790" cy="79375"/>
              <wp:wrapNone/>
              <wp:docPr id="681" name="Shape 6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07" type="#_x0000_t202" style="position:absolute;margin-left:529.79999999999995pt;margin-top:785.60000000000002pt;width:7.7000000000000002pt;height:6.25pt;z-index:-1887435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6728460</wp:posOffset>
              </wp:positionH>
              <wp:positionV relativeFrom="page">
                <wp:posOffset>9977120</wp:posOffset>
              </wp:positionV>
              <wp:extent cx="97790" cy="79375"/>
              <wp:wrapNone/>
              <wp:docPr id="686" name="Shape 6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12" type="#_x0000_t202" style="position:absolute;margin-left:529.79999999999995pt;margin-top:785.60000000000002pt;width:7.7000000000000002pt;height:6.25pt;z-index:-1887435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6678295</wp:posOffset>
              </wp:positionH>
              <wp:positionV relativeFrom="page">
                <wp:posOffset>9955530</wp:posOffset>
              </wp:positionV>
              <wp:extent cx="155575" cy="79375"/>
              <wp:wrapNone/>
              <wp:docPr id="692" name="Shape 6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18" type="#_x0000_t202" style="position:absolute;margin-left:525.85000000000002pt;margin-top:783.89999999999998pt;width:12.25pt;height:6.25pt;z-index:-1887435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6891655</wp:posOffset>
              </wp:positionH>
              <wp:positionV relativeFrom="page">
                <wp:posOffset>10436860</wp:posOffset>
              </wp:positionV>
              <wp:extent cx="42545" cy="97790"/>
              <wp:wrapNone/>
              <wp:docPr id="694" name="Shape 69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20" type="#_x0000_t202" style="position:absolute;margin-left:542.64999999999998pt;margin-top:821.80000000000007pt;width:3.3500000000000001pt;height:7.7000000000000002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6675120</wp:posOffset>
              </wp:positionH>
              <wp:positionV relativeFrom="page">
                <wp:posOffset>9966960</wp:posOffset>
              </wp:positionV>
              <wp:extent cx="155575" cy="82550"/>
              <wp:wrapNone/>
              <wp:docPr id="703" name="Shape 703"/>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29" type="#_x0000_t202" style="position:absolute;margin-left:525.60000000000002pt;margin-top:784.80000000000007pt;width:12.25pt;height:6.5pt;z-index:-1887435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8" behindDoc="1" locked="0" layoutInCell="1" allowOverlap="1">
              <wp:simplePos x="0" y="0"/>
              <wp:positionH relativeFrom="page">
                <wp:posOffset>6967855</wp:posOffset>
              </wp:positionH>
              <wp:positionV relativeFrom="page">
                <wp:posOffset>10452100</wp:posOffset>
              </wp:positionV>
              <wp:extent cx="45720" cy="97790"/>
              <wp:wrapNone/>
              <wp:docPr id="705" name="Shape 70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1" type="#_x0000_t202" style="position:absolute;margin-left:548.64999999999998pt;margin-top:823.pt;width:3.6000000000000001pt;height:7.7000000000000002pt;z-index:-1887435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6756400</wp:posOffset>
              </wp:positionH>
              <wp:positionV relativeFrom="page">
                <wp:posOffset>9979025</wp:posOffset>
              </wp:positionV>
              <wp:extent cx="100330" cy="79375"/>
              <wp:wrapNone/>
              <wp:docPr id="58" name="Shape 5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32.pt;margin-top:785.75pt;width:7.9000000000000004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6918325</wp:posOffset>
              </wp:positionH>
              <wp:positionV relativeFrom="page">
                <wp:posOffset>10460990</wp:posOffset>
              </wp:positionV>
              <wp:extent cx="42545" cy="97790"/>
              <wp:wrapNone/>
              <wp:docPr id="60" name="Shape 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6" type="#_x0000_t202" style="position:absolute;margin-left:544.75pt;margin-top:823.70000000000005pt;width:3.3500000000000001pt;height:7.7000000000000002pt;z-index:-1887440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6675120</wp:posOffset>
              </wp:positionH>
              <wp:positionV relativeFrom="page">
                <wp:posOffset>9966960</wp:posOffset>
              </wp:positionV>
              <wp:extent cx="155575" cy="82550"/>
              <wp:wrapNone/>
              <wp:docPr id="710" name="Shape 710"/>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36" type="#_x0000_t202" style="position:absolute;margin-left:525.60000000000002pt;margin-top:784.80000000000007pt;width:12.25pt;height:6.5pt;z-index:-1887435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4" behindDoc="1" locked="0" layoutInCell="1" allowOverlap="1">
              <wp:simplePos x="0" y="0"/>
              <wp:positionH relativeFrom="page">
                <wp:posOffset>6967855</wp:posOffset>
              </wp:positionH>
              <wp:positionV relativeFrom="page">
                <wp:posOffset>10452100</wp:posOffset>
              </wp:positionV>
              <wp:extent cx="45720" cy="97790"/>
              <wp:wrapNone/>
              <wp:docPr id="712" name="Shape 7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38" type="#_x0000_t202" style="position:absolute;margin-left:548.64999999999998pt;margin-top:823.pt;width:3.6000000000000001pt;height:7.7000000000000002pt;z-index:-1887435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6678930</wp:posOffset>
              </wp:positionH>
              <wp:positionV relativeFrom="page">
                <wp:posOffset>9955530</wp:posOffset>
              </wp:positionV>
              <wp:extent cx="152400" cy="79375"/>
              <wp:wrapNone/>
              <wp:docPr id="724" name="Shape 72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50" type="#_x0000_t202" style="position:absolute;margin-left:525.89999999999998pt;margin-top:783.89999999999998pt;width:12.pt;height:6.25pt;z-index:-1887435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5840730</wp:posOffset>
              </wp:positionH>
              <wp:positionV relativeFrom="page">
                <wp:posOffset>10436860</wp:posOffset>
              </wp:positionV>
              <wp:extent cx="133985" cy="103505"/>
              <wp:wrapNone/>
              <wp:docPr id="726" name="Shape 72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2" type="#_x0000_t202" style="position:absolute;margin-left:459.90000000000003pt;margin-top:821.80000000000007pt;width:10.550000000000001pt;height:8.1500000000000004pt;z-index:-1887435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6678930</wp:posOffset>
              </wp:positionH>
              <wp:positionV relativeFrom="page">
                <wp:posOffset>9955530</wp:posOffset>
              </wp:positionV>
              <wp:extent cx="152400" cy="79375"/>
              <wp:wrapNone/>
              <wp:docPr id="731" name="Shape 73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57" type="#_x0000_t202" style="position:absolute;margin-left:525.89999999999998pt;margin-top:783.89999999999998pt;width:12.pt;height:6.25pt;z-index:-1887435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5840730</wp:posOffset>
              </wp:positionH>
              <wp:positionV relativeFrom="page">
                <wp:posOffset>10436860</wp:posOffset>
              </wp:positionV>
              <wp:extent cx="133985" cy="103505"/>
              <wp:wrapNone/>
              <wp:docPr id="733" name="Shape 7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9" type="#_x0000_t202" style="position:absolute;margin-left:459.90000000000003pt;margin-top:821.80000000000007pt;width:10.550000000000001pt;height:8.1500000000000004pt;z-index:-1887435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6675120</wp:posOffset>
              </wp:positionH>
              <wp:positionV relativeFrom="page">
                <wp:posOffset>9966960</wp:posOffset>
              </wp:positionV>
              <wp:extent cx="155575" cy="82550"/>
              <wp:wrapNone/>
              <wp:docPr id="738" name="Shape 73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64" type="#_x0000_t202" style="position:absolute;margin-left:525.60000000000002pt;margin-top:784.80000000000007pt;width:12.25pt;height:6.5pt;z-index:-1887435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6967855</wp:posOffset>
              </wp:positionH>
              <wp:positionV relativeFrom="page">
                <wp:posOffset>10452100</wp:posOffset>
              </wp:positionV>
              <wp:extent cx="45720" cy="97790"/>
              <wp:wrapNone/>
              <wp:docPr id="740" name="Shape 74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6" type="#_x0000_t202" style="position:absolute;margin-left:548.64999999999998pt;margin-top:823.pt;width:3.6000000000000001pt;height:7.7000000000000002pt;z-index:-1887435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6675120</wp:posOffset>
              </wp:positionH>
              <wp:positionV relativeFrom="page">
                <wp:posOffset>9966960</wp:posOffset>
              </wp:positionV>
              <wp:extent cx="155575" cy="82550"/>
              <wp:wrapNone/>
              <wp:docPr id="745" name="Shape 745"/>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71" type="#_x0000_t202" style="position:absolute;margin-left:525.60000000000002pt;margin-top:784.80000000000007pt;width:12.25pt;height:6.5pt;z-index:-1887435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6967855</wp:posOffset>
              </wp:positionH>
              <wp:positionV relativeFrom="page">
                <wp:posOffset>10452100</wp:posOffset>
              </wp:positionV>
              <wp:extent cx="45720" cy="97790"/>
              <wp:wrapNone/>
              <wp:docPr id="747" name="Shape 74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73" type="#_x0000_t202" style="position:absolute;margin-left:548.64999999999998pt;margin-top:823.pt;width:3.6000000000000001pt;height:7.7000000000000002pt;z-index:-1887435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6728460</wp:posOffset>
              </wp:positionH>
              <wp:positionV relativeFrom="page">
                <wp:posOffset>9977120</wp:posOffset>
              </wp:positionV>
              <wp:extent cx="97790" cy="79375"/>
              <wp:wrapNone/>
              <wp:docPr id="752" name="Shape 7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78" type="#_x0000_t202" style="position:absolute;margin-left:529.79999999999995pt;margin-top:785.60000000000002pt;width:7.7000000000000002pt;height:6.25pt;z-index:-1887434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6728460</wp:posOffset>
              </wp:positionH>
              <wp:positionV relativeFrom="page">
                <wp:posOffset>9977120</wp:posOffset>
              </wp:positionV>
              <wp:extent cx="97790" cy="79375"/>
              <wp:wrapNone/>
              <wp:docPr id="757" name="Shape 7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83" type="#_x0000_t202" style="position:absolute;margin-left:529.79999999999995pt;margin-top:785.60000000000002pt;width:7.7000000000000002pt;height:6.25pt;z-index:-1887434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6713220</wp:posOffset>
              </wp:positionH>
              <wp:positionV relativeFrom="page">
                <wp:posOffset>9954895</wp:posOffset>
              </wp:positionV>
              <wp:extent cx="216535" cy="597535"/>
              <wp:wrapNone/>
              <wp:docPr id="65" name="Shape 65"/>
              <a:graphic xmlns:a="http://schemas.openxmlformats.org/drawingml/2006/main">
                <a:graphicData uri="http://schemas.microsoft.com/office/word/2010/wordprocessingShape">
                  <wps:wsp>
                    <wps:cNvSpPr txBox="1"/>
                    <wps:spPr>
                      <a:xfrm>
                        <a:ext cx="216535"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091" type="#_x0000_t202" style="position:absolute;margin-left:528.60000000000002pt;margin-top:783.85000000000002pt;width:17.050000000000001pt;height:47.050000000000004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6684645</wp:posOffset>
              </wp:positionH>
              <wp:positionV relativeFrom="page">
                <wp:posOffset>9970135</wp:posOffset>
              </wp:positionV>
              <wp:extent cx="155575" cy="79375"/>
              <wp:wrapNone/>
              <wp:docPr id="766" name="Shape 7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92" type="#_x0000_t202" style="position:absolute;margin-left:526.35000000000002pt;margin-top:785.05000000000007pt;width:12.25pt;height:6.25pt;z-index:-1887434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6898005</wp:posOffset>
              </wp:positionH>
              <wp:positionV relativeFrom="page">
                <wp:posOffset>10452100</wp:posOffset>
              </wp:positionV>
              <wp:extent cx="42545" cy="97790"/>
              <wp:wrapNone/>
              <wp:docPr id="768" name="Shape 76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4" type="#_x0000_t202" style="position:absolute;margin-left:543.14999999999998pt;margin-top:823.pt;width:3.3500000000000001pt;height:7.7000000000000002pt;z-index:-1887434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6673850</wp:posOffset>
              </wp:positionH>
              <wp:positionV relativeFrom="page">
                <wp:posOffset>9972040</wp:posOffset>
              </wp:positionV>
              <wp:extent cx="152400" cy="79375"/>
              <wp:wrapNone/>
              <wp:docPr id="773" name="Shape 77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799" type="#_x0000_t202" style="position:absolute;margin-left:525.5pt;margin-top:785.20000000000005pt;width:12.pt;height:6.25pt;z-index:-1887434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4" behindDoc="1" locked="0" layoutInCell="1" allowOverlap="1">
              <wp:simplePos x="0" y="0"/>
              <wp:positionH relativeFrom="page">
                <wp:posOffset>5838825</wp:posOffset>
              </wp:positionH>
              <wp:positionV relativeFrom="page">
                <wp:posOffset>10453370</wp:posOffset>
              </wp:positionV>
              <wp:extent cx="133985" cy="103505"/>
              <wp:wrapNone/>
              <wp:docPr id="775" name="Shape 77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1" type="#_x0000_t202" style="position:absolute;margin-left:459.75pt;margin-top:823.10000000000002pt;width:10.550000000000001pt;height:8.1500000000000004pt;z-index:-1887434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6673850</wp:posOffset>
              </wp:positionH>
              <wp:positionV relativeFrom="page">
                <wp:posOffset>9972040</wp:posOffset>
              </wp:positionV>
              <wp:extent cx="152400" cy="79375"/>
              <wp:wrapNone/>
              <wp:docPr id="780" name="Shape 78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06" type="#_x0000_t202" style="position:absolute;margin-left:525.5pt;margin-top:785.20000000000005pt;width:12.pt;height:6.25pt;z-index:-1887434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5838825</wp:posOffset>
              </wp:positionH>
              <wp:positionV relativeFrom="page">
                <wp:posOffset>10453370</wp:posOffset>
              </wp:positionV>
              <wp:extent cx="133985" cy="103505"/>
              <wp:wrapNone/>
              <wp:docPr id="782" name="Shape 7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08" type="#_x0000_t202" style="position:absolute;margin-left:459.75pt;margin-top:823.10000000000002pt;width:10.550000000000001pt;height:8.1500000000000004pt;z-index:-1887434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6675120</wp:posOffset>
              </wp:positionH>
              <wp:positionV relativeFrom="page">
                <wp:posOffset>9966960</wp:posOffset>
              </wp:positionV>
              <wp:extent cx="155575" cy="82550"/>
              <wp:wrapNone/>
              <wp:docPr id="787" name="Shape 78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13" type="#_x0000_t202" style="position:absolute;margin-left:525.60000000000002pt;margin-top:784.80000000000007pt;width:12.25pt;height:6.5pt;z-index:-1887434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6" behindDoc="1" locked="0" layoutInCell="1" allowOverlap="1">
              <wp:simplePos x="0" y="0"/>
              <wp:positionH relativeFrom="page">
                <wp:posOffset>6967855</wp:posOffset>
              </wp:positionH>
              <wp:positionV relativeFrom="page">
                <wp:posOffset>10452100</wp:posOffset>
              </wp:positionV>
              <wp:extent cx="45720" cy="97790"/>
              <wp:wrapNone/>
              <wp:docPr id="789" name="Shape 78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5" type="#_x0000_t202" style="position:absolute;margin-left:548.64999999999998pt;margin-top:823.pt;width:3.6000000000000001pt;height:7.7000000000000002pt;z-index:-1887434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6673850</wp:posOffset>
              </wp:positionH>
              <wp:positionV relativeFrom="page">
                <wp:posOffset>9972040</wp:posOffset>
              </wp:positionV>
              <wp:extent cx="152400" cy="79375"/>
              <wp:wrapNone/>
              <wp:docPr id="796" name="Shape 79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22" type="#_x0000_t202" style="position:absolute;margin-left:525.5pt;margin-top:785.20000000000005pt;width:12.pt;height:6.25pt;z-index:-1887434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5838825</wp:posOffset>
              </wp:positionH>
              <wp:positionV relativeFrom="page">
                <wp:posOffset>10453370</wp:posOffset>
              </wp:positionV>
              <wp:extent cx="133985" cy="103505"/>
              <wp:wrapNone/>
              <wp:docPr id="798" name="Shape 7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4" type="#_x0000_t202" style="position:absolute;margin-left:459.75pt;margin-top:823.10000000000002pt;width:10.550000000000001pt;height:8.1500000000000004pt;z-index:-1887434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6673850</wp:posOffset>
              </wp:positionH>
              <wp:positionV relativeFrom="page">
                <wp:posOffset>9972040</wp:posOffset>
              </wp:positionV>
              <wp:extent cx="152400" cy="79375"/>
              <wp:wrapNone/>
              <wp:docPr id="803" name="Shape 80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29" type="#_x0000_t202" style="position:absolute;margin-left:525.5pt;margin-top:785.20000000000005pt;width:12.pt;height:6.25pt;z-index:-1887434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5838825</wp:posOffset>
              </wp:positionH>
              <wp:positionV relativeFrom="page">
                <wp:posOffset>10453370</wp:posOffset>
              </wp:positionV>
              <wp:extent cx="133985" cy="103505"/>
              <wp:wrapNone/>
              <wp:docPr id="805" name="Shape 8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1" type="#_x0000_t202" style="position:absolute;margin-left:459.75pt;margin-top:823.10000000000002pt;width:10.550000000000001pt;height:8.1500000000000004pt;z-index:-1887434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6673850</wp:posOffset>
              </wp:positionH>
              <wp:positionV relativeFrom="page">
                <wp:posOffset>9972040</wp:posOffset>
              </wp:positionV>
              <wp:extent cx="152400" cy="79375"/>
              <wp:wrapNone/>
              <wp:docPr id="813" name="Shape 81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39" type="#_x0000_t202" style="position:absolute;margin-left:525.5pt;margin-top:785.20000000000005pt;width:12.pt;height:6.25pt;z-index:-1887434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6" behindDoc="1" locked="0" layoutInCell="1" allowOverlap="1">
              <wp:simplePos x="0" y="0"/>
              <wp:positionH relativeFrom="page">
                <wp:posOffset>5838825</wp:posOffset>
              </wp:positionH>
              <wp:positionV relativeFrom="page">
                <wp:posOffset>10453370</wp:posOffset>
              </wp:positionV>
              <wp:extent cx="133985" cy="103505"/>
              <wp:wrapNone/>
              <wp:docPr id="815" name="Shape 81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1" type="#_x0000_t202" style="position:absolute;margin-left:459.75pt;margin-top:823.10000000000002pt;width:10.550000000000001pt;height:8.1500000000000004pt;z-index:-1887434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0" behindDoc="1" locked="0" layoutInCell="1" allowOverlap="1">
              <wp:simplePos x="0" y="0"/>
              <wp:positionH relativeFrom="page">
                <wp:posOffset>6673850</wp:posOffset>
              </wp:positionH>
              <wp:positionV relativeFrom="page">
                <wp:posOffset>9972040</wp:posOffset>
              </wp:positionV>
              <wp:extent cx="152400" cy="79375"/>
              <wp:wrapNone/>
              <wp:docPr id="820" name="Shape 8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46" type="#_x0000_t202" style="position:absolute;margin-left:525.5pt;margin-top:785.20000000000005pt;width:12.pt;height:6.25pt;z-index:-1887434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2" behindDoc="1" locked="0" layoutInCell="1" allowOverlap="1">
              <wp:simplePos x="0" y="0"/>
              <wp:positionH relativeFrom="page">
                <wp:posOffset>5838825</wp:posOffset>
              </wp:positionH>
              <wp:positionV relativeFrom="page">
                <wp:posOffset>10453370</wp:posOffset>
              </wp:positionV>
              <wp:extent cx="133985" cy="103505"/>
              <wp:wrapNone/>
              <wp:docPr id="822" name="Shape 8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48" type="#_x0000_t202" style="position:absolute;margin-left:459.75pt;margin-top:823.10000000000002pt;width:10.550000000000001pt;height:8.1500000000000004pt;z-index:-1887434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6682740</wp:posOffset>
              </wp:positionH>
              <wp:positionV relativeFrom="page">
                <wp:posOffset>9970135</wp:posOffset>
              </wp:positionV>
              <wp:extent cx="155575" cy="79375"/>
              <wp:wrapNone/>
              <wp:docPr id="827" name="Shape 8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53" type="#_x0000_t202" style="position:absolute;margin-left:526.20000000000005pt;margin-top:785.05000000000007pt;width:12.25pt;height:6.25pt;z-index:-1887434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8" behindDoc="1" locked="0" layoutInCell="1" allowOverlap="1">
              <wp:simplePos x="0" y="0"/>
              <wp:positionH relativeFrom="page">
                <wp:posOffset>6896100</wp:posOffset>
              </wp:positionH>
              <wp:positionV relativeFrom="page">
                <wp:posOffset>10452100</wp:posOffset>
              </wp:positionV>
              <wp:extent cx="42545" cy="97790"/>
              <wp:wrapNone/>
              <wp:docPr id="829" name="Shape 82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55" type="#_x0000_t202" style="position:absolute;margin-left:543.pt;margin-top:823.pt;width:3.3500000000000001pt;height:7.7000000000000002pt;z-index:-1887434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6713220</wp:posOffset>
              </wp:positionH>
              <wp:positionV relativeFrom="page">
                <wp:posOffset>9954895</wp:posOffset>
              </wp:positionV>
              <wp:extent cx="216535" cy="597535"/>
              <wp:wrapNone/>
              <wp:docPr id="70" name="Shape 70"/>
              <a:graphic xmlns:a="http://schemas.openxmlformats.org/drawingml/2006/main">
                <a:graphicData uri="http://schemas.microsoft.com/office/word/2010/wordprocessingShape">
                  <wps:wsp>
                    <wps:cNvSpPr txBox="1"/>
                    <wps:spPr>
                      <a:xfrm>
                        <a:ext cx="216535" cy="597535"/>
                      </a:xfrm>
                      <a:prstGeom prst="rect"/>
                      <a:noFill/>
                    </wps:spPr>
                    <wps:txbx>
                      <w:txbxContent>
                        <w:p>
                          <w:pPr>
                            <w:widowControl w:val="0"/>
                          </w:pPr>
                        </w:p>
                      </w:txbxContent>
                    </wps:txbx>
                    <wps:bodyPr wrap="none" lIns="0" tIns="0" rIns="0" bIns="0">
                      <a:spAutoFit/>
                    </wps:bodyPr>
                  </wps:wsp>
                </a:graphicData>
              </a:graphic>
            </wp:anchor>
          </w:drawing>
        </mc:Choice>
        <mc:Fallback>
          <w:pict>
            <v:shape id="_x0000_s1096" type="#_x0000_t202" style="position:absolute;margin-left:528.60000000000002pt;margin-top:783.85000000000002pt;width:17.050000000000001pt;height:47.050000000000004pt;z-index:-1887440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6673850</wp:posOffset>
              </wp:positionH>
              <wp:positionV relativeFrom="page">
                <wp:posOffset>9972040</wp:posOffset>
              </wp:positionV>
              <wp:extent cx="152400" cy="79375"/>
              <wp:wrapNone/>
              <wp:docPr id="834" name="Shape 8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60" type="#_x0000_t202" style="position:absolute;margin-left:525.5pt;margin-top:785.20000000000005pt;width:12.pt;height:6.25pt;z-index:-1887434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4" behindDoc="1" locked="0" layoutInCell="1" allowOverlap="1">
              <wp:simplePos x="0" y="0"/>
              <wp:positionH relativeFrom="page">
                <wp:posOffset>5838825</wp:posOffset>
              </wp:positionH>
              <wp:positionV relativeFrom="page">
                <wp:posOffset>10453370</wp:posOffset>
              </wp:positionV>
              <wp:extent cx="133985" cy="103505"/>
              <wp:wrapNone/>
              <wp:docPr id="836" name="Shape 8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2" type="#_x0000_t202" style="position:absolute;margin-left:459.75pt;margin-top:823.10000000000002pt;width:10.550000000000001pt;height:8.1500000000000004pt;z-index:-1887434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6673850</wp:posOffset>
              </wp:positionH>
              <wp:positionV relativeFrom="page">
                <wp:posOffset>9972040</wp:posOffset>
              </wp:positionV>
              <wp:extent cx="152400" cy="79375"/>
              <wp:wrapNone/>
              <wp:docPr id="841" name="Shape 84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67" type="#_x0000_t202" style="position:absolute;margin-left:525.5pt;margin-top:785.20000000000005pt;width:12.pt;height:6.25pt;z-index:-1887434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5838825</wp:posOffset>
              </wp:positionH>
              <wp:positionV relativeFrom="page">
                <wp:posOffset>10453370</wp:posOffset>
              </wp:positionV>
              <wp:extent cx="133985" cy="103505"/>
              <wp:wrapNone/>
              <wp:docPr id="843" name="Shape 8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9" type="#_x0000_t202" style="position:absolute;margin-left:459.75pt;margin-top:823.10000000000002pt;width:10.550000000000001pt;height:8.1500000000000004pt;z-index:-18874342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4" behindDoc="1" locked="0" layoutInCell="1" allowOverlap="1">
              <wp:simplePos x="0" y="0"/>
              <wp:positionH relativeFrom="page">
                <wp:posOffset>6650990</wp:posOffset>
              </wp:positionH>
              <wp:positionV relativeFrom="page">
                <wp:posOffset>9970135</wp:posOffset>
              </wp:positionV>
              <wp:extent cx="152400" cy="79375"/>
              <wp:wrapNone/>
              <wp:docPr id="848" name="Shape 84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74" type="#_x0000_t202" style="position:absolute;margin-left:523.70000000000005pt;margin-top:785.05000000000007pt;width:12.pt;height:6.25pt;z-index:-1887434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6" behindDoc="1" locked="0" layoutInCell="1" allowOverlap="1">
              <wp:simplePos x="0" y="0"/>
              <wp:positionH relativeFrom="page">
                <wp:posOffset>6943725</wp:posOffset>
              </wp:positionH>
              <wp:positionV relativeFrom="page">
                <wp:posOffset>10452100</wp:posOffset>
              </wp:positionV>
              <wp:extent cx="45720" cy="97790"/>
              <wp:wrapNone/>
              <wp:docPr id="850" name="Shape 85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76" type="#_x0000_t202" style="position:absolute;margin-left:546.75pt;margin-top:823.pt;width:3.6000000000000001pt;height:7.7000000000000002pt;z-index:-1887434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0" behindDoc="1" locked="0" layoutInCell="1" allowOverlap="1">
              <wp:simplePos x="0" y="0"/>
              <wp:positionH relativeFrom="page">
                <wp:posOffset>6673850</wp:posOffset>
              </wp:positionH>
              <wp:positionV relativeFrom="page">
                <wp:posOffset>9972040</wp:posOffset>
              </wp:positionV>
              <wp:extent cx="152400" cy="79375"/>
              <wp:wrapNone/>
              <wp:docPr id="857" name="Shape 85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83" type="#_x0000_t202" style="position:absolute;margin-left:525.5pt;margin-top:785.20000000000005pt;width:12.pt;height:6.25pt;z-index:-1887434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2" behindDoc="1" locked="0" layoutInCell="1" allowOverlap="1">
              <wp:simplePos x="0" y="0"/>
              <wp:positionH relativeFrom="page">
                <wp:posOffset>5838825</wp:posOffset>
              </wp:positionH>
              <wp:positionV relativeFrom="page">
                <wp:posOffset>10453370</wp:posOffset>
              </wp:positionV>
              <wp:extent cx="133985" cy="103505"/>
              <wp:wrapNone/>
              <wp:docPr id="859" name="Shape 8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85" type="#_x0000_t202" style="position:absolute;margin-left:459.75pt;margin-top:823.10000000000002pt;width:10.550000000000001pt;height:8.1500000000000004pt;z-index:-1887434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6" behindDoc="1" locked="0" layoutInCell="1" allowOverlap="1">
              <wp:simplePos x="0" y="0"/>
              <wp:positionH relativeFrom="page">
                <wp:posOffset>6673850</wp:posOffset>
              </wp:positionH>
              <wp:positionV relativeFrom="page">
                <wp:posOffset>9972040</wp:posOffset>
              </wp:positionV>
              <wp:extent cx="152400" cy="79375"/>
              <wp:wrapNone/>
              <wp:docPr id="864" name="Shape 86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90" type="#_x0000_t202" style="position:absolute;margin-left:525.5pt;margin-top:785.20000000000005pt;width:12.pt;height:6.25pt;z-index:-1887434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8" behindDoc="1" locked="0" layoutInCell="1" allowOverlap="1">
              <wp:simplePos x="0" y="0"/>
              <wp:positionH relativeFrom="page">
                <wp:posOffset>5838825</wp:posOffset>
              </wp:positionH>
              <wp:positionV relativeFrom="page">
                <wp:posOffset>10453370</wp:posOffset>
              </wp:positionV>
              <wp:extent cx="133985" cy="103505"/>
              <wp:wrapNone/>
              <wp:docPr id="866" name="Shape 8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2" type="#_x0000_t202" style="position:absolute;margin-left:459.75pt;margin-top:823.10000000000002pt;width:10.550000000000001pt;height:8.1500000000000004pt;z-index:-1887434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2" behindDoc="1" locked="0" layoutInCell="1" allowOverlap="1">
              <wp:simplePos x="0" y="0"/>
              <wp:positionH relativeFrom="page">
                <wp:posOffset>6650990</wp:posOffset>
              </wp:positionH>
              <wp:positionV relativeFrom="page">
                <wp:posOffset>9970135</wp:posOffset>
              </wp:positionV>
              <wp:extent cx="152400" cy="79375"/>
              <wp:wrapNone/>
              <wp:docPr id="871" name="Shape 8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897" type="#_x0000_t202" style="position:absolute;margin-left:523.70000000000005pt;margin-top:785.05000000000007pt;width:12.pt;height:6.25pt;z-index:-1887434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54" behindDoc="1" locked="0" layoutInCell="1" allowOverlap="1">
              <wp:simplePos x="0" y="0"/>
              <wp:positionH relativeFrom="page">
                <wp:posOffset>6943725</wp:posOffset>
              </wp:positionH>
              <wp:positionV relativeFrom="page">
                <wp:posOffset>10452100</wp:posOffset>
              </wp:positionV>
              <wp:extent cx="45720" cy="97790"/>
              <wp:wrapNone/>
              <wp:docPr id="873" name="Shape 87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99" type="#_x0000_t202" style="position:absolute;margin-left:546.75pt;margin-top:823.pt;width:3.6000000000000001pt;height:7.7000000000000002pt;z-index:-1887433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6673850</wp:posOffset>
              </wp:positionH>
              <wp:positionV relativeFrom="page">
                <wp:posOffset>9972040</wp:posOffset>
              </wp:positionV>
              <wp:extent cx="152400" cy="79375"/>
              <wp:wrapNone/>
              <wp:docPr id="885" name="Shape 88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911" type="#_x0000_t202" style="position:absolute;margin-left:525.5pt;margin-top:785.20000000000005pt;width:12.pt;height:6.25pt;z-index:-1887433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5838825</wp:posOffset>
              </wp:positionH>
              <wp:positionV relativeFrom="page">
                <wp:posOffset>10453370</wp:posOffset>
              </wp:positionV>
              <wp:extent cx="133985" cy="103505"/>
              <wp:wrapNone/>
              <wp:docPr id="887" name="Shape 8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3" type="#_x0000_t202" style="position:absolute;margin-left:459.75pt;margin-top:823.10000000000002pt;width:10.550000000000001pt;height:8.1500000000000004pt;z-index:-1887433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6673850</wp:posOffset>
              </wp:positionH>
              <wp:positionV relativeFrom="page">
                <wp:posOffset>9972040</wp:posOffset>
              </wp:positionV>
              <wp:extent cx="152400" cy="79375"/>
              <wp:wrapNone/>
              <wp:docPr id="892" name="Shape 89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918" type="#_x0000_t202" style="position:absolute;margin-left:525.5pt;margin-top:785.20000000000005pt;width:12.pt;height:6.25pt;z-index:-1887433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5838825</wp:posOffset>
              </wp:positionH>
              <wp:positionV relativeFrom="page">
                <wp:posOffset>10453370</wp:posOffset>
              </wp:positionV>
              <wp:extent cx="133985" cy="103505"/>
              <wp:wrapNone/>
              <wp:docPr id="894" name="Shape 8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20" type="#_x0000_t202" style="position:absolute;margin-left:459.75pt;margin-top:823.10000000000002pt;width:10.550000000000001pt;height:8.1500000000000004pt;z-index:-1887433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6728460</wp:posOffset>
              </wp:positionH>
              <wp:positionV relativeFrom="page">
                <wp:posOffset>9977120</wp:posOffset>
              </wp:positionV>
              <wp:extent cx="97790" cy="79375"/>
              <wp:wrapNone/>
              <wp:docPr id="75" name="Shape 7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9.79999999999995pt;margin-top:785.60000000000002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4" behindDoc="1" locked="0" layoutInCell="1" allowOverlap="1">
              <wp:simplePos x="0" y="0"/>
              <wp:positionH relativeFrom="page">
                <wp:posOffset>6676390</wp:posOffset>
              </wp:positionH>
              <wp:positionV relativeFrom="page">
                <wp:posOffset>9955530</wp:posOffset>
              </wp:positionV>
              <wp:extent cx="146050" cy="79375"/>
              <wp:wrapNone/>
              <wp:docPr id="899" name="Shape 89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925" type="#_x0000_t202" style="position:absolute;margin-left:525.70000000000005pt;margin-top:783.89999999999998pt;width:11.5pt;height:6.25pt;z-index:-1887433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6" behindDoc="1" locked="0" layoutInCell="1" allowOverlap="1">
              <wp:simplePos x="0" y="0"/>
              <wp:positionH relativeFrom="page">
                <wp:posOffset>6889750</wp:posOffset>
              </wp:positionH>
              <wp:positionV relativeFrom="page">
                <wp:posOffset>10436860</wp:posOffset>
              </wp:positionV>
              <wp:extent cx="42545" cy="97790"/>
              <wp:wrapNone/>
              <wp:docPr id="901" name="Shape 90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27" type="#_x0000_t202" style="position:absolute;margin-left:542.5pt;margin-top:821.80000000000007pt;width:3.3500000000000001pt;height:7.7000000000000002pt;z-index:-1887433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0" behindDoc="1" locked="0" layoutInCell="1" allowOverlap="1">
              <wp:simplePos x="0" y="0"/>
              <wp:positionH relativeFrom="page">
                <wp:posOffset>6703695</wp:posOffset>
              </wp:positionH>
              <wp:positionV relativeFrom="page">
                <wp:posOffset>9955530</wp:posOffset>
              </wp:positionV>
              <wp:extent cx="155575" cy="79375"/>
              <wp:wrapNone/>
              <wp:docPr id="906" name="Shape 90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932" type="#_x0000_t202" style="position:absolute;margin-left:527.85000000000002pt;margin-top:783.89999999999998pt;width:12.25pt;height:6.25pt;z-index:-1887433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2" behindDoc="1" locked="0" layoutInCell="1" allowOverlap="1">
              <wp:simplePos x="0" y="0"/>
              <wp:positionH relativeFrom="page">
                <wp:posOffset>6996430</wp:posOffset>
              </wp:positionH>
              <wp:positionV relativeFrom="page">
                <wp:posOffset>10436860</wp:posOffset>
              </wp:positionV>
              <wp:extent cx="45720" cy="97790"/>
              <wp:wrapNone/>
              <wp:docPr id="908" name="Shape 90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34" type="#_x0000_t202" style="position:absolute;margin-left:550.89999999999998pt;margin-top:821.80000000000007pt;width:3.6000000000000001pt;height:7.7000000000000002pt;z-index:-1887433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6" behindDoc="1" locked="0" layoutInCell="1" allowOverlap="1">
              <wp:simplePos x="0" y="0"/>
              <wp:positionH relativeFrom="page">
                <wp:posOffset>6703695</wp:posOffset>
              </wp:positionH>
              <wp:positionV relativeFrom="page">
                <wp:posOffset>9955530</wp:posOffset>
              </wp:positionV>
              <wp:extent cx="155575" cy="79375"/>
              <wp:wrapNone/>
              <wp:docPr id="913" name="Shape 91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939" type="#_x0000_t202" style="position:absolute;margin-left:527.85000000000002pt;margin-top:783.89999999999998pt;width:12.25pt;height:6.25pt;z-index:-1887433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8" behindDoc="1" locked="0" layoutInCell="1" allowOverlap="1">
              <wp:simplePos x="0" y="0"/>
              <wp:positionH relativeFrom="page">
                <wp:posOffset>6996430</wp:posOffset>
              </wp:positionH>
              <wp:positionV relativeFrom="page">
                <wp:posOffset>10436860</wp:posOffset>
              </wp:positionV>
              <wp:extent cx="45720" cy="97790"/>
              <wp:wrapNone/>
              <wp:docPr id="915" name="Shape 91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1" type="#_x0000_t202" style="position:absolute;margin-left:550.89999999999998pt;margin-top:821.80000000000007pt;width:3.6000000000000001pt;height:7.7000000000000002pt;z-index:-1887433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6748145</wp:posOffset>
              </wp:positionH>
              <wp:positionV relativeFrom="page">
                <wp:posOffset>9962515</wp:posOffset>
              </wp:positionV>
              <wp:extent cx="100330" cy="82550"/>
              <wp:wrapNone/>
              <wp:docPr id="80" name="Shape 8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31.35000000000002pt;margin-top:784.45000000000005pt;width:7.9000000000000004pt;height:6.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5858510</wp:posOffset>
              </wp:positionH>
              <wp:positionV relativeFrom="page">
                <wp:posOffset>10447020</wp:posOffset>
              </wp:positionV>
              <wp:extent cx="133985" cy="103505"/>
              <wp:wrapNone/>
              <wp:docPr id="82" name="Shape 8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08" type="#_x0000_t202" style="position:absolute;margin-left:461.30000000000001pt;margin-top:822.60000000000002pt;width:10.550000000000001pt;height:8.1500000000000004pt;z-index:-1887440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6756400</wp:posOffset>
              </wp:positionH>
              <wp:positionV relativeFrom="page">
                <wp:posOffset>9979025</wp:posOffset>
              </wp:positionV>
              <wp:extent cx="100330" cy="79375"/>
              <wp:wrapNone/>
              <wp:docPr id="90" name="Shape 9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32.pt;margin-top:785.75pt;width:7.9000000000000004pt;height:6.25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6918325</wp:posOffset>
              </wp:positionH>
              <wp:positionV relativeFrom="page">
                <wp:posOffset>10460990</wp:posOffset>
              </wp:positionV>
              <wp:extent cx="42545" cy="97790"/>
              <wp:wrapNone/>
              <wp:docPr id="92" name="Shape 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8" type="#_x0000_t202" style="position:absolute;margin-left:544.75pt;margin-top:823.70000000000005pt;width:3.3500000000000001pt;height:7.7000000000000002pt;z-index:-1887439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6756400</wp:posOffset>
              </wp:positionH>
              <wp:positionV relativeFrom="page">
                <wp:posOffset>9979025</wp:posOffset>
              </wp:positionV>
              <wp:extent cx="100330" cy="79375"/>
              <wp:wrapNone/>
              <wp:docPr id="97" name="Shape 9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23" type="#_x0000_t202" style="position:absolute;margin-left:532.pt;margin-top:785.75pt;width:7.9000000000000004pt;height:6.25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6918325</wp:posOffset>
              </wp:positionH>
              <wp:positionV relativeFrom="page">
                <wp:posOffset>10460990</wp:posOffset>
              </wp:positionV>
              <wp:extent cx="42545" cy="97790"/>
              <wp:wrapNone/>
              <wp:docPr id="99" name="Shape 9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5" type="#_x0000_t202" style="position:absolute;margin-left:544.75pt;margin-top:823.70000000000005pt;width:3.3500000000000001pt;height:7.7000000000000002pt;z-index:-1887439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6748145</wp:posOffset>
              </wp:positionH>
              <wp:positionV relativeFrom="page">
                <wp:posOffset>9962515</wp:posOffset>
              </wp:positionV>
              <wp:extent cx="100330" cy="82550"/>
              <wp:wrapNone/>
              <wp:docPr id="104" name="Shape 10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31.35000000000002pt;margin-top:784.45000000000005pt;width:7.9000000000000004pt;height:6.5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5858510</wp:posOffset>
              </wp:positionH>
              <wp:positionV relativeFrom="page">
                <wp:posOffset>10447020</wp:posOffset>
              </wp:positionV>
              <wp:extent cx="133985" cy="103505"/>
              <wp:wrapNone/>
              <wp:docPr id="106" name="Shape 10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2" type="#_x0000_t202" style="position:absolute;margin-left:461.30000000000001pt;margin-top:822.60000000000002pt;width:10.550000000000001pt;height:8.1500000000000004pt;z-index:-1887439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6788150</wp:posOffset>
              </wp:positionH>
              <wp:positionV relativeFrom="page">
                <wp:posOffset>10128885</wp:posOffset>
              </wp:positionV>
              <wp:extent cx="33655" cy="82550"/>
              <wp:wrapNone/>
              <wp:docPr id="12" name="Shape 12"/>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534.5pt;margin-top:797.55000000000007pt;width:2.6499999999999999pt;height:6.5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5843270</wp:posOffset>
              </wp:positionH>
              <wp:positionV relativeFrom="page">
                <wp:posOffset>10436860</wp:posOffset>
              </wp:positionV>
              <wp:extent cx="133985" cy="103505"/>
              <wp:wrapNone/>
              <wp:docPr id="14" name="Shape 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0" type="#_x0000_t202" style="position:absolute;margin-left:460.10000000000002pt;margin-top:821.80000000000007pt;width:10.550000000000001pt;height:8.1500000000000004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6748145</wp:posOffset>
              </wp:positionH>
              <wp:positionV relativeFrom="page">
                <wp:posOffset>9962515</wp:posOffset>
              </wp:positionV>
              <wp:extent cx="100330" cy="82550"/>
              <wp:wrapNone/>
              <wp:docPr id="111" name="Shape 11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31.35000000000002pt;margin-top:784.45000000000005pt;width:7.9000000000000004pt;height:6.5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5858510</wp:posOffset>
              </wp:positionH>
              <wp:positionV relativeFrom="page">
                <wp:posOffset>10447020</wp:posOffset>
              </wp:positionV>
              <wp:extent cx="133985" cy="103505"/>
              <wp:wrapNone/>
              <wp:docPr id="113" name="Shape 11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9" type="#_x0000_t202" style="position:absolute;margin-left:461.30000000000001pt;margin-top:822.60000000000002pt;width:10.550000000000001pt;height:8.1500000000000004pt;z-index:-1887439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6756400</wp:posOffset>
              </wp:positionH>
              <wp:positionV relativeFrom="page">
                <wp:posOffset>9979025</wp:posOffset>
              </wp:positionV>
              <wp:extent cx="100330" cy="79375"/>
              <wp:wrapNone/>
              <wp:docPr id="118" name="Shape 11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532.pt;margin-top:785.75pt;width:7.9000000000000004pt;height:6.25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6918325</wp:posOffset>
              </wp:positionH>
              <wp:positionV relativeFrom="page">
                <wp:posOffset>10460990</wp:posOffset>
              </wp:positionV>
              <wp:extent cx="42545" cy="97790"/>
              <wp:wrapNone/>
              <wp:docPr id="120" name="Shape 12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6" type="#_x0000_t202" style="position:absolute;margin-left:544.75pt;margin-top:823.70000000000005pt;width:3.3500000000000001pt;height:7.7000000000000002pt;z-index:-1887439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6081395</wp:posOffset>
              </wp:positionH>
              <wp:positionV relativeFrom="page">
                <wp:posOffset>9836150</wp:posOffset>
              </wp:positionV>
              <wp:extent cx="719455" cy="191770"/>
              <wp:wrapNone/>
              <wp:docPr id="125" name="Shape 125"/>
              <a:graphic xmlns:a="http://schemas.openxmlformats.org/drawingml/2006/main">
                <a:graphicData uri="http://schemas.microsoft.com/office/word/2010/wordprocessingShape">
                  <wps:wsp>
                    <wps:cNvSpPr txBox="1"/>
                    <wps:spPr>
                      <a:xfrm>
                        <a:ext cx="71945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cniitf</w:t>
                          </w:r>
                        </w:p>
                      </w:txbxContent>
                    </wps:txbx>
                    <wps:bodyPr wrap="none" lIns="0" tIns="0" rIns="0" bIns="0">
                      <a:spAutoFit/>
                    </wps:bodyPr>
                  </wps:wsp>
                </a:graphicData>
              </a:graphic>
            </wp:anchor>
          </w:drawing>
        </mc:Choice>
        <mc:Fallback>
          <w:pict>
            <v:shape id="_x0000_s1151" type="#_x0000_t202" style="position:absolute;margin-left:478.85000000000002pt;margin-top:774.5pt;width:56.649999999999999pt;height:15.1pt;z-index:-1887439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cniitf</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6081395</wp:posOffset>
              </wp:positionH>
              <wp:positionV relativeFrom="page">
                <wp:posOffset>9836150</wp:posOffset>
              </wp:positionV>
              <wp:extent cx="719455" cy="191770"/>
              <wp:wrapNone/>
              <wp:docPr id="130" name="Shape 130"/>
              <a:graphic xmlns:a="http://schemas.openxmlformats.org/drawingml/2006/main">
                <a:graphicData uri="http://schemas.microsoft.com/office/word/2010/wordprocessingShape">
                  <wps:wsp>
                    <wps:cNvSpPr txBox="1"/>
                    <wps:spPr>
                      <a:xfrm>
                        <a:ext cx="719455"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cniitf</w:t>
                          </w:r>
                        </w:p>
                      </w:txbxContent>
                    </wps:txbx>
                    <wps:bodyPr wrap="none" lIns="0" tIns="0" rIns="0" bIns="0">
                      <a:spAutoFit/>
                    </wps:bodyPr>
                  </wps:wsp>
                </a:graphicData>
              </a:graphic>
            </wp:anchor>
          </w:drawing>
        </mc:Choice>
        <mc:Fallback>
          <w:pict>
            <v:shape id="_x0000_s1156" type="#_x0000_t202" style="position:absolute;margin-left:478.85000000000002pt;margin-top:774.5pt;width:56.649999999999999pt;height:15.1pt;z-index:-1887439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cniitf</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6087745</wp:posOffset>
              </wp:positionH>
              <wp:positionV relativeFrom="page">
                <wp:posOffset>9810115</wp:posOffset>
              </wp:positionV>
              <wp:extent cx="856615" cy="243840"/>
              <wp:wrapNone/>
              <wp:docPr id="135" name="Shape 135"/>
              <a:graphic xmlns:a="http://schemas.openxmlformats.org/drawingml/2006/main">
                <a:graphicData uri="http://schemas.microsoft.com/office/word/2010/wordprocessingShape">
                  <wps:wsp>
                    <wps:cNvSpPr txBox="1"/>
                    <wps:spPr>
                      <a:xfrm>
                        <a:ext cx="856615"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r>
                            <w:rPr>
                              <w:rFonts w:ascii="Arial" w:eastAsia="Arial" w:hAnsi="Arial" w:cs="Arial"/>
                              <w:b/>
                              <w:bCs/>
                              <w:color w:val="646464"/>
                              <w:spacing w:val="0"/>
                              <w:w w:val="100"/>
                              <w:position w:val="0"/>
                              <w:sz w:val="36"/>
                              <w:szCs w:val="36"/>
                            </w:rPr>
                            <w:t>6</w:t>
                          </w:r>
                          <w:r>
                            <w:rPr>
                              <w:rFonts w:ascii="Arial" w:eastAsia="Arial" w:hAnsi="Arial" w:cs="Arial"/>
                              <w:b/>
                              <w:bCs/>
                              <w:color w:val="D2D2D2"/>
                              <w:spacing w:val="0"/>
                              <w:w w:val="100"/>
                              <w:position w:val="0"/>
                              <w:sz w:val="36"/>
                              <w:szCs w:val="36"/>
                            </w:rPr>
                            <w:t>!</w:t>
                          </w:r>
                        </w:p>
                      </w:txbxContent>
                    </wps:txbx>
                    <wps:bodyPr wrap="none" lIns="0" tIns="0" rIns="0" bIns="0">
                      <a:spAutoFit/>
                    </wps:bodyPr>
                  </wps:wsp>
                </a:graphicData>
              </a:graphic>
            </wp:anchor>
          </w:drawing>
        </mc:Choice>
        <mc:Fallback>
          <w:pict>
            <v:shape id="_x0000_s1161" type="#_x0000_t202" style="position:absolute;margin-left:479.35000000000002pt;margin-top:772.45000000000005pt;width:67.450000000000003pt;height:19.199999999999999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r>
                      <w:rPr>
                        <w:rFonts w:ascii="Arial" w:eastAsia="Arial" w:hAnsi="Arial" w:cs="Arial"/>
                        <w:b/>
                        <w:bCs/>
                        <w:color w:val="646464"/>
                        <w:spacing w:val="0"/>
                        <w:w w:val="100"/>
                        <w:position w:val="0"/>
                        <w:sz w:val="36"/>
                        <w:szCs w:val="36"/>
                      </w:rPr>
                      <w:t>6</w:t>
                    </w:r>
                    <w:r>
                      <w:rPr>
                        <w:rFonts w:ascii="Arial" w:eastAsia="Arial" w:hAnsi="Arial" w:cs="Arial"/>
                        <w:b/>
                        <w:bCs/>
                        <w:color w:val="D2D2D2"/>
                        <w:spacing w:val="0"/>
                        <w:w w:val="100"/>
                        <w:position w:val="0"/>
                        <w:sz w:val="36"/>
                        <w:szCs w:val="36"/>
                      </w:rPr>
                      <w:t>!</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6756400</wp:posOffset>
              </wp:positionH>
              <wp:positionV relativeFrom="page">
                <wp:posOffset>9979025</wp:posOffset>
              </wp:positionV>
              <wp:extent cx="100330" cy="79375"/>
              <wp:wrapNone/>
              <wp:docPr id="140" name="Shape 1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66" type="#_x0000_t202" style="position:absolute;margin-left:532.pt;margin-top:785.75pt;width:7.9000000000000004pt;height:6.25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6918325</wp:posOffset>
              </wp:positionH>
              <wp:positionV relativeFrom="page">
                <wp:posOffset>10460990</wp:posOffset>
              </wp:positionV>
              <wp:extent cx="42545" cy="97790"/>
              <wp:wrapNone/>
              <wp:docPr id="142" name="Shape 1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8" type="#_x0000_t202" style="position:absolute;margin-left:544.75pt;margin-top:823.70000000000005pt;width:3.3500000000000001pt;height:7.7000000000000002pt;z-index:-1887439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6748145</wp:posOffset>
              </wp:positionH>
              <wp:positionV relativeFrom="page">
                <wp:posOffset>9962515</wp:posOffset>
              </wp:positionV>
              <wp:extent cx="100330" cy="82550"/>
              <wp:wrapNone/>
              <wp:docPr id="147" name="Shape 147"/>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531.35000000000002pt;margin-top:784.45000000000005pt;width:7.9000000000000004pt;height:6.5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5858510</wp:posOffset>
              </wp:positionH>
              <wp:positionV relativeFrom="page">
                <wp:posOffset>10447020</wp:posOffset>
              </wp:positionV>
              <wp:extent cx="133985" cy="103505"/>
              <wp:wrapNone/>
              <wp:docPr id="149" name="Shape 1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5" type="#_x0000_t202" style="position:absolute;margin-left:461.30000000000001pt;margin-top:822.60000000000002pt;width:10.550000000000001pt;height:8.1500000000000004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6756400</wp:posOffset>
              </wp:positionH>
              <wp:positionV relativeFrom="page">
                <wp:posOffset>9979025</wp:posOffset>
              </wp:positionV>
              <wp:extent cx="100330" cy="79375"/>
              <wp:wrapNone/>
              <wp:docPr id="154" name="Shape 1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80" type="#_x0000_t202" style="position:absolute;margin-left:532.pt;margin-top:785.75pt;width:7.9000000000000004pt;height:6.25pt;z-index:-1887439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6918325</wp:posOffset>
              </wp:positionH>
              <wp:positionV relativeFrom="page">
                <wp:posOffset>10460990</wp:posOffset>
              </wp:positionV>
              <wp:extent cx="42545" cy="97790"/>
              <wp:wrapNone/>
              <wp:docPr id="156" name="Shape 15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2" type="#_x0000_t202" style="position:absolute;margin-left:544.75pt;margin-top:823.70000000000005pt;width:3.3500000000000001pt;height:7.7000000000000002pt;z-index:-1887439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6756400</wp:posOffset>
              </wp:positionH>
              <wp:positionV relativeFrom="page">
                <wp:posOffset>9979025</wp:posOffset>
              </wp:positionV>
              <wp:extent cx="100330" cy="79375"/>
              <wp:wrapNone/>
              <wp:docPr id="161" name="Shape 16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87" type="#_x0000_t202" style="position:absolute;margin-left:532.pt;margin-top:785.75pt;width:7.9000000000000004pt;height:6.2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6918325</wp:posOffset>
              </wp:positionH>
              <wp:positionV relativeFrom="page">
                <wp:posOffset>10460990</wp:posOffset>
              </wp:positionV>
              <wp:extent cx="42545" cy="97790"/>
              <wp:wrapNone/>
              <wp:docPr id="163" name="Shape 1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89" type="#_x0000_t202" style="position:absolute;margin-left:544.75pt;margin-top:823.70000000000005pt;width:3.3500000000000001pt;height:7.7000000000000002pt;z-index:-1887439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6728460</wp:posOffset>
              </wp:positionH>
              <wp:positionV relativeFrom="page">
                <wp:posOffset>9977120</wp:posOffset>
              </wp:positionV>
              <wp:extent cx="97790" cy="79375"/>
              <wp:wrapNone/>
              <wp:docPr id="168" name="Shape 1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94" type="#_x0000_t202" style="position:absolute;margin-left:529.79999999999995pt;margin-top:785.60000000000002pt;width:7.7000000000000002pt;height:6.25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6728460</wp:posOffset>
              </wp:positionH>
              <wp:positionV relativeFrom="page">
                <wp:posOffset>9977120</wp:posOffset>
              </wp:positionV>
              <wp:extent cx="97790" cy="79375"/>
              <wp:wrapNone/>
              <wp:docPr id="173" name="Shape 1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9.79999999999995pt;margin-top:785.60000000000002pt;width:7.7000000000000002pt;height:6.25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6728460</wp:posOffset>
              </wp:positionH>
              <wp:positionV relativeFrom="page">
                <wp:posOffset>9977120</wp:posOffset>
              </wp:positionV>
              <wp:extent cx="97790" cy="79375"/>
              <wp:wrapNone/>
              <wp:docPr id="178" name="Shape 17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04" type="#_x0000_t202" style="position:absolute;margin-left:529.79999999999995pt;margin-top:785.60000000000002pt;width:7.7000000000000002pt;height:6.25pt;z-index:-1887439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6728460</wp:posOffset>
              </wp:positionH>
              <wp:positionV relativeFrom="page">
                <wp:posOffset>9977120</wp:posOffset>
              </wp:positionV>
              <wp:extent cx="97790" cy="79375"/>
              <wp:wrapNone/>
              <wp:docPr id="183" name="Shape 18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29.79999999999995pt;margin-top:785.60000000000002pt;width:7.7000000000000002pt;height:6.25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6179185</wp:posOffset>
              </wp:positionH>
              <wp:positionV relativeFrom="page">
                <wp:posOffset>9838055</wp:posOffset>
              </wp:positionV>
              <wp:extent cx="673735" cy="191770"/>
              <wp:wrapNone/>
              <wp:docPr id="188" name="Shape 188"/>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fldSimple w:instr=" PAGE \* MERGEFORMAT ">
                            <w:r>
                              <w:rPr>
                                <w:rFonts w:ascii="Arial" w:eastAsia="Arial" w:hAnsi="Arial" w:cs="Arial"/>
                                <w:b/>
                                <w:bCs/>
                                <w:color w:val="646464"/>
                                <w:spacing w:val="0"/>
                                <w:w w:val="100"/>
                                <w:position w:val="0"/>
                                <w:sz w:val="36"/>
                                <w:szCs w:val="36"/>
                                <w:vertAlign w:val="subscript"/>
                              </w:rPr>
                              <w:t>#</w:t>
                            </w:r>
                          </w:fldSimple>
                        </w:p>
                      </w:txbxContent>
                    </wps:txbx>
                    <wps:bodyPr wrap="none" lIns="0" tIns="0" rIns="0" bIns="0">
                      <a:spAutoFit/>
                    </wps:bodyPr>
                  </wps:wsp>
                </a:graphicData>
              </a:graphic>
            </wp:anchor>
          </w:drawing>
        </mc:Choice>
        <mc:Fallback>
          <w:pict>
            <v:shape id="_x0000_s1214" type="#_x0000_t202" style="position:absolute;margin-left:486.55000000000001pt;margin-top:774.64999999999998pt;width:53.050000000000004pt;height:15.1pt;z-index:-1887439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fldSimple w:instr=" PAGE \* MERGEFORMAT ">
                      <w:r>
                        <w:rPr>
                          <w:rFonts w:ascii="Arial" w:eastAsia="Arial" w:hAnsi="Arial" w:cs="Arial"/>
                          <w:b/>
                          <w:bCs/>
                          <w:color w:val="646464"/>
                          <w:spacing w:val="0"/>
                          <w:w w:val="100"/>
                          <w:position w:val="0"/>
                          <w:sz w:val="36"/>
                          <w:szCs w:val="36"/>
                          <w:vertAlign w:val="subscript"/>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6756400</wp:posOffset>
              </wp:positionH>
              <wp:positionV relativeFrom="page">
                <wp:posOffset>9979025</wp:posOffset>
              </wp:positionV>
              <wp:extent cx="100330" cy="79375"/>
              <wp:wrapNone/>
              <wp:docPr id="194" name="Shape 19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532.pt;margin-top:785.75pt;width:7.9000000000000004pt;height:6.25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6918325</wp:posOffset>
              </wp:positionH>
              <wp:positionV relativeFrom="page">
                <wp:posOffset>10460990</wp:posOffset>
              </wp:positionV>
              <wp:extent cx="42545" cy="97790"/>
              <wp:wrapNone/>
              <wp:docPr id="196" name="Shape 19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2" type="#_x0000_t202" style="position:absolute;margin-left:544.75pt;margin-top:823.70000000000005pt;width:3.3500000000000001pt;height:7.7000000000000002pt;z-index:-1887439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6756400</wp:posOffset>
              </wp:positionH>
              <wp:positionV relativeFrom="page">
                <wp:posOffset>9979025</wp:posOffset>
              </wp:positionV>
              <wp:extent cx="100330" cy="79375"/>
              <wp:wrapNone/>
              <wp:docPr id="201" name="Shape 20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532.pt;margin-top:785.75pt;width:7.9000000000000004pt;height:6.2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6918325</wp:posOffset>
              </wp:positionH>
              <wp:positionV relativeFrom="page">
                <wp:posOffset>10460990</wp:posOffset>
              </wp:positionV>
              <wp:extent cx="42545" cy="97790"/>
              <wp:wrapNone/>
              <wp:docPr id="203" name="Shape 20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9" type="#_x0000_t202" style="position:absolute;margin-left:544.75pt;margin-top:823.70000000000005pt;width:3.3500000000000001pt;height:7.7000000000000002pt;z-index:-1887439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6645910</wp:posOffset>
              </wp:positionH>
              <wp:positionV relativeFrom="page">
                <wp:posOffset>9974580</wp:posOffset>
              </wp:positionV>
              <wp:extent cx="100330" cy="82550"/>
              <wp:wrapNone/>
              <wp:docPr id="209" name="Shape 20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35" type="#_x0000_t202" style="position:absolute;margin-left:523.29999999999995pt;margin-top:785.39999999999998pt;width:7.9000000000000004pt;height:6.5pt;z-index:-1887438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5767705</wp:posOffset>
              </wp:positionH>
              <wp:positionV relativeFrom="page">
                <wp:posOffset>10459085</wp:posOffset>
              </wp:positionV>
              <wp:extent cx="133985" cy="103505"/>
              <wp:wrapNone/>
              <wp:docPr id="211" name="Shape 2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37" type="#_x0000_t202" style="position:absolute;margin-left:454.15000000000003pt;margin-top:823.55000000000007pt;width:10.550000000000001pt;height:8.1500000000000004pt;z-index:-1887438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6645910</wp:posOffset>
              </wp:positionH>
              <wp:positionV relativeFrom="page">
                <wp:posOffset>9974580</wp:posOffset>
              </wp:positionV>
              <wp:extent cx="100330" cy="82550"/>
              <wp:wrapNone/>
              <wp:docPr id="216" name="Shape 216"/>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42" type="#_x0000_t202" style="position:absolute;margin-left:523.29999999999995pt;margin-top:785.39999999999998pt;width:7.9000000000000004pt;height:6.5pt;z-index:-1887438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2" behindDoc="1" locked="0" layoutInCell="1" allowOverlap="1">
              <wp:simplePos x="0" y="0"/>
              <wp:positionH relativeFrom="page">
                <wp:posOffset>5767705</wp:posOffset>
              </wp:positionH>
              <wp:positionV relativeFrom="page">
                <wp:posOffset>10459085</wp:posOffset>
              </wp:positionV>
              <wp:extent cx="133985" cy="103505"/>
              <wp:wrapNone/>
              <wp:docPr id="218" name="Shape 21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4" type="#_x0000_t202" style="position:absolute;margin-left:454.15000000000003pt;margin-top:823.55000000000007pt;width:10.550000000000001pt;height:8.1500000000000004pt;z-index:-1887438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6075680</wp:posOffset>
              </wp:positionH>
              <wp:positionV relativeFrom="page">
                <wp:posOffset>9834245</wp:posOffset>
              </wp:positionV>
              <wp:extent cx="862330" cy="247015"/>
              <wp:wrapNone/>
              <wp:docPr id="223" name="Shape 223"/>
              <a:graphic xmlns:a="http://schemas.openxmlformats.org/drawingml/2006/main">
                <a:graphicData uri="http://schemas.microsoft.com/office/word/2010/wordprocessingShape">
                  <wps:wsp>
                    <wps:cNvSpPr txBox="1"/>
                    <wps:spPr>
                      <a:xfrm>
                        <a:ext cx="862330" cy="24701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cninf^</w:t>
                          </w:r>
                        </w:p>
                      </w:txbxContent>
                    </wps:txbx>
                    <wps:bodyPr wrap="none" lIns="0" tIns="0" rIns="0" bIns="0">
                      <a:spAutoFit/>
                    </wps:bodyPr>
                  </wps:wsp>
                </a:graphicData>
              </a:graphic>
            </wp:anchor>
          </w:drawing>
        </mc:Choice>
        <mc:Fallback>
          <w:pict>
            <v:shape id="_x0000_s1249" type="#_x0000_t202" style="position:absolute;margin-left:478.40000000000003pt;margin-top:774.35000000000002pt;width:67.900000000000006pt;height:19.449999999999999pt;z-index:-1887438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cninf^</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6645910</wp:posOffset>
              </wp:positionH>
              <wp:positionV relativeFrom="page">
                <wp:posOffset>9974580</wp:posOffset>
              </wp:positionV>
              <wp:extent cx="100330" cy="82550"/>
              <wp:wrapNone/>
              <wp:docPr id="228" name="Shape 22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23.29999999999995pt;margin-top:785.39999999999998pt;width:7.9000000000000004pt;height:6.5pt;z-index:-1887438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5767705</wp:posOffset>
              </wp:positionH>
              <wp:positionV relativeFrom="page">
                <wp:posOffset>10459085</wp:posOffset>
              </wp:positionV>
              <wp:extent cx="133985" cy="103505"/>
              <wp:wrapNone/>
              <wp:docPr id="230" name="Shape 2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56" type="#_x0000_t202" style="position:absolute;margin-left:454.15000000000003pt;margin-top:823.55000000000007pt;width:10.550000000000001pt;height:8.1500000000000004pt;z-index:-1887438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6645910</wp:posOffset>
              </wp:positionH>
              <wp:positionV relativeFrom="page">
                <wp:posOffset>9974580</wp:posOffset>
              </wp:positionV>
              <wp:extent cx="100330" cy="82550"/>
              <wp:wrapNone/>
              <wp:docPr id="235" name="Shape 23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23.29999999999995pt;margin-top:785.39999999999998pt;width:7.9000000000000004pt;height:6.5pt;z-index:-1887438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5767705</wp:posOffset>
              </wp:positionH>
              <wp:positionV relativeFrom="page">
                <wp:posOffset>10459085</wp:posOffset>
              </wp:positionV>
              <wp:extent cx="133985" cy="103505"/>
              <wp:wrapNone/>
              <wp:docPr id="237" name="Shape 23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63" type="#_x0000_t202" style="position:absolute;margin-left:454.15000000000003pt;margin-top:823.55000000000007pt;width:10.550000000000001pt;height:8.1500000000000004pt;z-index:-1887438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6756400</wp:posOffset>
              </wp:positionH>
              <wp:positionV relativeFrom="page">
                <wp:posOffset>9979025</wp:posOffset>
              </wp:positionV>
              <wp:extent cx="100330" cy="79375"/>
              <wp:wrapNone/>
              <wp:docPr id="242" name="Shape 24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32.pt;margin-top:785.75pt;width:7.9000000000000004pt;height:6.25pt;z-index:-1887438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6918325</wp:posOffset>
              </wp:positionH>
              <wp:positionV relativeFrom="page">
                <wp:posOffset>10460990</wp:posOffset>
              </wp:positionV>
              <wp:extent cx="42545" cy="97790"/>
              <wp:wrapNone/>
              <wp:docPr id="244" name="Shape 24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0" type="#_x0000_t202" style="position:absolute;margin-left:544.75pt;margin-top:823.70000000000005pt;width:3.3500000000000001pt;height:7.7000000000000002pt;z-index:-1887438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6728460</wp:posOffset>
              </wp:positionH>
              <wp:positionV relativeFrom="page">
                <wp:posOffset>9977120</wp:posOffset>
              </wp:positionV>
              <wp:extent cx="97790" cy="79375"/>
              <wp:wrapNone/>
              <wp:docPr id="250" name="Shape 2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76" type="#_x0000_t202" style="position:absolute;margin-left:529.79999999999995pt;margin-top:785.60000000000002pt;width:7.7000000000000002pt;height:6.25pt;z-index:-1887438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6728460</wp:posOffset>
              </wp:positionH>
              <wp:positionV relativeFrom="page">
                <wp:posOffset>9977120</wp:posOffset>
              </wp:positionV>
              <wp:extent cx="97790" cy="79375"/>
              <wp:wrapNone/>
              <wp:docPr id="255" name="Shape 2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529.79999999999995pt;margin-top:785.60000000000002pt;width:7.7000000000000002pt;height:6.25pt;z-index:-1887438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6645910</wp:posOffset>
              </wp:positionH>
              <wp:positionV relativeFrom="page">
                <wp:posOffset>9974580</wp:posOffset>
              </wp:positionV>
              <wp:extent cx="100330" cy="82550"/>
              <wp:wrapNone/>
              <wp:docPr id="271" name="Shape 27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523.29999999999995pt;margin-top:785.39999999999998pt;width:7.9000000000000004pt;height:6.5pt;z-index:-1887438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5767705</wp:posOffset>
              </wp:positionH>
              <wp:positionV relativeFrom="page">
                <wp:posOffset>10459085</wp:posOffset>
              </wp:positionV>
              <wp:extent cx="133985" cy="103505"/>
              <wp:wrapNone/>
              <wp:docPr id="273" name="Shape 2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9" type="#_x0000_t202" style="position:absolute;margin-left:454.15000000000003pt;margin-top:823.55000000000007pt;width:10.550000000000001pt;height:8.1500000000000004pt;z-index:-1887438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6645910</wp:posOffset>
              </wp:positionH>
              <wp:positionV relativeFrom="page">
                <wp:posOffset>9974580</wp:posOffset>
              </wp:positionV>
              <wp:extent cx="100330" cy="82550"/>
              <wp:wrapNone/>
              <wp:docPr id="278" name="Shape 27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04" type="#_x0000_t202" style="position:absolute;margin-left:523.29999999999995pt;margin-top:785.39999999999998pt;width:7.9000000000000004pt;height:6.5pt;z-index:-1887438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5767705</wp:posOffset>
              </wp:positionH>
              <wp:positionV relativeFrom="page">
                <wp:posOffset>10459085</wp:posOffset>
              </wp:positionV>
              <wp:extent cx="133985" cy="103505"/>
              <wp:wrapNone/>
              <wp:docPr id="280" name="Shape 2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06" type="#_x0000_t202" style="position:absolute;margin-left:454.15000000000003pt;margin-top:823.55000000000007pt;width:10.550000000000001pt;height:8.1500000000000004pt;z-index:-1887438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6728460</wp:posOffset>
              </wp:positionH>
              <wp:positionV relativeFrom="page">
                <wp:posOffset>9977120</wp:posOffset>
              </wp:positionV>
              <wp:extent cx="97790" cy="79375"/>
              <wp:wrapNone/>
              <wp:docPr id="285" name="Shape 2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11" type="#_x0000_t202" style="position:absolute;margin-left:529.79999999999995pt;margin-top:785.60000000000002pt;width:7.7000000000000002pt;height:6.25pt;z-index:-1887438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6728460</wp:posOffset>
              </wp:positionH>
              <wp:positionV relativeFrom="page">
                <wp:posOffset>9977120</wp:posOffset>
              </wp:positionV>
              <wp:extent cx="97790" cy="79375"/>
              <wp:wrapNone/>
              <wp:docPr id="290" name="Shape 2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529.79999999999995pt;margin-top:785.60000000000002pt;width:7.7000000000000002pt;height:6.25pt;z-index:-1887438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5789930</wp:posOffset>
              </wp:positionH>
              <wp:positionV relativeFrom="page">
                <wp:posOffset>9966960</wp:posOffset>
              </wp:positionV>
              <wp:extent cx="1005840" cy="603250"/>
              <wp:wrapNone/>
              <wp:docPr id="298" name="Shape 298"/>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324" type="#_x0000_t202" style="position:absolute;margin-left:455.90000000000003pt;margin-top:784.80000000000007pt;width:79.200000000000003pt;height:47.5pt;z-index:-1887438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5789930</wp:posOffset>
              </wp:positionH>
              <wp:positionV relativeFrom="page">
                <wp:posOffset>9966960</wp:posOffset>
              </wp:positionV>
              <wp:extent cx="1005840" cy="603250"/>
              <wp:wrapNone/>
              <wp:docPr id="303" name="Shape 303"/>
              <a:graphic xmlns:a="http://schemas.openxmlformats.org/drawingml/2006/main">
                <a:graphicData uri="http://schemas.microsoft.com/office/word/2010/wordprocessingShape">
                  <wps:wsp>
                    <wps:cNvSpPr txBox="1"/>
                    <wps:spPr>
                      <a:xfrm>
                        <a:ext cx="1005840"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329" type="#_x0000_t202" style="position:absolute;margin-left:455.90000000000003pt;margin-top:784.80000000000007pt;width:79.200000000000003pt;height:47.5pt;z-index:-1887438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6685915</wp:posOffset>
              </wp:positionH>
              <wp:positionV relativeFrom="page">
                <wp:posOffset>9975850</wp:posOffset>
              </wp:positionV>
              <wp:extent cx="103505" cy="79375"/>
              <wp:wrapNone/>
              <wp:docPr id="308" name="Shape 30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34" type="#_x0000_t202" style="position:absolute;margin-left:526.45000000000005pt;margin-top:785.5pt;width:8.1500000000000004pt;height:6.25pt;z-index:-1887438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6847205</wp:posOffset>
              </wp:positionH>
              <wp:positionV relativeFrom="page">
                <wp:posOffset>10457180</wp:posOffset>
              </wp:positionV>
              <wp:extent cx="42545" cy="97790"/>
              <wp:wrapNone/>
              <wp:docPr id="310" name="Shape 31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6" type="#_x0000_t202" style="position:absolute;margin-left:539.14999999999998pt;margin-top:823.39999999999998pt;width:3.3500000000000001pt;height:7.7000000000000002pt;z-index:-1887438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6645910</wp:posOffset>
              </wp:positionH>
              <wp:positionV relativeFrom="page">
                <wp:posOffset>9974580</wp:posOffset>
              </wp:positionV>
              <wp:extent cx="100330" cy="82550"/>
              <wp:wrapNone/>
              <wp:docPr id="321" name="Shape 321"/>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47" type="#_x0000_t202" style="position:absolute;margin-left:523.29999999999995pt;margin-top:785.39999999999998pt;width:7.9000000000000004pt;height:6.5pt;z-index:-1887438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5767705</wp:posOffset>
              </wp:positionH>
              <wp:positionV relativeFrom="page">
                <wp:posOffset>10459085</wp:posOffset>
              </wp:positionV>
              <wp:extent cx="133985" cy="103505"/>
              <wp:wrapNone/>
              <wp:docPr id="323" name="Shape 3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9" type="#_x0000_t202" style="position:absolute;margin-left:454.15000000000003pt;margin-top:823.55000000000007pt;width:10.550000000000001pt;height:8.1500000000000004pt;z-index:-1887438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6645910</wp:posOffset>
              </wp:positionH>
              <wp:positionV relativeFrom="page">
                <wp:posOffset>9974580</wp:posOffset>
              </wp:positionV>
              <wp:extent cx="100330" cy="82550"/>
              <wp:wrapNone/>
              <wp:docPr id="328" name="Shape 32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54" type="#_x0000_t202" style="position:absolute;margin-left:523.29999999999995pt;margin-top:785.39999999999998pt;width:7.9000000000000004pt;height:6.5pt;z-index:-1887438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5767705</wp:posOffset>
              </wp:positionH>
              <wp:positionV relativeFrom="page">
                <wp:posOffset>10459085</wp:posOffset>
              </wp:positionV>
              <wp:extent cx="133985" cy="103505"/>
              <wp:wrapNone/>
              <wp:docPr id="330" name="Shape 3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56" type="#_x0000_t202" style="position:absolute;margin-left:454.15000000000003pt;margin-top:823.55000000000007pt;width:10.550000000000001pt;height:8.1500000000000004pt;z-index:-1887438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6720840</wp:posOffset>
              </wp:positionH>
              <wp:positionV relativeFrom="page">
                <wp:posOffset>9974580</wp:posOffset>
              </wp:positionV>
              <wp:extent cx="97790" cy="82550"/>
              <wp:wrapNone/>
              <wp:docPr id="343" name="Shape 343"/>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69" type="#_x0000_t202" style="position:absolute;margin-left:529.20000000000005pt;margin-top:785.39999999999998pt;width:7.7000000000000002pt;height:6.5pt;z-index:-1887438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6888480</wp:posOffset>
              </wp:positionH>
              <wp:positionV relativeFrom="page">
                <wp:posOffset>10459085</wp:posOffset>
              </wp:positionV>
              <wp:extent cx="42545" cy="97790"/>
              <wp:wrapNone/>
              <wp:docPr id="345" name="Shape 34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1" type="#_x0000_t202" style="position:absolute;margin-left:542.39999999999998pt;margin-top:823.55000000000007pt;width:3.3500000000000001pt;height:7.7000000000000002pt;z-index:-1887438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6720840</wp:posOffset>
              </wp:positionH>
              <wp:positionV relativeFrom="page">
                <wp:posOffset>9974580</wp:posOffset>
              </wp:positionV>
              <wp:extent cx="97790" cy="82550"/>
              <wp:wrapNone/>
              <wp:docPr id="350" name="Shape 350"/>
              <a:graphic xmlns:a="http://schemas.openxmlformats.org/drawingml/2006/main">
                <a:graphicData uri="http://schemas.microsoft.com/office/word/2010/wordprocessingShape">
                  <wps:wsp>
                    <wps:cNvSpPr txBox="1"/>
                    <wps:spPr>
                      <a:xfrm>
                        <a:ext cx="9779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76" type="#_x0000_t202" style="position:absolute;margin-left:529.20000000000005pt;margin-top:785.39999999999998pt;width:7.7000000000000002pt;height:6.5pt;z-index:-1887437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6888480</wp:posOffset>
              </wp:positionH>
              <wp:positionV relativeFrom="page">
                <wp:posOffset>10459085</wp:posOffset>
              </wp:positionV>
              <wp:extent cx="42545" cy="97790"/>
              <wp:wrapNone/>
              <wp:docPr id="352" name="Shape 35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78" type="#_x0000_t202" style="position:absolute;margin-left:542.39999999999998pt;margin-top:823.55000000000007pt;width:3.3500000000000001pt;height:7.7000000000000002pt;z-index:-1887437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6645910</wp:posOffset>
              </wp:positionH>
              <wp:positionV relativeFrom="page">
                <wp:posOffset>9974580</wp:posOffset>
              </wp:positionV>
              <wp:extent cx="100330" cy="82550"/>
              <wp:wrapNone/>
              <wp:docPr id="372" name="Shape 37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398" type="#_x0000_t202" style="position:absolute;margin-left:523.29999999999995pt;margin-top:785.39999999999998pt;width:7.9000000000000004pt;height:6.5pt;z-index:-1887437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6" behindDoc="1" locked="0" layoutInCell="1" allowOverlap="1">
              <wp:simplePos x="0" y="0"/>
              <wp:positionH relativeFrom="page">
                <wp:posOffset>5767705</wp:posOffset>
              </wp:positionH>
              <wp:positionV relativeFrom="page">
                <wp:posOffset>10459085</wp:posOffset>
              </wp:positionV>
              <wp:extent cx="133985" cy="103505"/>
              <wp:wrapNone/>
              <wp:docPr id="374" name="Shape 37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00" type="#_x0000_t202" style="position:absolute;margin-left:454.15000000000003pt;margin-top:823.55000000000007pt;width:10.550000000000001pt;height:8.1500000000000004pt;z-index:-1887437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6814185</wp:posOffset>
              </wp:positionH>
              <wp:positionV relativeFrom="page">
                <wp:posOffset>9955530</wp:posOffset>
              </wp:positionV>
              <wp:extent cx="48895" cy="79375"/>
              <wp:wrapNone/>
              <wp:docPr id="31" name="Shape 31"/>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6.54999999999995pt;margin-top:783.89999999999998pt;width:3.8500000000000001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5875020</wp:posOffset>
              </wp:positionH>
              <wp:positionV relativeFrom="page">
                <wp:posOffset>10436860</wp:posOffset>
              </wp:positionV>
              <wp:extent cx="133985" cy="103505"/>
              <wp:wrapNone/>
              <wp:docPr id="33" name="Shape 3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9" type="#_x0000_t202" style="position:absolute;margin-left:462.60000000000002pt;margin-top:821.80000000000007pt;width:10.550000000000001pt;height:8.1500000000000004pt;z-index:-1887440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6645910</wp:posOffset>
              </wp:positionH>
              <wp:positionV relativeFrom="page">
                <wp:posOffset>9974580</wp:posOffset>
              </wp:positionV>
              <wp:extent cx="100330" cy="82550"/>
              <wp:wrapNone/>
              <wp:docPr id="379" name="Shape 37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23.29999999999995pt;margin-top:785.39999999999998pt;width:7.9000000000000004pt;height:6.5pt;z-index:-1887437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2" behindDoc="1" locked="0" layoutInCell="1" allowOverlap="1">
              <wp:simplePos x="0" y="0"/>
              <wp:positionH relativeFrom="page">
                <wp:posOffset>5767705</wp:posOffset>
              </wp:positionH>
              <wp:positionV relativeFrom="page">
                <wp:posOffset>10459085</wp:posOffset>
              </wp:positionV>
              <wp:extent cx="133985" cy="103505"/>
              <wp:wrapNone/>
              <wp:docPr id="381" name="Shape 3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07" type="#_x0000_t202" style="position:absolute;margin-left:454.15000000000003pt;margin-top:823.55000000000007pt;width:10.550000000000001pt;height:8.1500000000000004pt;z-index:-1887437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6728460</wp:posOffset>
              </wp:positionH>
              <wp:positionV relativeFrom="page">
                <wp:posOffset>9977120</wp:posOffset>
              </wp:positionV>
              <wp:extent cx="97790" cy="79375"/>
              <wp:wrapNone/>
              <wp:docPr id="404" name="Shape 4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30" type="#_x0000_t202" style="position:absolute;margin-left:529.79999999999995pt;margin-top:785.60000000000002pt;width:7.7000000000000002pt;height:6.25pt;z-index:-18874377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6645910</wp:posOffset>
              </wp:positionH>
              <wp:positionV relativeFrom="page">
                <wp:posOffset>9974580</wp:posOffset>
              </wp:positionV>
              <wp:extent cx="100330" cy="82550"/>
              <wp:wrapNone/>
              <wp:docPr id="409" name="Shape 409"/>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35" type="#_x0000_t202" style="position:absolute;margin-left:523.29999999999995pt;margin-top:785.39999999999998pt;width:7.9000000000000004pt;height:6.5pt;z-index:-1887437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3" behindDoc="1" locked="0" layoutInCell="1" allowOverlap="1">
              <wp:simplePos x="0" y="0"/>
              <wp:positionH relativeFrom="page">
                <wp:posOffset>5767705</wp:posOffset>
              </wp:positionH>
              <wp:positionV relativeFrom="page">
                <wp:posOffset>10459085</wp:posOffset>
              </wp:positionV>
              <wp:extent cx="133985" cy="103505"/>
              <wp:wrapNone/>
              <wp:docPr id="411" name="Shape 4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7" type="#_x0000_t202" style="position:absolute;margin-left:454.15000000000003pt;margin-top:823.55000000000007pt;width:10.550000000000001pt;height:8.1500000000000004pt;z-index:-1887437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6701155</wp:posOffset>
              </wp:positionH>
              <wp:positionV relativeFrom="page">
                <wp:posOffset>9977120</wp:posOffset>
              </wp:positionV>
              <wp:extent cx="103505" cy="79375"/>
              <wp:wrapNone/>
              <wp:docPr id="416" name="Shape 4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42" type="#_x0000_t202" style="position:absolute;margin-left:527.64999999999998pt;margin-top:785.60000000000002pt;width:8.1500000000000004pt;height:6.25pt;z-index:-1887437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9" behindDoc="1" locked="0" layoutInCell="1" allowOverlap="1">
              <wp:simplePos x="0" y="0"/>
              <wp:positionH relativeFrom="page">
                <wp:posOffset>6944995</wp:posOffset>
              </wp:positionH>
              <wp:positionV relativeFrom="page">
                <wp:posOffset>10459085</wp:posOffset>
              </wp:positionV>
              <wp:extent cx="45720" cy="97790"/>
              <wp:wrapNone/>
              <wp:docPr id="418" name="Shape 41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4" type="#_x0000_t202" style="position:absolute;margin-left:546.85000000000002pt;margin-top:823.55000000000007pt;width:3.6000000000000001pt;height:7.7000000000000002pt;z-index:-1887437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6645910</wp:posOffset>
              </wp:positionH>
              <wp:positionV relativeFrom="page">
                <wp:posOffset>9974580</wp:posOffset>
              </wp:positionV>
              <wp:extent cx="100330" cy="82550"/>
              <wp:wrapNone/>
              <wp:docPr id="423" name="Shape 423"/>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49" type="#_x0000_t202" style="position:absolute;margin-left:523.29999999999995pt;margin-top:785.39999999999998pt;width:7.9000000000000004pt;height:6.5pt;z-index:-1887437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5" behindDoc="1" locked="0" layoutInCell="1" allowOverlap="1">
              <wp:simplePos x="0" y="0"/>
              <wp:positionH relativeFrom="page">
                <wp:posOffset>5767705</wp:posOffset>
              </wp:positionH>
              <wp:positionV relativeFrom="page">
                <wp:posOffset>10459085</wp:posOffset>
              </wp:positionV>
              <wp:extent cx="133985" cy="103505"/>
              <wp:wrapNone/>
              <wp:docPr id="425" name="Shape 42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1" type="#_x0000_t202" style="position:absolute;margin-left:454.15000000000003pt;margin-top:823.55000000000007pt;width:10.550000000000001pt;height:8.1500000000000004pt;z-index:-1887437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6645910</wp:posOffset>
              </wp:positionH>
              <wp:positionV relativeFrom="page">
                <wp:posOffset>9974580</wp:posOffset>
              </wp:positionV>
              <wp:extent cx="100330" cy="82550"/>
              <wp:wrapNone/>
              <wp:docPr id="430" name="Shape 430"/>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523.29999999999995pt;margin-top:785.39999999999998pt;width:7.9000000000000004pt;height:6.5pt;z-index:-18874375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1" behindDoc="1" locked="0" layoutInCell="1" allowOverlap="1">
              <wp:simplePos x="0" y="0"/>
              <wp:positionH relativeFrom="page">
                <wp:posOffset>5767705</wp:posOffset>
              </wp:positionH>
              <wp:positionV relativeFrom="page">
                <wp:posOffset>10459085</wp:posOffset>
              </wp:positionV>
              <wp:extent cx="133985" cy="103505"/>
              <wp:wrapNone/>
              <wp:docPr id="432" name="Shape 43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58" type="#_x0000_t202" style="position:absolute;margin-left:454.15000000000003pt;margin-top:823.55000000000007pt;width:10.550000000000001pt;height:8.1500000000000004pt;z-index:-1887437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6701155</wp:posOffset>
              </wp:positionH>
              <wp:positionV relativeFrom="page">
                <wp:posOffset>9977120</wp:posOffset>
              </wp:positionV>
              <wp:extent cx="103505" cy="79375"/>
              <wp:wrapNone/>
              <wp:docPr id="437" name="Shape 4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63" type="#_x0000_t202" style="position:absolute;margin-left:527.64999999999998pt;margin-top:785.60000000000002pt;width:8.1500000000000004pt;height:6.25pt;z-index:-18874374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7" behindDoc="1" locked="0" layoutInCell="1" allowOverlap="1">
              <wp:simplePos x="0" y="0"/>
              <wp:positionH relativeFrom="page">
                <wp:posOffset>6944995</wp:posOffset>
              </wp:positionH>
              <wp:positionV relativeFrom="page">
                <wp:posOffset>10459085</wp:posOffset>
              </wp:positionV>
              <wp:extent cx="45720" cy="97790"/>
              <wp:wrapNone/>
              <wp:docPr id="439" name="Shape 43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65" type="#_x0000_t202" style="position:absolute;margin-left:546.85000000000002pt;margin-top:823.55000000000007pt;width:3.6000000000000001pt;height:7.7000000000000002pt;z-index:-1887437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6682740</wp:posOffset>
              </wp:positionH>
              <wp:positionV relativeFrom="page">
                <wp:posOffset>9975850</wp:posOffset>
              </wp:positionV>
              <wp:extent cx="103505" cy="79375"/>
              <wp:wrapNone/>
              <wp:docPr id="444" name="Shape 44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70" type="#_x0000_t202" style="position:absolute;margin-left:526.20000000000005pt;margin-top:785.5pt;width:8.1500000000000004pt;height:6.25pt;z-index:-18874374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3" behindDoc="1" locked="0" layoutInCell="1" allowOverlap="1">
              <wp:simplePos x="0" y="0"/>
              <wp:positionH relativeFrom="page">
                <wp:posOffset>6847205</wp:posOffset>
              </wp:positionH>
              <wp:positionV relativeFrom="page">
                <wp:posOffset>10457180</wp:posOffset>
              </wp:positionV>
              <wp:extent cx="42545" cy="97790"/>
              <wp:wrapNone/>
              <wp:docPr id="446" name="Shape 44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2" type="#_x0000_t202" style="position:absolute;margin-left:539.14999999999998pt;margin-top:823.39999999999998pt;width:3.3500000000000001pt;height:7.7000000000000002pt;z-index:-1887437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6682740</wp:posOffset>
              </wp:positionH>
              <wp:positionV relativeFrom="page">
                <wp:posOffset>9975850</wp:posOffset>
              </wp:positionV>
              <wp:extent cx="103505" cy="79375"/>
              <wp:wrapNone/>
              <wp:docPr id="451" name="Shape 4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77" type="#_x0000_t202" style="position:absolute;margin-left:526.20000000000005pt;margin-top:785.5pt;width:8.1500000000000004pt;height:6.25pt;z-index:-18874373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9" behindDoc="1" locked="0" layoutInCell="1" allowOverlap="1">
              <wp:simplePos x="0" y="0"/>
              <wp:positionH relativeFrom="page">
                <wp:posOffset>6847205</wp:posOffset>
              </wp:positionH>
              <wp:positionV relativeFrom="page">
                <wp:posOffset>10457180</wp:posOffset>
              </wp:positionV>
              <wp:extent cx="42545" cy="97790"/>
              <wp:wrapNone/>
              <wp:docPr id="453" name="Shape 4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9" type="#_x0000_t202" style="position:absolute;margin-left:539.14999999999998pt;margin-top:823.39999999999998pt;width:3.3500000000000001pt;height:7.7000000000000002pt;z-index:-1887437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6701155</wp:posOffset>
              </wp:positionH>
              <wp:positionV relativeFrom="page">
                <wp:posOffset>9977120</wp:posOffset>
              </wp:positionV>
              <wp:extent cx="103505" cy="79375"/>
              <wp:wrapNone/>
              <wp:docPr id="458" name="Shape 4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84" type="#_x0000_t202" style="position:absolute;margin-left:527.64999999999998pt;margin-top:785.60000000000002pt;width:8.1500000000000004pt;height:6.25pt;z-index:-18874373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5" behindDoc="1" locked="0" layoutInCell="1" allowOverlap="1">
              <wp:simplePos x="0" y="0"/>
              <wp:positionH relativeFrom="page">
                <wp:posOffset>6944995</wp:posOffset>
              </wp:positionH>
              <wp:positionV relativeFrom="page">
                <wp:posOffset>10459085</wp:posOffset>
              </wp:positionV>
              <wp:extent cx="45720" cy="97790"/>
              <wp:wrapNone/>
              <wp:docPr id="460" name="Shape 46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6" type="#_x0000_t202" style="position:absolute;margin-left:546.85000000000002pt;margin-top:823.55000000000007pt;width:3.6000000000000001pt;height:7.7000000000000002pt;z-index:-1887437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6728460</wp:posOffset>
              </wp:positionH>
              <wp:positionV relativeFrom="page">
                <wp:posOffset>9977120</wp:posOffset>
              </wp:positionV>
              <wp:extent cx="97790" cy="79375"/>
              <wp:wrapNone/>
              <wp:docPr id="38" name="Shape 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9.79999999999995pt;margin-top:785.6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6728460</wp:posOffset>
              </wp:positionH>
              <wp:positionV relativeFrom="page">
                <wp:posOffset>9977120</wp:posOffset>
              </wp:positionV>
              <wp:extent cx="97790" cy="79375"/>
              <wp:wrapNone/>
              <wp:docPr id="465" name="Shape 4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91" type="#_x0000_t202" style="position:absolute;margin-left:529.79999999999995pt;margin-top:785.60000000000002pt;width:7.7000000000000002pt;height:6.25pt;z-index:-18874372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6728460</wp:posOffset>
              </wp:positionH>
              <wp:positionV relativeFrom="page">
                <wp:posOffset>9977120</wp:posOffset>
              </wp:positionV>
              <wp:extent cx="97790" cy="79375"/>
              <wp:wrapNone/>
              <wp:docPr id="470" name="Shape 4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496" type="#_x0000_t202" style="position:absolute;margin-left:529.79999999999995pt;margin-top:785.60000000000002pt;width:7.7000000000000002pt;height:6.25pt;z-index:-18874372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6106795</wp:posOffset>
              </wp:positionH>
              <wp:positionV relativeFrom="page">
                <wp:posOffset>9919335</wp:posOffset>
              </wp:positionV>
              <wp:extent cx="673735" cy="191770"/>
              <wp:wrapNone/>
              <wp:docPr id="475" name="Shape 47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fldSimple w:instr=" PAGE \* MERGEFORMAT ">
                            <w:r>
                              <w:rPr>
                                <w:rFonts w:ascii="Arial" w:eastAsia="Arial" w:hAnsi="Arial" w:cs="Arial"/>
                                <w:b/>
                                <w:bCs/>
                                <w:color w:val="646464"/>
                                <w:spacing w:val="0"/>
                                <w:w w:val="100"/>
                                <w:position w:val="0"/>
                                <w:sz w:val="36"/>
                                <w:szCs w:val="36"/>
                                <w:vertAlign w:val="subscript"/>
                              </w:rPr>
                              <w:t>#</w:t>
                            </w:r>
                          </w:fldSimple>
                        </w:p>
                      </w:txbxContent>
                    </wps:txbx>
                    <wps:bodyPr wrap="none" lIns="0" tIns="0" rIns="0" bIns="0">
                      <a:spAutoFit/>
                    </wps:bodyPr>
                  </wps:wsp>
                </a:graphicData>
              </a:graphic>
            </wp:anchor>
          </w:drawing>
        </mc:Choice>
        <mc:Fallback>
          <w:pict>
            <v:shape id="_x0000_s1501" type="#_x0000_t202" style="position:absolute;margin-left:480.85000000000002pt;margin-top:781.05000000000007pt;width:53.050000000000004pt;height:15.1pt;z-index:-1887437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fldSimple w:instr=" PAGE \* MERGEFORMAT ">
                      <w:r>
                        <w:rPr>
                          <w:rFonts w:ascii="Arial" w:eastAsia="Arial" w:hAnsi="Arial" w:cs="Arial"/>
                          <w:b/>
                          <w:bCs/>
                          <w:color w:val="646464"/>
                          <w:spacing w:val="0"/>
                          <w:w w:val="100"/>
                          <w:position w:val="0"/>
                          <w:sz w:val="36"/>
                          <w:szCs w:val="36"/>
                          <w:vertAlign w:val="subscript"/>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6106795</wp:posOffset>
              </wp:positionH>
              <wp:positionV relativeFrom="page">
                <wp:posOffset>9919335</wp:posOffset>
              </wp:positionV>
              <wp:extent cx="673735" cy="191770"/>
              <wp:wrapNone/>
              <wp:docPr id="480" name="Shape 48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fldSimple w:instr=" PAGE \* MERGEFORMAT ">
                            <w:r>
                              <w:rPr>
                                <w:rFonts w:ascii="Arial" w:eastAsia="Arial" w:hAnsi="Arial" w:cs="Arial"/>
                                <w:b/>
                                <w:bCs/>
                                <w:color w:val="646464"/>
                                <w:spacing w:val="0"/>
                                <w:w w:val="100"/>
                                <w:position w:val="0"/>
                                <w:sz w:val="36"/>
                                <w:szCs w:val="36"/>
                                <w:vertAlign w:val="subscript"/>
                              </w:rPr>
                              <w:t>#</w:t>
                            </w:r>
                          </w:fldSimple>
                        </w:p>
                      </w:txbxContent>
                    </wps:txbx>
                    <wps:bodyPr wrap="none" lIns="0" tIns="0" rIns="0" bIns="0">
                      <a:spAutoFit/>
                    </wps:bodyPr>
                  </wps:wsp>
                </a:graphicData>
              </a:graphic>
            </wp:anchor>
          </w:drawing>
        </mc:Choice>
        <mc:Fallback>
          <w:pict>
            <v:shape id="_x0000_s1506" type="#_x0000_t202" style="position:absolute;margin-left:480.85000000000002pt;margin-top:781.05000000000007pt;width:53.050000000000004pt;height:15.1pt;z-index:-18874371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 xml:space="preserve">cnii </w:t>
                    </w:r>
                    <w:fldSimple w:instr=" PAGE \* MERGEFORMAT ">
                      <w:r>
                        <w:rPr>
                          <w:rFonts w:ascii="Arial" w:eastAsia="Arial" w:hAnsi="Arial" w:cs="Arial"/>
                          <w:b/>
                          <w:bCs/>
                          <w:color w:val="646464"/>
                          <w:spacing w:val="0"/>
                          <w:w w:val="100"/>
                          <w:position w:val="0"/>
                          <w:sz w:val="36"/>
                          <w:szCs w:val="36"/>
                          <w:vertAlign w:val="subscript"/>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6645910</wp:posOffset>
              </wp:positionH>
              <wp:positionV relativeFrom="page">
                <wp:posOffset>9974580</wp:posOffset>
              </wp:positionV>
              <wp:extent cx="100330" cy="82550"/>
              <wp:wrapNone/>
              <wp:docPr id="485" name="Shape 485"/>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11" type="#_x0000_t202" style="position:absolute;margin-left:523.29999999999995pt;margin-top:785.39999999999998pt;width:7.9000000000000004pt;height:6.5pt;z-index:-18874370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7" behindDoc="1" locked="0" layoutInCell="1" allowOverlap="1">
              <wp:simplePos x="0" y="0"/>
              <wp:positionH relativeFrom="page">
                <wp:posOffset>5767705</wp:posOffset>
              </wp:positionH>
              <wp:positionV relativeFrom="page">
                <wp:posOffset>10459085</wp:posOffset>
              </wp:positionV>
              <wp:extent cx="133985" cy="103505"/>
              <wp:wrapNone/>
              <wp:docPr id="487" name="Shape 4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13" type="#_x0000_t202" style="position:absolute;margin-left:454.15000000000003pt;margin-top:823.55000000000007pt;width:10.550000000000001pt;height:8.1500000000000004pt;z-index:-1887437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5" behindDoc="1" locked="0" layoutInCell="1" allowOverlap="1">
              <wp:simplePos x="0" y="0"/>
              <wp:positionH relativeFrom="page">
                <wp:posOffset>6728460</wp:posOffset>
              </wp:positionH>
              <wp:positionV relativeFrom="page">
                <wp:posOffset>9977120</wp:posOffset>
              </wp:positionV>
              <wp:extent cx="97790" cy="79375"/>
              <wp:wrapNone/>
              <wp:docPr id="498" name="Shape 49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24" type="#_x0000_t202" style="position:absolute;margin-left:529.79999999999995pt;margin-top:785.60000000000002pt;width:7.7000000000000002pt;height:6.25pt;z-index:-18874369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6752590</wp:posOffset>
              </wp:positionH>
              <wp:positionV relativeFrom="page">
                <wp:posOffset>9955530</wp:posOffset>
              </wp:positionV>
              <wp:extent cx="103505" cy="79375"/>
              <wp:wrapNone/>
              <wp:docPr id="503" name="Shape 50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29" type="#_x0000_t202" style="position:absolute;margin-left:531.70000000000005pt;margin-top:783.89999999999998pt;width:8.1500000000000004pt;height:6.25pt;z-index:-18874369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6993255</wp:posOffset>
              </wp:positionH>
              <wp:positionV relativeFrom="page">
                <wp:posOffset>10436860</wp:posOffset>
              </wp:positionV>
              <wp:extent cx="45720" cy="97790"/>
              <wp:wrapNone/>
              <wp:docPr id="505" name="Shape 50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1" type="#_x0000_t202" style="position:absolute;margin-left:550.64999999999998pt;margin-top:821.80000000000007pt;width:3.6000000000000001pt;height:7.7000000000000002pt;z-index:-1887436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6752590</wp:posOffset>
              </wp:positionH>
              <wp:positionV relativeFrom="page">
                <wp:posOffset>9955530</wp:posOffset>
              </wp:positionV>
              <wp:extent cx="103505" cy="79375"/>
              <wp:wrapNone/>
              <wp:docPr id="510" name="Shape 5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36" type="#_x0000_t202" style="position:absolute;margin-left:531.70000000000005pt;margin-top:783.89999999999998pt;width:8.1500000000000004pt;height:6.25pt;z-index:-18874368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7" behindDoc="1" locked="0" layoutInCell="1" allowOverlap="1">
              <wp:simplePos x="0" y="0"/>
              <wp:positionH relativeFrom="page">
                <wp:posOffset>6993255</wp:posOffset>
              </wp:positionH>
              <wp:positionV relativeFrom="page">
                <wp:posOffset>10436860</wp:posOffset>
              </wp:positionV>
              <wp:extent cx="45720" cy="97790"/>
              <wp:wrapNone/>
              <wp:docPr id="512" name="Shape 51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38" type="#_x0000_t202" style="position:absolute;margin-left:550.64999999999998pt;margin-top:821.80000000000007pt;width:3.6000000000000001pt;height:7.7000000000000002pt;z-index:-1887436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6074410</wp:posOffset>
              </wp:positionH>
              <wp:positionV relativeFrom="page">
                <wp:posOffset>9790430</wp:posOffset>
              </wp:positionV>
              <wp:extent cx="862330" cy="280670"/>
              <wp:wrapNone/>
              <wp:docPr id="517" name="Shape 517"/>
              <a:graphic xmlns:a="http://schemas.openxmlformats.org/drawingml/2006/main">
                <a:graphicData uri="http://schemas.microsoft.com/office/word/2010/wordprocessingShape">
                  <wps:wsp>
                    <wps:cNvSpPr txBox="1"/>
                    <wps:spPr>
                      <a:xfrm>
                        <a:ext cx="862330" cy="28067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cninf^</w:t>
                          </w:r>
                        </w:p>
                      </w:txbxContent>
                    </wps:txbx>
                    <wps:bodyPr wrap="none" lIns="0" tIns="0" rIns="0" bIns="0">
                      <a:spAutoFit/>
                    </wps:bodyPr>
                  </wps:wsp>
                </a:graphicData>
              </a:graphic>
            </wp:anchor>
          </w:drawing>
        </mc:Choice>
        <mc:Fallback>
          <w:pict>
            <v:shape id="_x0000_s1543" type="#_x0000_t202" style="position:absolute;margin-left:478.30000000000001pt;margin-top:770.89999999999998pt;width:67.900000000000006pt;height:22.100000000000001pt;z-index:-18874368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b/>
                        <w:bCs/>
                        <w:color w:val="D2D2D2"/>
                        <w:spacing w:val="0"/>
                        <w:w w:val="100"/>
                        <w:position w:val="0"/>
                        <w:sz w:val="36"/>
                        <w:szCs w:val="36"/>
                      </w:rPr>
                      <w:t>cninf^</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6678930</wp:posOffset>
              </wp:positionH>
              <wp:positionV relativeFrom="page">
                <wp:posOffset>10028555</wp:posOffset>
              </wp:positionV>
              <wp:extent cx="155575" cy="82550"/>
              <wp:wrapNone/>
              <wp:docPr id="522" name="Shape 52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48" type="#_x0000_t202" style="position:absolute;margin-left:525.89999999999998pt;margin-top:789.64999999999998pt;width:12.25pt;height:6.5pt;z-index:-18874367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7" behindDoc="1" locked="0" layoutInCell="1" allowOverlap="1">
              <wp:simplePos x="0" y="0"/>
              <wp:positionH relativeFrom="page">
                <wp:posOffset>5843905</wp:posOffset>
              </wp:positionH>
              <wp:positionV relativeFrom="page">
                <wp:posOffset>10513060</wp:posOffset>
              </wp:positionV>
              <wp:extent cx="133985" cy="103505"/>
              <wp:wrapNone/>
              <wp:docPr id="524" name="Shape 5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50" type="#_x0000_t202" style="position:absolute;margin-left:460.15000000000003pt;margin-top:827.80000000000007pt;width:10.550000000000001pt;height:8.1500000000000004pt;z-index:-1887436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6746240</wp:posOffset>
              </wp:positionH>
              <wp:positionV relativeFrom="page">
                <wp:posOffset>9955530</wp:posOffset>
              </wp:positionV>
              <wp:extent cx="103505" cy="79375"/>
              <wp:wrapNone/>
              <wp:docPr id="529" name="Shape 5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55" type="#_x0000_t202" style="position:absolute;margin-left:531.20000000000005pt;margin-top:783.89999999999998pt;width:8.1500000000000004pt;height:6.25pt;z-index:-18874367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3" behindDoc="1" locked="0" layoutInCell="1" allowOverlap="1">
              <wp:simplePos x="0" y="0"/>
              <wp:positionH relativeFrom="page">
                <wp:posOffset>6907530</wp:posOffset>
              </wp:positionH>
              <wp:positionV relativeFrom="page">
                <wp:posOffset>10436860</wp:posOffset>
              </wp:positionV>
              <wp:extent cx="42545" cy="97790"/>
              <wp:wrapNone/>
              <wp:docPr id="531" name="Shape 53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57" type="#_x0000_t202" style="position:absolute;margin-left:543.89999999999998pt;margin-top:821.80000000000007pt;width:3.3500000000000001pt;height:7.7000000000000002pt;z-index:-18874367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7" behindDoc="1" locked="0" layoutInCell="1" allowOverlap="1">
              <wp:simplePos x="0" y="0"/>
              <wp:positionH relativeFrom="page">
                <wp:posOffset>6752590</wp:posOffset>
              </wp:positionH>
              <wp:positionV relativeFrom="page">
                <wp:posOffset>9955530</wp:posOffset>
              </wp:positionV>
              <wp:extent cx="103505" cy="79375"/>
              <wp:wrapNone/>
              <wp:docPr id="536" name="Shape 5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62" type="#_x0000_t202" style="position:absolute;margin-left:531.70000000000005pt;margin-top:783.89999999999998pt;width:8.1500000000000004pt;height:6.25pt;z-index:-18874366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9" behindDoc="1" locked="0" layoutInCell="1" allowOverlap="1">
              <wp:simplePos x="0" y="0"/>
              <wp:positionH relativeFrom="page">
                <wp:posOffset>6993255</wp:posOffset>
              </wp:positionH>
              <wp:positionV relativeFrom="page">
                <wp:posOffset>10436860</wp:posOffset>
              </wp:positionV>
              <wp:extent cx="45720" cy="97790"/>
              <wp:wrapNone/>
              <wp:docPr id="538" name="Shape 53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4" type="#_x0000_t202" style="position:absolute;margin-left:550.64999999999998pt;margin-top:821.80000000000007pt;width:3.6000000000000001pt;height:7.7000000000000002pt;z-index:-18874366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3" behindDoc="1" locked="0" layoutInCell="1" allowOverlap="1">
              <wp:simplePos x="0" y="0"/>
              <wp:positionH relativeFrom="page">
                <wp:posOffset>6752590</wp:posOffset>
              </wp:positionH>
              <wp:positionV relativeFrom="page">
                <wp:posOffset>9955530</wp:posOffset>
              </wp:positionV>
              <wp:extent cx="103505" cy="79375"/>
              <wp:wrapNone/>
              <wp:docPr id="543" name="Shape 5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69" type="#_x0000_t202" style="position:absolute;margin-left:531.70000000000005pt;margin-top:783.89999999999998pt;width:8.1500000000000004pt;height:6.25pt;z-index:-18874366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5" behindDoc="1" locked="0" layoutInCell="1" allowOverlap="1">
              <wp:simplePos x="0" y="0"/>
              <wp:positionH relativeFrom="page">
                <wp:posOffset>6993255</wp:posOffset>
              </wp:positionH>
              <wp:positionV relativeFrom="page">
                <wp:posOffset>10436860</wp:posOffset>
              </wp:positionV>
              <wp:extent cx="45720" cy="97790"/>
              <wp:wrapNone/>
              <wp:docPr id="545" name="Shape 54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1" type="#_x0000_t202" style="position:absolute;margin-left:550.64999999999998pt;margin-top:821.80000000000007pt;width:3.6000000000000001pt;height:7.7000000000000002pt;z-index:-18874365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6678930</wp:posOffset>
              </wp:positionH>
              <wp:positionV relativeFrom="page">
                <wp:posOffset>10028555</wp:posOffset>
              </wp:positionV>
              <wp:extent cx="155575" cy="82550"/>
              <wp:wrapNone/>
              <wp:docPr id="557" name="Shape 557"/>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525.89999999999998pt;margin-top:789.64999999999998pt;width:12.25pt;height:6.5pt;z-index:-1887436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5" behindDoc="1" locked="0" layoutInCell="1" allowOverlap="1">
              <wp:simplePos x="0" y="0"/>
              <wp:positionH relativeFrom="page">
                <wp:posOffset>5843905</wp:posOffset>
              </wp:positionH>
              <wp:positionV relativeFrom="page">
                <wp:posOffset>10513060</wp:posOffset>
              </wp:positionV>
              <wp:extent cx="133985" cy="103505"/>
              <wp:wrapNone/>
              <wp:docPr id="559" name="Shape 5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85" type="#_x0000_t202" style="position:absolute;margin-left:460.15000000000003pt;margin-top:827.80000000000007pt;width:10.550000000000001pt;height:8.1500000000000004pt;z-index:-1887436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6678930</wp:posOffset>
              </wp:positionH>
              <wp:positionV relativeFrom="page">
                <wp:posOffset>10028555</wp:posOffset>
              </wp:positionV>
              <wp:extent cx="155575" cy="82550"/>
              <wp:wrapNone/>
              <wp:docPr id="564" name="Shape 564"/>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90" type="#_x0000_t202" style="position:absolute;margin-left:525.89999999999998pt;margin-top:789.64999999999998pt;width:12.25pt;height:6.5pt;z-index:-1887436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5843905</wp:posOffset>
              </wp:positionH>
              <wp:positionV relativeFrom="page">
                <wp:posOffset>10513060</wp:posOffset>
              </wp:positionV>
              <wp:extent cx="133985" cy="103505"/>
              <wp:wrapNone/>
              <wp:docPr id="566" name="Shape 5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2" type="#_x0000_t202" style="position:absolute;margin-left:460.15000000000003pt;margin-top:827.80000000000007pt;width:10.550000000000001pt;height:8.1500000000000004pt;z-index:-1887436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6678930</wp:posOffset>
              </wp:positionH>
              <wp:positionV relativeFrom="page">
                <wp:posOffset>10028555</wp:posOffset>
              </wp:positionV>
              <wp:extent cx="155575" cy="82550"/>
              <wp:wrapNone/>
              <wp:docPr id="571" name="Shape 57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597" type="#_x0000_t202" style="position:absolute;margin-left:525.89999999999998pt;margin-top:789.64999999999998pt;width:12.25pt;height:6.5pt;z-index:-1887436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5843905</wp:posOffset>
              </wp:positionH>
              <wp:positionV relativeFrom="page">
                <wp:posOffset>10513060</wp:posOffset>
              </wp:positionV>
              <wp:extent cx="133985" cy="103505"/>
              <wp:wrapNone/>
              <wp:docPr id="573" name="Shape 57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9" type="#_x0000_t202" style="position:absolute;margin-left:460.15000000000003pt;margin-top:827.80000000000007pt;width:10.550000000000001pt;height:8.1500000000000004pt;z-index:-1887436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6678930</wp:posOffset>
              </wp:positionH>
              <wp:positionV relativeFrom="page">
                <wp:posOffset>10028555</wp:posOffset>
              </wp:positionV>
              <wp:extent cx="155575" cy="82550"/>
              <wp:wrapNone/>
              <wp:docPr id="578" name="Shape 57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04" type="#_x0000_t202" style="position:absolute;margin-left:525.89999999999998pt;margin-top:789.64999999999998pt;width:12.25pt;height:6.5pt;z-index:-1887436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5843905</wp:posOffset>
              </wp:positionH>
              <wp:positionV relativeFrom="page">
                <wp:posOffset>10513060</wp:posOffset>
              </wp:positionV>
              <wp:extent cx="133985" cy="103505"/>
              <wp:wrapNone/>
              <wp:docPr id="580" name="Shape 58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6" type="#_x0000_t202" style="position:absolute;margin-left:460.15000000000003pt;margin-top:827.80000000000007pt;width:10.550000000000001pt;height:8.1500000000000004pt;z-index:-1887436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6752590</wp:posOffset>
              </wp:positionH>
              <wp:positionV relativeFrom="page">
                <wp:posOffset>9955530</wp:posOffset>
              </wp:positionV>
              <wp:extent cx="103505" cy="79375"/>
              <wp:wrapNone/>
              <wp:docPr id="585" name="Shape 58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11" type="#_x0000_t202" style="position:absolute;margin-left:531.70000000000005pt;margin-top:783.89999999999998pt;width:8.1500000000000004pt;height:6.25pt;z-index:-18874362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6993255</wp:posOffset>
              </wp:positionH>
              <wp:positionV relativeFrom="page">
                <wp:posOffset>10436860</wp:posOffset>
              </wp:positionV>
              <wp:extent cx="45720" cy="97790"/>
              <wp:wrapNone/>
              <wp:docPr id="587" name="Shape 58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3" type="#_x0000_t202" style="position:absolute;margin-left:550.64999999999998pt;margin-top:821.80000000000007pt;width:3.6000000000000001pt;height:7.7000000000000002pt;z-index:-1887436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6734175</wp:posOffset>
              </wp:positionH>
              <wp:positionV relativeFrom="page">
                <wp:posOffset>9952355</wp:posOffset>
              </wp:positionV>
              <wp:extent cx="106680" cy="82550"/>
              <wp:wrapNone/>
              <wp:docPr id="592" name="Shape 59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18" type="#_x0000_t202" style="position:absolute;margin-left:530.25pt;margin-top:783.64999999999998pt;width:8.4000000000000004pt;height:6.5pt;z-index:-18874362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6898640</wp:posOffset>
              </wp:positionH>
              <wp:positionV relativeFrom="page">
                <wp:posOffset>10436860</wp:posOffset>
              </wp:positionV>
              <wp:extent cx="42545" cy="97790"/>
              <wp:wrapNone/>
              <wp:docPr id="594" name="Shape 59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0" type="#_x0000_t202" style="position:absolute;margin-left:543.20000000000005pt;margin-top:821.80000000000007pt;width:3.3500000000000001pt;height:7.7000000000000002pt;z-index:-1887436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6734175</wp:posOffset>
              </wp:positionH>
              <wp:positionV relativeFrom="page">
                <wp:posOffset>9952355</wp:posOffset>
              </wp:positionV>
              <wp:extent cx="106680" cy="82550"/>
              <wp:wrapNone/>
              <wp:docPr id="599" name="Shape 599"/>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25" type="#_x0000_t202" style="position:absolute;margin-left:530.25pt;margin-top:783.64999999999998pt;width:8.4000000000000004pt;height:6.5pt;z-index:-1887436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6898640</wp:posOffset>
              </wp:positionH>
              <wp:positionV relativeFrom="page">
                <wp:posOffset>10436860</wp:posOffset>
              </wp:positionV>
              <wp:extent cx="42545" cy="97790"/>
              <wp:wrapNone/>
              <wp:docPr id="601" name="Shape 60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7" type="#_x0000_t202" style="position:absolute;margin-left:543.20000000000005pt;margin-top:821.80000000000007pt;width:3.3500000000000001pt;height:7.7000000000000002pt;z-index:-1887436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6678930</wp:posOffset>
              </wp:positionH>
              <wp:positionV relativeFrom="page">
                <wp:posOffset>10028555</wp:posOffset>
              </wp:positionV>
              <wp:extent cx="155575" cy="82550"/>
              <wp:wrapNone/>
              <wp:docPr id="621" name="Shape 621"/>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47" type="#_x0000_t202" style="position:absolute;margin-left:525.89999999999998pt;margin-top:789.64999999999998pt;width:12.25pt;height:6.5pt;z-index:-1887436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5843905</wp:posOffset>
              </wp:positionH>
              <wp:positionV relativeFrom="page">
                <wp:posOffset>10513060</wp:posOffset>
              </wp:positionV>
              <wp:extent cx="133985" cy="103505"/>
              <wp:wrapNone/>
              <wp:docPr id="623" name="Shape 6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9" type="#_x0000_t202" style="position:absolute;margin-left:460.15000000000003pt;margin-top:827.80000000000007pt;width:10.550000000000001pt;height:8.1500000000000004pt;z-index:-1887436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6678930</wp:posOffset>
              </wp:positionH>
              <wp:positionV relativeFrom="page">
                <wp:posOffset>10028555</wp:posOffset>
              </wp:positionV>
              <wp:extent cx="155575" cy="82550"/>
              <wp:wrapNone/>
              <wp:docPr id="628" name="Shape 628"/>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54" type="#_x0000_t202" style="position:absolute;margin-left:525.89999999999998pt;margin-top:789.64999999999998pt;width:12.25pt;height:6.5pt;z-index:-1887435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46464"/>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5843905</wp:posOffset>
              </wp:positionH>
              <wp:positionV relativeFrom="page">
                <wp:posOffset>10513060</wp:posOffset>
              </wp:positionV>
              <wp:extent cx="133985" cy="103505"/>
              <wp:wrapNone/>
              <wp:docPr id="630" name="Shape 6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6" type="#_x0000_t202" style="position:absolute;margin-left:460.15000000000003pt;margin-top:827.80000000000007pt;width:10.550000000000001pt;height:8.1500000000000004pt;z-index:-1887435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6728460</wp:posOffset>
              </wp:positionH>
              <wp:positionV relativeFrom="page">
                <wp:posOffset>9977120</wp:posOffset>
              </wp:positionV>
              <wp:extent cx="97790" cy="79375"/>
              <wp:wrapNone/>
              <wp:docPr id="635" name="Shape 6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61" type="#_x0000_t202" style="position:absolute;margin-left:529.79999999999995pt;margin-top:785.60000000000002pt;width:7.7000000000000002pt;height:6.25pt;z-index:-1887435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6728460</wp:posOffset>
              </wp:positionH>
              <wp:positionV relativeFrom="page">
                <wp:posOffset>9977120</wp:posOffset>
              </wp:positionV>
              <wp:extent cx="97790" cy="79375"/>
              <wp:wrapNone/>
              <wp:docPr id="640" name="Shape 6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529.79999999999995pt;margin-top:785.60000000000002pt;width:7.7000000000000002pt;height:6.25pt;z-index:-1887435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46464"/>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4502150</wp:posOffset>
              </wp:positionH>
              <wp:positionV relativeFrom="page">
                <wp:posOffset>478790</wp:posOffset>
              </wp:positionV>
              <wp:extent cx="2331720" cy="106680"/>
              <wp:wrapNone/>
              <wp:docPr id="2" name="Shape 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54.5pt;margin-top:37.700000000000003pt;width:183.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4528820</wp:posOffset>
              </wp:positionH>
              <wp:positionV relativeFrom="page">
                <wp:posOffset>554990</wp:posOffset>
              </wp:positionV>
              <wp:extent cx="2331720" cy="106680"/>
              <wp:wrapNone/>
              <wp:docPr id="48" name="Shape 4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4" type="#_x0000_t202" style="position:absolute;margin-left:356.60000000000002pt;margin-top:43.700000000000003pt;width:183.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4525645</wp:posOffset>
              </wp:positionH>
              <wp:positionV relativeFrom="page">
                <wp:posOffset>561340</wp:posOffset>
              </wp:positionV>
              <wp:extent cx="2331720" cy="106680"/>
              <wp:wrapNone/>
              <wp:docPr id="643" name="Shape 6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69" type="#_x0000_t202" style="position:absolute;margin-left:356.35000000000002pt;margin-top:44.200000000000003pt;width:183.59999999999999pt;height:8.4000000000000004pt;z-index:-1887435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645" name="Shape 6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4525645</wp:posOffset>
              </wp:positionH>
              <wp:positionV relativeFrom="page">
                <wp:posOffset>561340</wp:posOffset>
              </wp:positionV>
              <wp:extent cx="2331720" cy="106680"/>
              <wp:wrapNone/>
              <wp:docPr id="650" name="Shape 6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76" type="#_x0000_t202" style="position:absolute;margin-left:356.35000000000002pt;margin-top:44.200000000000003pt;width:183.59999999999999pt;height:8.4000000000000004pt;z-index:-1887435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652" name="Shape 6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4525645</wp:posOffset>
              </wp:positionH>
              <wp:positionV relativeFrom="page">
                <wp:posOffset>561340</wp:posOffset>
              </wp:positionV>
              <wp:extent cx="2331720" cy="106680"/>
              <wp:wrapNone/>
              <wp:docPr id="657" name="Shape 6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83" type="#_x0000_t202" style="position:absolute;margin-left:356.35000000000002pt;margin-top:44.200000000000003pt;width:183.59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659" name="Shape 6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4525645</wp:posOffset>
              </wp:positionH>
              <wp:positionV relativeFrom="page">
                <wp:posOffset>561340</wp:posOffset>
              </wp:positionV>
              <wp:extent cx="2331720" cy="106680"/>
              <wp:wrapNone/>
              <wp:docPr id="664" name="Shape 6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0" type="#_x0000_t202" style="position:absolute;margin-left:356.35000000000002pt;margin-top:44.200000000000003pt;width:183.59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666" name="Shape 6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4498975</wp:posOffset>
              </wp:positionH>
              <wp:positionV relativeFrom="page">
                <wp:posOffset>561340</wp:posOffset>
              </wp:positionV>
              <wp:extent cx="2331720" cy="106680"/>
              <wp:wrapNone/>
              <wp:docPr id="671" name="Shape 67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97" type="#_x0000_t202" style="position:absolute;margin-left:354.25pt;margin-top:44.200000000000003pt;width:183.59999999999999pt;height:8.4000000000000004pt;z-index:-1887435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73" name="Shape 6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4470400</wp:posOffset>
              </wp:positionH>
              <wp:positionV relativeFrom="page">
                <wp:posOffset>408305</wp:posOffset>
              </wp:positionV>
              <wp:extent cx="2331720" cy="106680"/>
              <wp:wrapNone/>
              <wp:docPr id="678" name="Shape 6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4" type="#_x0000_t202" style="position:absolute;margin-left:352.pt;margin-top:32.149999999999999pt;width:183.59999999999999pt;height:8.4000000000000004pt;z-index:-1887435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680" name="Shape 6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4470400</wp:posOffset>
              </wp:positionH>
              <wp:positionV relativeFrom="page">
                <wp:posOffset>408305</wp:posOffset>
              </wp:positionV>
              <wp:extent cx="2331720" cy="106680"/>
              <wp:wrapNone/>
              <wp:docPr id="683" name="Shape 6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09" type="#_x0000_t202" style="position:absolute;margin-left:352.pt;margin-top:32.149999999999999pt;width:183.59999999999999pt;height:8.4000000000000004pt;z-index:-1887435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685" name="Shape 6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4502150</wp:posOffset>
              </wp:positionH>
              <wp:positionV relativeFrom="page">
                <wp:posOffset>561340</wp:posOffset>
              </wp:positionV>
              <wp:extent cx="2331720" cy="106680"/>
              <wp:wrapNone/>
              <wp:docPr id="689" name="Shape 6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15" type="#_x0000_t202" style="position:absolute;margin-left:354.5pt;margin-top:44.200000000000003pt;width:183.59999999999999pt;height:8.4000000000000004pt;z-index:-1887435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4493260</wp:posOffset>
              </wp:positionH>
              <wp:positionV relativeFrom="page">
                <wp:posOffset>396240</wp:posOffset>
              </wp:positionV>
              <wp:extent cx="2331720" cy="106680"/>
              <wp:wrapNone/>
              <wp:docPr id="696" name="Shape 69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22" type="#_x0000_t202" style="position:absolute;margin-left:353.80000000000001pt;margin-top:31.199999999999999pt;width:183.59999999999999pt;height:8.4000000000000004pt;z-index:-1887435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698" name="Shape 6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4498975</wp:posOffset>
              </wp:positionH>
              <wp:positionV relativeFrom="page">
                <wp:posOffset>561340</wp:posOffset>
              </wp:positionV>
              <wp:extent cx="2331720" cy="106680"/>
              <wp:wrapNone/>
              <wp:docPr id="700" name="Shape 7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26" type="#_x0000_t202" style="position:absolute;margin-left:354.25pt;margin-top:44.200000000000003pt;width:183.59999999999999pt;height:8.4000000000000004pt;z-index:-1887435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702" name="Shape 7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4528820</wp:posOffset>
              </wp:positionH>
              <wp:positionV relativeFrom="page">
                <wp:posOffset>554990</wp:posOffset>
              </wp:positionV>
              <wp:extent cx="2331720" cy="106680"/>
              <wp:wrapNone/>
              <wp:docPr id="55" name="Shape 5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1" type="#_x0000_t202" style="position:absolute;margin-left:356.60000000000002pt;margin-top:43.700000000000003pt;width:183.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4498975</wp:posOffset>
              </wp:positionH>
              <wp:positionV relativeFrom="page">
                <wp:posOffset>561340</wp:posOffset>
              </wp:positionV>
              <wp:extent cx="2331720" cy="106680"/>
              <wp:wrapNone/>
              <wp:docPr id="707" name="Shape 7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33" type="#_x0000_t202" style="position:absolute;margin-left:354.25pt;margin-top:44.200000000000003pt;width:183.59999999999999pt;height:8.4000000000000004pt;z-index:-1887435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709" name="Shape 7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4493260</wp:posOffset>
              </wp:positionH>
              <wp:positionV relativeFrom="page">
                <wp:posOffset>396240</wp:posOffset>
              </wp:positionV>
              <wp:extent cx="2331720" cy="106680"/>
              <wp:wrapNone/>
              <wp:docPr id="714" name="Shape 7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0" type="#_x0000_t202" style="position:absolute;margin-left:353.80000000000001pt;margin-top:31.199999999999999pt;width:183.59999999999999pt;height:8.4000000000000004pt;z-index:-1887435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716" name="Shape 7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4493260</wp:posOffset>
              </wp:positionH>
              <wp:positionV relativeFrom="page">
                <wp:posOffset>396240</wp:posOffset>
              </wp:positionV>
              <wp:extent cx="2331720" cy="106680"/>
              <wp:wrapNone/>
              <wp:docPr id="717" name="Shape 7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43" type="#_x0000_t202" style="position:absolute;margin-left:353.80000000000001pt;margin-top:31.199999999999999pt;width:183.59999999999999pt;height:8.4000000000000004pt;z-index:-1887435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719" name="Shape 7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4499610</wp:posOffset>
              </wp:positionH>
              <wp:positionV relativeFrom="page">
                <wp:posOffset>561340</wp:posOffset>
              </wp:positionV>
              <wp:extent cx="2331720" cy="106680"/>
              <wp:wrapNone/>
              <wp:docPr id="721" name="Shape 72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47" type="#_x0000_t202" style="position:absolute;margin-left:354.30000000000001pt;margin-top:44.200000000000003pt;width:183.59999999999999pt;height:8.4000000000000004pt;z-index:-1887435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23" name="Shape 7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4499610</wp:posOffset>
              </wp:positionH>
              <wp:positionV relativeFrom="page">
                <wp:posOffset>561340</wp:posOffset>
              </wp:positionV>
              <wp:extent cx="2331720" cy="106680"/>
              <wp:wrapNone/>
              <wp:docPr id="728" name="Shape 72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54" type="#_x0000_t202" style="position:absolute;margin-left:354.30000000000001pt;margin-top:44.200000000000003pt;width:183.59999999999999pt;height:8.4000000000000004pt;z-index:-1887435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30" name="Shape 7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4498975</wp:posOffset>
              </wp:positionH>
              <wp:positionV relativeFrom="page">
                <wp:posOffset>561340</wp:posOffset>
              </wp:positionV>
              <wp:extent cx="2331720" cy="106680"/>
              <wp:wrapNone/>
              <wp:docPr id="735" name="Shape 73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1" type="#_x0000_t202" style="position:absolute;margin-left:354.25pt;margin-top:44.200000000000003pt;width:183.59999999999999pt;height:8.4000000000000004pt;z-index:-1887435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737" name="Shape 7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4498975</wp:posOffset>
              </wp:positionH>
              <wp:positionV relativeFrom="page">
                <wp:posOffset>561340</wp:posOffset>
              </wp:positionV>
              <wp:extent cx="2331720" cy="106680"/>
              <wp:wrapNone/>
              <wp:docPr id="742" name="Shape 74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68" type="#_x0000_t202" style="position:absolute;margin-left:354.25pt;margin-top:44.200000000000003pt;width:183.59999999999999pt;height:8.4000000000000004pt;z-index:-1887435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744" name="Shape 7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4470400</wp:posOffset>
              </wp:positionH>
              <wp:positionV relativeFrom="page">
                <wp:posOffset>408305</wp:posOffset>
              </wp:positionV>
              <wp:extent cx="2331720" cy="106680"/>
              <wp:wrapNone/>
              <wp:docPr id="749" name="Shape 74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75" type="#_x0000_t202" style="position:absolute;margin-left:352.pt;margin-top:32.149999999999999pt;width:183.59999999999999pt;height:8.4000000000000004pt;z-index:-1887434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751" name="Shape 7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4470400</wp:posOffset>
              </wp:positionH>
              <wp:positionV relativeFrom="page">
                <wp:posOffset>408305</wp:posOffset>
              </wp:positionV>
              <wp:extent cx="2331720" cy="106680"/>
              <wp:wrapNone/>
              <wp:docPr id="754" name="Shape 7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80" type="#_x0000_t202" style="position:absolute;margin-left:352.pt;margin-top:32.149999999999999pt;width:183.59999999999999pt;height:8.4000000000000004pt;z-index:-1887434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756" name="Shape 7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4493260</wp:posOffset>
              </wp:positionH>
              <wp:positionV relativeFrom="page">
                <wp:posOffset>396240</wp:posOffset>
              </wp:positionV>
              <wp:extent cx="2331720" cy="106680"/>
              <wp:wrapNone/>
              <wp:docPr id="760" name="Shape 76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786" type="#_x0000_t202" style="position:absolute;margin-left:353.80000000000001pt;margin-top:31.199999999999999pt;width:183.59999999999999pt;height:8.4000000000000004pt;z-index:-1887434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762" name="Shape 7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4497070</wp:posOffset>
              </wp:positionH>
              <wp:positionV relativeFrom="page">
                <wp:posOffset>579120</wp:posOffset>
              </wp:positionV>
              <wp:extent cx="2331720" cy="106680"/>
              <wp:wrapNone/>
              <wp:docPr id="62" name="Shape 6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8" type="#_x0000_t202" style="position:absolute;margin-left:354.10000000000002pt;margin-top:45.600000000000001pt;width:183.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723900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7.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4507865</wp:posOffset>
              </wp:positionH>
              <wp:positionV relativeFrom="page">
                <wp:posOffset>576580</wp:posOffset>
              </wp:positionV>
              <wp:extent cx="2331720" cy="106680"/>
              <wp:wrapNone/>
              <wp:docPr id="763" name="Shape 76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89" type="#_x0000_t202" style="position:absolute;margin-left:354.94999999999999pt;margin-top:45.399999999999999pt;width:183.59999999999999pt;height:8.4000000000000004pt;z-index:-1887434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701040</wp:posOffset>
              </wp:positionH>
              <wp:positionV relativeFrom="page">
                <wp:posOffset>720725</wp:posOffset>
              </wp:positionV>
              <wp:extent cx="6163310" cy="0"/>
              <wp:wrapNone/>
              <wp:docPr id="765" name="Shape 7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00000000000003pt;margin-top:56.75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4497705</wp:posOffset>
              </wp:positionH>
              <wp:positionV relativeFrom="page">
                <wp:posOffset>561340</wp:posOffset>
              </wp:positionV>
              <wp:extent cx="2331720" cy="106680"/>
              <wp:wrapNone/>
              <wp:docPr id="770" name="Shape 77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796" type="#_x0000_t202" style="position:absolute;margin-left:354.15000000000003pt;margin-top:44.200000000000003pt;width:183.59999999999999pt;height:8.4000000000000004pt;z-index:-1887434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772" name="Shape 7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4497705</wp:posOffset>
              </wp:positionH>
              <wp:positionV relativeFrom="page">
                <wp:posOffset>561340</wp:posOffset>
              </wp:positionV>
              <wp:extent cx="2331720" cy="106680"/>
              <wp:wrapNone/>
              <wp:docPr id="777" name="Shape 77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03" type="#_x0000_t202" style="position:absolute;margin-left:354.15000000000003pt;margin-top:44.200000000000003pt;width:183.59999999999999pt;height:8.4000000000000004pt;z-index:-1887434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779" name="Shape 7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4498975</wp:posOffset>
              </wp:positionH>
              <wp:positionV relativeFrom="page">
                <wp:posOffset>561340</wp:posOffset>
              </wp:positionV>
              <wp:extent cx="2331720" cy="106680"/>
              <wp:wrapNone/>
              <wp:docPr id="784" name="Shape 78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0" type="#_x0000_t202" style="position:absolute;margin-left:354.25pt;margin-top:44.200000000000003pt;width:183.59999999999999pt;height:8.4000000000000004pt;z-index:-18874347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786" name="Shape 7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4497705</wp:posOffset>
              </wp:positionH>
              <wp:positionV relativeFrom="page">
                <wp:posOffset>561340</wp:posOffset>
              </wp:positionV>
              <wp:extent cx="2331720" cy="106680"/>
              <wp:wrapNone/>
              <wp:docPr id="793" name="Shape 79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19" type="#_x0000_t202" style="position:absolute;margin-left:354.15000000000003pt;margin-top:44.200000000000003pt;width:183.59999999999999pt;height:8.4000000000000004pt;z-index:-1887434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795" name="Shape 7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4497705</wp:posOffset>
              </wp:positionH>
              <wp:positionV relativeFrom="page">
                <wp:posOffset>561340</wp:posOffset>
              </wp:positionV>
              <wp:extent cx="2331720" cy="106680"/>
              <wp:wrapNone/>
              <wp:docPr id="800" name="Shape 8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26" type="#_x0000_t202" style="position:absolute;margin-left:354.15000000000003pt;margin-top:44.200000000000003pt;width:183.59999999999999pt;height:8.4000000000000004pt;z-index:-1887434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02" name="Shape 8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4493260</wp:posOffset>
              </wp:positionH>
              <wp:positionV relativeFrom="page">
                <wp:posOffset>396240</wp:posOffset>
              </wp:positionV>
              <wp:extent cx="2331720" cy="106680"/>
              <wp:wrapNone/>
              <wp:docPr id="807" name="Shape 8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833" type="#_x0000_t202" style="position:absolute;margin-left:353.80000000000001pt;margin-top:31.199999999999999pt;width:183.59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809" name="Shape 8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4497705</wp:posOffset>
              </wp:positionH>
              <wp:positionV relativeFrom="page">
                <wp:posOffset>561340</wp:posOffset>
              </wp:positionV>
              <wp:extent cx="2331720" cy="106680"/>
              <wp:wrapNone/>
              <wp:docPr id="810" name="Shape 81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36" type="#_x0000_t202" style="position:absolute;margin-left:354.15000000000003pt;margin-top:44.200000000000003pt;width:183.59999999999999pt;height:8.4000000000000004pt;z-index:-1887434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12" name="Shape 8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4497705</wp:posOffset>
              </wp:positionH>
              <wp:positionV relativeFrom="page">
                <wp:posOffset>561340</wp:posOffset>
              </wp:positionV>
              <wp:extent cx="2331720" cy="106680"/>
              <wp:wrapNone/>
              <wp:docPr id="817" name="Shape 8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43" type="#_x0000_t202" style="position:absolute;margin-left:354.15000000000003pt;margin-top:44.200000000000003pt;width:183.59999999999999pt;height:8.4000000000000004pt;z-index:-1887434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4506595</wp:posOffset>
              </wp:positionH>
              <wp:positionV relativeFrom="page">
                <wp:posOffset>576580</wp:posOffset>
              </wp:positionV>
              <wp:extent cx="2331720" cy="106680"/>
              <wp:wrapNone/>
              <wp:docPr id="824" name="Shape 8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0" type="#_x0000_t202" style="position:absolute;margin-left:354.85000000000002pt;margin-top:45.399999999999999pt;width:183.59999999999999pt;height:8.4000000000000004pt;z-index:-1887434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720725</wp:posOffset>
              </wp:positionV>
              <wp:extent cx="6163310" cy="0"/>
              <wp:wrapNone/>
              <wp:docPr id="826" name="Shape 8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6.75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4497070</wp:posOffset>
              </wp:positionH>
              <wp:positionV relativeFrom="page">
                <wp:posOffset>579120</wp:posOffset>
              </wp:positionV>
              <wp:extent cx="2331720" cy="106680"/>
              <wp:wrapNone/>
              <wp:docPr id="67" name="Shape 6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3" type="#_x0000_t202" style="position:absolute;margin-left:354.10000000000002pt;margin-top:45.600000000000001pt;width:183.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723900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7.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4497705</wp:posOffset>
              </wp:positionH>
              <wp:positionV relativeFrom="page">
                <wp:posOffset>561340</wp:posOffset>
              </wp:positionV>
              <wp:extent cx="2331720" cy="106680"/>
              <wp:wrapNone/>
              <wp:docPr id="831" name="Shape 8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57" type="#_x0000_t202" style="position:absolute;margin-left:354.15000000000003pt;margin-top:44.200000000000003pt;width:183.59999999999999pt;height:8.4000000000000004pt;z-index:-1887434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4497705</wp:posOffset>
              </wp:positionH>
              <wp:positionV relativeFrom="page">
                <wp:posOffset>561340</wp:posOffset>
              </wp:positionV>
              <wp:extent cx="2331720" cy="106680"/>
              <wp:wrapNone/>
              <wp:docPr id="838" name="Shape 8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64" type="#_x0000_t202" style="position:absolute;margin-left:354.15000000000003pt;margin-top:44.200000000000003pt;width:183.59999999999999pt;height:8.4000000000000004pt;z-index:-1887434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40" name="Shape 8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4474845</wp:posOffset>
              </wp:positionH>
              <wp:positionV relativeFrom="page">
                <wp:posOffset>576580</wp:posOffset>
              </wp:positionV>
              <wp:extent cx="2331720" cy="106680"/>
              <wp:wrapNone/>
              <wp:docPr id="845" name="Shape 84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71" type="#_x0000_t202" style="position:absolute;margin-left:352.35000000000002pt;margin-top:45.399999999999999pt;width:183.59999999999999pt;height:8.4000000000000004pt;z-index:-1887434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720725</wp:posOffset>
              </wp:positionV>
              <wp:extent cx="6163310" cy="0"/>
              <wp:wrapNone/>
              <wp:docPr id="847" name="Shape 8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6.75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4497705</wp:posOffset>
              </wp:positionH>
              <wp:positionV relativeFrom="page">
                <wp:posOffset>561340</wp:posOffset>
              </wp:positionV>
              <wp:extent cx="2331720" cy="106680"/>
              <wp:wrapNone/>
              <wp:docPr id="854" name="Shape 8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0" type="#_x0000_t202" style="position:absolute;margin-left:354.15000000000003pt;margin-top:44.200000000000003pt;width:183.59999999999999pt;height:8.4000000000000004pt;z-index:-18874341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56" name="Shape 8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4497705</wp:posOffset>
              </wp:positionH>
              <wp:positionV relativeFrom="page">
                <wp:posOffset>561340</wp:posOffset>
              </wp:positionV>
              <wp:extent cx="2331720" cy="106680"/>
              <wp:wrapNone/>
              <wp:docPr id="861" name="Shape 8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87" type="#_x0000_t202" style="position:absolute;margin-left:354.15000000000003pt;margin-top:44.200000000000003pt;width:183.59999999999999pt;height:8.4000000000000004pt;z-index:-18874340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63" name="Shape 8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4474845</wp:posOffset>
              </wp:positionH>
              <wp:positionV relativeFrom="page">
                <wp:posOffset>576580</wp:posOffset>
              </wp:positionV>
              <wp:extent cx="2331720" cy="106680"/>
              <wp:wrapNone/>
              <wp:docPr id="868" name="Shape 8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894" type="#_x0000_t202" style="position:absolute;margin-left:352.35000000000002pt;margin-top:45.399999999999999pt;width:183.59999999999999pt;height:8.4000000000000004pt;z-index:-1887434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720725</wp:posOffset>
              </wp:positionV>
              <wp:extent cx="6163310" cy="0"/>
              <wp:wrapNone/>
              <wp:docPr id="870" name="Shape 8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6.75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4493260</wp:posOffset>
              </wp:positionH>
              <wp:positionV relativeFrom="page">
                <wp:posOffset>396240</wp:posOffset>
              </wp:positionV>
              <wp:extent cx="2331720" cy="106680"/>
              <wp:wrapNone/>
              <wp:docPr id="875" name="Shape 87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01" type="#_x0000_t202" style="position:absolute;margin-left:353.80000000000001pt;margin-top:31.199999999999999pt;width:183.59999999999999pt;height:8.4000000000000004pt;z-index:-1887433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877" name="Shape 8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8" behindDoc="1" locked="0" layoutInCell="1" allowOverlap="1">
              <wp:simplePos x="0" y="0"/>
              <wp:positionH relativeFrom="page">
                <wp:posOffset>4493260</wp:posOffset>
              </wp:positionH>
              <wp:positionV relativeFrom="page">
                <wp:posOffset>396240</wp:posOffset>
              </wp:positionV>
              <wp:extent cx="2331720" cy="106680"/>
              <wp:wrapNone/>
              <wp:docPr id="878" name="Shape 8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04" type="#_x0000_t202" style="position:absolute;margin-left:353.80000000000001pt;margin-top:31.199999999999999pt;width:183.59999999999999pt;height:8.4000000000000004pt;z-index:-1887433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880" name="Shape 8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4497705</wp:posOffset>
              </wp:positionH>
              <wp:positionV relativeFrom="page">
                <wp:posOffset>561340</wp:posOffset>
              </wp:positionV>
              <wp:extent cx="2331720" cy="106680"/>
              <wp:wrapNone/>
              <wp:docPr id="882" name="Shape 8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08" type="#_x0000_t202" style="position:absolute;margin-left:354.15000000000003pt;margin-top:44.200000000000003pt;width:183.59999999999999pt;height:8.4000000000000004pt;z-index:-1887433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84" name="Shape 8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4497705</wp:posOffset>
              </wp:positionH>
              <wp:positionV relativeFrom="page">
                <wp:posOffset>561340</wp:posOffset>
              </wp:positionV>
              <wp:extent cx="2331720" cy="106680"/>
              <wp:wrapNone/>
              <wp:docPr id="889" name="Shape 8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15" type="#_x0000_t202" style="position:absolute;margin-left:354.15000000000003pt;margin-top:44.200000000000003pt;width:183.59999999999999pt;height:8.4000000000000004pt;z-index:-1887433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720725</wp:posOffset>
              </wp:positionV>
              <wp:extent cx="6163310" cy="0"/>
              <wp:wrapNone/>
              <wp:docPr id="891" name="Shape 8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6.75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4470400</wp:posOffset>
              </wp:positionH>
              <wp:positionV relativeFrom="page">
                <wp:posOffset>408305</wp:posOffset>
              </wp:positionV>
              <wp:extent cx="2331720" cy="106680"/>
              <wp:wrapNone/>
              <wp:docPr id="72" name="Shape 7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98" type="#_x0000_t202" style="position:absolute;margin-left:352.pt;margin-top:32.149999999999999pt;width:183.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4500245</wp:posOffset>
              </wp:positionH>
              <wp:positionV relativeFrom="page">
                <wp:posOffset>561340</wp:posOffset>
              </wp:positionV>
              <wp:extent cx="2331720" cy="106680"/>
              <wp:wrapNone/>
              <wp:docPr id="896" name="Shape 89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2" type="#_x0000_t202" style="position:absolute;margin-left:354.35000000000002pt;margin-top:44.200000000000003pt;width:183.59999999999999pt;height:8.4000000000000004pt;z-index:-18874338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898" name="Shape 8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8" behindDoc="1" locked="0" layoutInCell="1" allowOverlap="1">
              <wp:simplePos x="0" y="0"/>
              <wp:positionH relativeFrom="page">
                <wp:posOffset>4527550</wp:posOffset>
              </wp:positionH>
              <wp:positionV relativeFrom="page">
                <wp:posOffset>561340</wp:posOffset>
              </wp:positionV>
              <wp:extent cx="2331720" cy="106680"/>
              <wp:wrapNone/>
              <wp:docPr id="903" name="Shape 90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29" type="#_x0000_t202" style="position:absolute;margin-left:356.5pt;margin-top:44.200000000000003pt;width:183.59999999999999pt;height:8.4000000000000004pt;z-index:-1887433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706120</wp:posOffset>
              </wp:positionV>
              <wp:extent cx="6163310" cy="0"/>
              <wp:wrapNone/>
              <wp:docPr id="905" name="Shape 9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4" behindDoc="1" locked="0" layoutInCell="1" allowOverlap="1">
              <wp:simplePos x="0" y="0"/>
              <wp:positionH relativeFrom="page">
                <wp:posOffset>4527550</wp:posOffset>
              </wp:positionH>
              <wp:positionV relativeFrom="page">
                <wp:posOffset>561340</wp:posOffset>
              </wp:positionV>
              <wp:extent cx="2331720" cy="106680"/>
              <wp:wrapNone/>
              <wp:docPr id="910" name="Shape 91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936" type="#_x0000_t202" style="position:absolute;margin-left:356.5pt;margin-top:44.200000000000003pt;width:183.59999999999999pt;height:8.4000000000000004pt;z-index:-1887433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720725</wp:posOffset>
              </wp:positionH>
              <wp:positionV relativeFrom="page">
                <wp:posOffset>706120</wp:posOffset>
              </wp:positionV>
              <wp:extent cx="6163310" cy="0"/>
              <wp:wrapNone/>
              <wp:docPr id="912" name="Shape 9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75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0" behindDoc="1" locked="0" layoutInCell="1" allowOverlap="1">
              <wp:simplePos x="0" y="0"/>
              <wp:positionH relativeFrom="page">
                <wp:posOffset>4493260</wp:posOffset>
              </wp:positionH>
              <wp:positionV relativeFrom="page">
                <wp:posOffset>396240</wp:posOffset>
              </wp:positionV>
              <wp:extent cx="2331720" cy="106680"/>
              <wp:wrapNone/>
              <wp:docPr id="919" name="Shape 9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5" type="#_x0000_t202" style="position:absolute;margin-left:353.80000000000001pt;margin-top:31.199999999999999pt;width:183.59999999999999pt;height:8.4000000000000004pt;z-index:-1887433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921" name="Shape 9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2" behindDoc="1" locked="0" layoutInCell="1" allowOverlap="1">
              <wp:simplePos x="0" y="0"/>
              <wp:positionH relativeFrom="page">
                <wp:posOffset>4493260</wp:posOffset>
              </wp:positionH>
              <wp:positionV relativeFrom="page">
                <wp:posOffset>396240</wp:posOffset>
              </wp:positionV>
              <wp:extent cx="2331720" cy="106680"/>
              <wp:wrapNone/>
              <wp:docPr id="922" name="Shape 92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948" type="#_x0000_t202" style="position:absolute;margin-left:353.80000000000001pt;margin-top:31.199999999999999pt;width:183.59999999999999pt;height:8.4000000000000004pt;z-index:-1887433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924" name="Shape 9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4517390</wp:posOffset>
              </wp:positionH>
              <wp:positionV relativeFrom="page">
                <wp:posOffset>554990</wp:posOffset>
              </wp:positionV>
              <wp:extent cx="2331720" cy="106680"/>
              <wp:wrapNone/>
              <wp:docPr id="77" name="Shape 7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3" type="#_x0000_t202" style="position:absolute;margin-left:355.69999999999999pt;margin-top:43.700000000000003pt;width:183.59999999999999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716280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6.399999999999999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4493260</wp:posOffset>
              </wp:positionH>
              <wp:positionV relativeFrom="page">
                <wp:posOffset>396240</wp:posOffset>
              </wp:positionV>
              <wp:extent cx="2331720" cy="106680"/>
              <wp:wrapNone/>
              <wp:docPr id="84" name="Shape 8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0" type="#_x0000_t202" style="position:absolute;margin-left:353.80000000000001pt;margin-top:31.199999999999999pt;width:183.59999999999999pt;height:8.4000000000000004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4528820</wp:posOffset>
              </wp:positionH>
              <wp:positionV relativeFrom="page">
                <wp:posOffset>554990</wp:posOffset>
              </wp:positionV>
              <wp:extent cx="2331720" cy="106680"/>
              <wp:wrapNone/>
              <wp:docPr id="87" name="Shape 8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3" type="#_x0000_t202" style="position:absolute;margin-left:356.60000000000002pt;margin-top:43.700000000000003pt;width:183.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4528820</wp:posOffset>
              </wp:positionH>
              <wp:positionV relativeFrom="page">
                <wp:posOffset>554990</wp:posOffset>
              </wp:positionV>
              <wp:extent cx="2331720" cy="106680"/>
              <wp:wrapNone/>
              <wp:docPr id="94" name="Shape 9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0" type="#_x0000_t202" style="position:absolute;margin-left:356.60000000000002pt;margin-top:43.700000000000003pt;width:183.5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4517390</wp:posOffset>
              </wp:positionH>
              <wp:positionV relativeFrom="page">
                <wp:posOffset>554990</wp:posOffset>
              </wp:positionV>
              <wp:extent cx="2331720" cy="106680"/>
              <wp:wrapNone/>
              <wp:docPr id="101" name="Shape 10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7" type="#_x0000_t202" style="position:absolute;margin-left:355.69999999999999pt;margin-top:43.700000000000003pt;width:183.5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716280</wp:posOffset>
              </wp:positionV>
              <wp:extent cx="6163310" cy="0"/>
              <wp:wrapNone/>
              <wp:docPr id="103" name="Shape 1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6.399999999999999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4502150</wp:posOffset>
              </wp:positionH>
              <wp:positionV relativeFrom="page">
                <wp:posOffset>478790</wp:posOffset>
              </wp:positionV>
              <wp:extent cx="2331720" cy="106680"/>
              <wp:wrapNone/>
              <wp:docPr id="9" name="Shape 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5" type="#_x0000_t202" style="position:absolute;margin-left:354.5pt;margin-top:37.700000000000003pt;width:183.5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1" name="Shape 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4517390</wp:posOffset>
              </wp:positionH>
              <wp:positionV relativeFrom="page">
                <wp:posOffset>554990</wp:posOffset>
              </wp:positionV>
              <wp:extent cx="2331720" cy="106680"/>
              <wp:wrapNone/>
              <wp:docPr id="108" name="Shape 10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55.69999999999999pt;margin-top:43.700000000000003pt;width:183.59999999999999pt;height:8.4000000000000004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716280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6.399999999999999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4528820</wp:posOffset>
              </wp:positionH>
              <wp:positionV relativeFrom="page">
                <wp:posOffset>554990</wp:posOffset>
              </wp:positionV>
              <wp:extent cx="2331720" cy="106680"/>
              <wp:wrapNone/>
              <wp:docPr id="115" name="Shape 11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1" type="#_x0000_t202" style="position:absolute;margin-left:356.60000000000002pt;margin-top:43.700000000000003pt;width:183.59999999999999pt;height:8.4000000000000004pt;z-index:-1887439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117" name="Shape 1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4432300</wp:posOffset>
              </wp:positionH>
              <wp:positionV relativeFrom="page">
                <wp:posOffset>554990</wp:posOffset>
              </wp:positionV>
              <wp:extent cx="2331720" cy="106680"/>
              <wp:wrapNone/>
              <wp:docPr id="122" name="Shape 12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48" type="#_x0000_t202" style="position:absolute;margin-left:349.pt;margin-top:43.700000000000003pt;width:183.59999999999999pt;height:8.4000000000000004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625475</wp:posOffset>
              </wp:positionH>
              <wp:positionV relativeFrom="page">
                <wp:posOffset>699770</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25pt;margin-top:55.1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4432300</wp:posOffset>
              </wp:positionH>
              <wp:positionV relativeFrom="page">
                <wp:posOffset>554990</wp:posOffset>
              </wp:positionV>
              <wp:extent cx="2331720" cy="106680"/>
              <wp:wrapNone/>
              <wp:docPr id="127" name="Shape 12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3" type="#_x0000_t202" style="position:absolute;margin-left:349.pt;margin-top:43.700000000000003pt;width:183.59999999999999pt;height:8.4000000000000004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625475</wp:posOffset>
              </wp:positionH>
              <wp:positionV relativeFrom="page">
                <wp:posOffset>699770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25pt;margin-top:55.1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4429760</wp:posOffset>
              </wp:positionH>
              <wp:positionV relativeFrom="page">
                <wp:posOffset>580390</wp:posOffset>
              </wp:positionV>
              <wp:extent cx="2331720" cy="106680"/>
              <wp:wrapNone/>
              <wp:docPr id="132" name="Shape 13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58" type="#_x0000_t202" style="position:absolute;margin-left:348.80000000000001pt;margin-top:45.700000000000003pt;width:183.59999999999999pt;height:8.4000000000000004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622300</wp:posOffset>
              </wp:positionH>
              <wp:positionV relativeFrom="page">
                <wp:posOffset>725170</wp:posOffset>
              </wp:positionV>
              <wp:extent cx="6163310" cy="0"/>
              <wp:wrapNone/>
              <wp:docPr id="134" name="Shape 1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pt;margin-top:57.1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4528820</wp:posOffset>
              </wp:positionH>
              <wp:positionV relativeFrom="page">
                <wp:posOffset>554990</wp:posOffset>
              </wp:positionV>
              <wp:extent cx="2331720" cy="106680"/>
              <wp:wrapNone/>
              <wp:docPr id="137" name="Shape 13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3" type="#_x0000_t202" style="position:absolute;margin-left:356.60000000000002pt;margin-top:43.700000000000003pt;width:183.59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139" name="Shape 1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4517390</wp:posOffset>
              </wp:positionH>
              <wp:positionV relativeFrom="page">
                <wp:posOffset>554990</wp:posOffset>
              </wp:positionV>
              <wp:extent cx="2331720" cy="106680"/>
              <wp:wrapNone/>
              <wp:docPr id="144" name="Shape 14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0" type="#_x0000_t202" style="position:absolute;margin-left:355.69999999999999pt;margin-top:43.700000000000003pt;width:183.59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709930</wp:posOffset>
              </wp:positionH>
              <wp:positionV relativeFrom="page">
                <wp:posOffset>716280</wp:posOffset>
              </wp:positionV>
              <wp:extent cx="6163310" cy="0"/>
              <wp:wrapNone/>
              <wp:docPr id="146" name="Shape 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99999999999999pt;margin-top:56.399999999999999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4528820</wp:posOffset>
              </wp:positionH>
              <wp:positionV relativeFrom="page">
                <wp:posOffset>554990</wp:posOffset>
              </wp:positionV>
              <wp:extent cx="2331720" cy="106680"/>
              <wp:wrapNone/>
              <wp:docPr id="151" name="Shape 15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7" type="#_x0000_t202" style="position:absolute;margin-left:356.60000000000002pt;margin-top:43.700000000000003pt;width:183.59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153" name="Shape 1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4528820</wp:posOffset>
              </wp:positionH>
              <wp:positionV relativeFrom="page">
                <wp:posOffset>554990</wp:posOffset>
              </wp:positionV>
              <wp:extent cx="2331720" cy="106680"/>
              <wp:wrapNone/>
              <wp:docPr id="158" name="Shape 1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4" type="#_x0000_t202" style="position:absolute;margin-left:356.60000000000002pt;margin-top:43.700000000000003pt;width:183.59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4470400</wp:posOffset>
              </wp:positionH>
              <wp:positionV relativeFrom="page">
                <wp:posOffset>408305</wp:posOffset>
              </wp:positionV>
              <wp:extent cx="2331720" cy="106680"/>
              <wp:wrapNone/>
              <wp:docPr id="165" name="Shape 16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1" type="#_x0000_t202" style="position:absolute;margin-left:352.pt;margin-top:32.149999999999999pt;width:183.59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4493260</wp:posOffset>
              </wp:positionH>
              <wp:positionV relativeFrom="page">
                <wp:posOffset>396240</wp:posOffset>
              </wp:positionV>
              <wp:extent cx="2331720" cy="106680"/>
              <wp:wrapNone/>
              <wp:docPr id="18" name="Shape 1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4" type="#_x0000_t202" style="position:absolute;margin-left:353.80000000000001pt;margin-top:31.199999999999999pt;width:183.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4470400</wp:posOffset>
              </wp:positionH>
              <wp:positionV relativeFrom="page">
                <wp:posOffset>408305</wp:posOffset>
              </wp:positionV>
              <wp:extent cx="2331720" cy="106680"/>
              <wp:wrapNone/>
              <wp:docPr id="170" name="Shape 17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6" type="#_x0000_t202" style="position:absolute;margin-left:352.pt;margin-top:32.149999999999999pt;width:183.59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172" name="Shape 1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4470400</wp:posOffset>
              </wp:positionH>
              <wp:positionV relativeFrom="page">
                <wp:posOffset>408305</wp:posOffset>
              </wp:positionV>
              <wp:extent cx="2331720" cy="106680"/>
              <wp:wrapNone/>
              <wp:docPr id="175" name="Shape 17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1" type="#_x0000_t202" style="position:absolute;margin-left:352.pt;margin-top:32.149999999999999pt;width:183.59999999999999pt;height:8.4000000000000004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177" name="Shape 1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4470400</wp:posOffset>
              </wp:positionH>
              <wp:positionV relativeFrom="page">
                <wp:posOffset>408305</wp:posOffset>
              </wp:positionV>
              <wp:extent cx="2331720" cy="106680"/>
              <wp:wrapNone/>
              <wp:docPr id="180" name="Shape 18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6" type="#_x0000_t202" style="position:absolute;margin-left:352.pt;margin-top:32.149999999999999pt;width:183.59999999999999pt;height:8.4000000000000004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182" name="Shape 1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4521200</wp:posOffset>
              </wp:positionH>
              <wp:positionV relativeFrom="page">
                <wp:posOffset>556895</wp:posOffset>
              </wp:positionV>
              <wp:extent cx="2331720" cy="106680"/>
              <wp:wrapNone/>
              <wp:docPr id="185" name="Shape 18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1" type="#_x0000_t202" style="position:absolute;margin-left:356.pt;margin-top:43.850000000000001pt;width:183.59999999999999pt;height:8.4000000000000004pt;z-index:-1887439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701675</wp:posOffset>
              </wp:positionV>
              <wp:extent cx="6163310" cy="0"/>
              <wp:wrapNone/>
              <wp:docPr id="187" name="Shape 1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5pt;margin-top:55.25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4528820</wp:posOffset>
              </wp:positionH>
              <wp:positionV relativeFrom="page">
                <wp:posOffset>554990</wp:posOffset>
              </wp:positionV>
              <wp:extent cx="2331720" cy="106680"/>
              <wp:wrapNone/>
              <wp:docPr id="191" name="Shape 19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7" type="#_x0000_t202" style="position:absolute;margin-left:356.60000000000002pt;margin-top:43.700000000000003pt;width:183.59999999999999pt;height:8.4000000000000004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193" name="Shape 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4528820</wp:posOffset>
              </wp:positionH>
              <wp:positionV relativeFrom="page">
                <wp:posOffset>554990</wp:posOffset>
              </wp:positionV>
              <wp:extent cx="2331720" cy="106680"/>
              <wp:wrapNone/>
              <wp:docPr id="198" name="Shape 19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4" type="#_x0000_t202" style="position:absolute;margin-left:356.60000000000002pt;margin-top:43.700000000000003pt;width:183.59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4426585</wp:posOffset>
              </wp:positionH>
              <wp:positionV relativeFrom="page">
                <wp:posOffset>556895</wp:posOffset>
              </wp:positionV>
              <wp:extent cx="2331720" cy="106680"/>
              <wp:wrapNone/>
              <wp:docPr id="206" name="Shape 20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2" type="#_x0000_t202" style="position:absolute;margin-left:348.55000000000001pt;margin-top:43.850000000000001pt;width:183.59999999999999pt;height:8.4000000000000004pt;z-index:-1887439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208" name="Shape 2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4426585</wp:posOffset>
              </wp:positionH>
              <wp:positionV relativeFrom="page">
                <wp:posOffset>556895</wp:posOffset>
              </wp:positionV>
              <wp:extent cx="2331720" cy="106680"/>
              <wp:wrapNone/>
              <wp:docPr id="213" name="Shape 21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9" type="#_x0000_t202" style="position:absolute;margin-left:348.55000000000001pt;margin-top:43.850000000000001pt;width:183.59999999999999pt;height:8.4000000000000004pt;z-index:-1887438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215" name="Shape 2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4426585</wp:posOffset>
              </wp:positionH>
              <wp:positionV relativeFrom="page">
                <wp:posOffset>608330</wp:posOffset>
              </wp:positionV>
              <wp:extent cx="2331720" cy="106680"/>
              <wp:wrapNone/>
              <wp:docPr id="220" name="Shape 22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6" type="#_x0000_t202" style="position:absolute;margin-left:348.55000000000001pt;margin-top:47.899999999999999pt;width:183.59999999999999pt;height:8.4000000000000004pt;z-index:-1887438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752475</wp:posOffset>
              </wp:positionV>
              <wp:extent cx="6163310" cy="0"/>
              <wp:wrapNone/>
              <wp:docPr id="222" name="Shape 2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9.25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4426585</wp:posOffset>
              </wp:positionH>
              <wp:positionV relativeFrom="page">
                <wp:posOffset>556895</wp:posOffset>
              </wp:positionV>
              <wp:extent cx="2331720" cy="106680"/>
              <wp:wrapNone/>
              <wp:docPr id="225" name="Shape 2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1" type="#_x0000_t202" style="position:absolute;margin-left:348.55000000000001pt;margin-top:43.850000000000001pt;width:183.59999999999999pt;height:8.4000000000000004pt;z-index:-1887438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4493260</wp:posOffset>
              </wp:positionH>
              <wp:positionV relativeFrom="page">
                <wp:posOffset>396240</wp:posOffset>
              </wp:positionV>
              <wp:extent cx="2331720" cy="106680"/>
              <wp:wrapNone/>
              <wp:docPr id="21" name="Shape 2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7" type="#_x0000_t202" style="position:absolute;margin-left:353.80000000000001pt;margin-top:31.199999999999999pt;width:183.59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4426585</wp:posOffset>
              </wp:positionH>
              <wp:positionV relativeFrom="page">
                <wp:posOffset>556895</wp:posOffset>
              </wp:positionV>
              <wp:extent cx="2331720" cy="106680"/>
              <wp:wrapNone/>
              <wp:docPr id="232" name="Shape 23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8" type="#_x0000_t202" style="position:absolute;margin-left:348.55000000000001pt;margin-top:43.850000000000001pt;width:183.59999999999999pt;height:8.4000000000000004pt;z-index:-1887438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4528820</wp:posOffset>
              </wp:positionH>
              <wp:positionV relativeFrom="page">
                <wp:posOffset>554990</wp:posOffset>
              </wp:positionV>
              <wp:extent cx="2331720" cy="106680"/>
              <wp:wrapNone/>
              <wp:docPr id="239" name="Shape 23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65" type="#_x0000_t202" style="position:absolute;margin-left:356.60000000000002pt;margin-top:43.700000000000003pt;width:183.59999999999999pt;height:8.4000000000000004pt;z-index:-1887438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699770</wp:posOffset>
              </wp:positionV>
              <wp:extent cx="6163310" cy="0"/>
              <wp:wrapNone/>
              <wp:docPr id="241" name="Shape 2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5.1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4470400</wp:posOffset>
              </wp:positionH>
              <wp:positionV relativeFrom="page">
                <wp:posOffset>408305</wp:posOffset>
              </wp:positionV>
              <wp:extent cx="2331720" cy="106680"/>
              <wp:wrapNone/>
              <wp:docPr id="247" name="Shape 24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3" type="#_x0000_t202" style="position:absolute;margin-left:352.pt;margin-top:32.149999999999999pt;width:183.59999999999999pt;height:8.4000000000000004pt;z-index:-1887438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249" name="Shape 2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4470400</wp:posOffset>
              </wp:positionH>
              <wp:positionV relativeFrom="page">
                <wp:posOffset>408305</wp:posOffset>
              </wp:positionV>
              <wp:extent cx="2331720" cy="106680"/>
              <wp:wrapNone/>
              <wp:docPr id="252" name="Shape 25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8" type="#_x0000_t202" style="position:absolute;margin-left:352.pt;margin-top:32.149999999999999pt;width:183.59999999999999pt;height:8.4000000000000004pt;z-index:-1887438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254" name="Shape 2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4493260</wp:posOffset>
              </wp:positionH>
              <wp:positionV relativeFrom="page">
                <wp:posOffset>396240</wp:posOffset>
              </wp:positionV>
              <wp:extent cx="2331720" cy="106680"/>
              <wp:wrapNone/>
              <wp:docPr id="258" name="Shape 2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4" type="#_x0000_t202" style="position:absolute;margin-left:353.80000000000001pt;margin-top:31.199999999999999pt;width:183.59999999999999pt;height:8.4000000000000004pt;z-index:-1887438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60" name="Shape 2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4493260</wp:posOffset>
              </wp:positionH>
              <wp:positionV relativeFrom="page">
                <wp:posOffset>396240</wp:posOffset>
              </wp:positionV>
              <wp:extent cx="2331720" cy="106680"/>
              <wp:wrapNone/>
              <wp:docPr id="261" name="Shape 2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7" type="#_x0000_t202" style="position:absolute;margin-left:353.80000000000001pt;margin-top:31.199999999999999pt;width:183.59999999999999pt;height:8.4000000000000004pt;z-index:-1887438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63" name="Shape 2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4426585</wp:posOffset>
              </wp:positionH>
              <wp:positionV relativeFrom="page">
                <wp:posOffset>556895</wp:posOffset>
              </wp:positionV>
              <wp:extent cx="2331720" cy="106680"/>
              <wp:wrapNone/>
              <wp:docPr id="268" name="Shape 2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4" type="#_x0000_t202" style="position:absolute;margin-left:348.55000000000001pt;margin-top:43.850000000000001pt;width:183.59999999999999pt;height:8.4000000000000004pt;z-index:-1887438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270" name="Shape 2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4426585</wp:posOffset>
              </wp:positionH>
              <wp:positionV relativeFrom="page">
                <wp:posOffset>556895</wp:posOffset>
              </wp:positionV>
              <wp:extent cx="2331720" cy="106680"/>
              <wp:wrapNone/>
              <wp:docPr id="275" name="Shape 27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1" type="#_x0000_t202" style="position:absolute;margin-left:348.55000000000001pt;margin-top:43.850000000000001pt;width:183.59999999999999pt;height:8.4000000000000004pt;z-index:-1887438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277" name="Shape 2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4470400</wp:posOffset>
              </wp:positionH>
              <wp:positionV relativeFrom="page">
                <wp:posOffset>408305</wp:posOffset>
              </wp:positionV>
              <wp:extent cx="2331720" cy="106680"/>
              <wp:wrapNone/>
              <wp:docPr id="282" name="Shape 2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08" type="#_x0000_t202" style="position:absolute;margin-left:352.pt;margin-top:32.149999999999999pt;width:183.59999999999999pt;height:8.4000000000000004pt;z-index:-1887438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284" name="Shape 2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4470400</wp:posOffset>
              </wp:positionH>
              <wp:positionV relativeFrom="page">
                <wp:posOffset>408305</wp:posOffset>
              </wp:positionV>
              <wp:extent cx="2331720" cy="106680"/>
              <wp:wrapNone/>
              <wp:docPr id="287" name="Shape 28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3" type="#_x0000_t202" style="position:absolute;margin-left:352.pt;margin-top:32.149999999999999pt;width:183.59999999999999pt;height:8.4000000000000004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289" name="Shape 2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4493260</wp:posOffset>
              </wp:positionH>
              <wp:positionV relativeFrom="page">
                <wp:posOffset>396240</wp:posOffset>
              </wp:positionV>
              <wp:extent cx="2331720" cy="106680"/>
              <wp:wrapNone/>
              <wp:docPr id="25" name="Shape 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1" type="#_x0000_t202" style="position:absolute;margin-left:353.80000000000001pt;margin-top:31.199999999999999pt;width:183.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4493260</wp:posOffset>
              </wp:positionH>
              <wp:positionV relativeFrom="page">
                <wp:posOffset>396240</wp:posOffset>
              </wp:positionV>
              <wp:extent cx="2331720" cy="106680"/>
              <wp:wrapNone/>
              <wp:docPr id="292" name="Shape 29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18" type="#_x0000_t202" style="position:absolute;margin-left:353.80000000000001pt;margin-top:31.199999999999999pt;width:183.59999999999999pt;height:8.4000000000000004pt;z-index:-1887438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294" name="Shape 2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4448810</wp:posOffset>
              </wp:positionH>
              <wp:positionV relativeFrom="page">
                <wp:posOffset>591185</wp:posOffset>
              </wp:positionV>
              <wp:extent cx="2331720" cy="106680"/>
              <wp:wrapNone/>
              <wp:docPr id="295" name="Shape 2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1" type="#_x0000_t202" style="position:absolute;margin-left:350.30000000000001pt;margin-top:46.550000000000004pt;width:183.59999999999999pt;height:8.4000000000000004pt;z-index:-1887438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735965</wp:posOffset>
              </wp:positionV>
              <wp:extent cx="6163310" cy="0"/>
              <wp:wrapNone/>
              <wp:docPr id="297" name="Shape 2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7.950000000000003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4448810</wp:posOffset>
              </wp:positionH>
              <wp:positionV relativeFrom="page">
                <wp:posOffset>591185</wp:posOffset>
              </wp:positionV>
              <wp:extent cx="2331720" cy="106680"/>
              <wp:wrapNone/>
              <wp:docPr id="300" name="Shape 3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6" type="#_x0000_t202" style="position:absolute;margin-left:350.30000000000001pt;margin-top:46.550000000000004pt;width:183.59999999999999pt;height:8.4000000000000004pt;z-index:-1887438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735965</wp:posOffset>
              </wp:positionV>
              <wp:extent cx="6163310" cy="0"/>
              <wp:wrapNone/>
              <wp:docPr id="302" name="Shape 3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7.950000000000003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4457700</wp:posOffset>
              </wp:positionH>
              <wp:positionV relativeFrom="page">
                <wp:posOffset>581660</wp:posOffset>
              </wp:positionV>
              <wp:extent cx="2331720" cy="106680"/>
              <wp:wrapNone/>
              <wp:docPr id="305" name="Shape 30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1" type="#_x0000_t202" style="position:absolute;margin-left:351.pt;margin-top:45.800000000000004pt;width:183.59999999999999pt;height:8.4000000000000004pt;z-index:-1887438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726440</wp:posOffset>
              </wp:positionV>
              <wp:extent cx="6163310" cy="0"/>
              <wp:wrapNone/>
              <wp:docPr id="307" name="Shape 3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5pt;margin-top:57.200000000000003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4426585</wp:posOffset>
              </wp:positionH>
              <wp:positionV relativeFrom="page">
                <wp:posOffset>556895</wp:posOffset>
              </wp:positionV>
              <wp:extent cx="2331720" cy="106680"/>
              <wp:wrapNone/>
              <wp:docPr id="318" name="Shape 31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44" type="#_x0000_t202" style="position:absolute;margin-left:348.55000000000001pt;margin-top:43.850000000000001pt;width:183.59999999999999pt;height:8.4000000000000004pt;z-index:-1887438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320" name="Shape 3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4426585</wp:posOffset>
              </wp:positionH>
              <wp:positionV relativeFrom="page">
                <wp:posOffset>556895</wp:posOffset>
              </wp:positionV>
              <wp:extent cx="2331720" cy="106680"/>
              <wp:wrapNone/>
              <wp:docPr id="325" name="Shape 3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51" type="#_x0000_t202" style="position:absolute;margin-left:348.55000000000001pt;margin-top:43.850000000000001pt;width:183.59999999999999pt;height:8.4000000000000004pt;z-index:-1887438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327" name="Shape 3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4498975</wp:posOffset>
              </wp:positionH>
              <wp:positionV relativeFrom="page">
                <wp:posOffset>583565</wp:posOffset>
              </wp:positionV>
              <wp:extent cx="2331720" cy="106680"/>
              <wp:wrapNone/>
              <wp:docPr id="340" name="Shape 34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66" type="#_x0000_t202" style="position:absolute;margin-left:354.25pt;margin-top:45.950000000000003pt;width:183.59999999999999pt;height:8.4000000000000004pt;z-index:-1887438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728345</wp:posOffset>
              </wp:positionV>
              <wp:extent cx="6163310" cy="0"/>
              <wp:wrapNone/>
              <wp:docPr id="342" name="Shape 3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35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4498975</wp:posOffset>
              </wp:positionH>
              <wp:positionV relativeFrom="page">
                <wp:posOffset>583565</wp:posOffset>
              </wp:positionV>
              <wp:extent cx="2331720" cy="106680"/>
              <wp:wrapNone/>
              <wp:docPr id="347" name="Shape 34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73" type="#_x0000_t202" style="position:absolute;margin-left:354.25pt;margin-top:45.950000000000003pt;width:183.59999999999999pt;height:8.4000000000000004pt;z-index:-1887437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728345</wp:posOffset>
              </wp:positionV>
              <wp:extent cx="6163310" cy="0"/>
              <wp:wrapNone/>
              <wp:docPr id="349" name="Shape 3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7.35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4493260</wp:posOffset>
              </wp:positionH>
              <wp:positionV relativeFrom="page">
                <wp:posOffset>396240</wp:posOffset>
              </wp:positionV>
              <wp:extent cx="2331720" cy="106680"/>
              <wp:wrapNone/>
              <wp:docPr id="354" name="Shape 3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380" type="#_x0000_t202" style="position:absolute;margin-left:353.80000000000001pt;margin-top:31.199999999999999pt;width:183.59999999999999pt;height:8.4000000000000004pt;z-index:-1887437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4426585</wp:posOffset>
              </wp:positionH>
              <wp:positionV relativeFrom="page">
                <wp:posOffset>556895</wp:posOffset>
              </wp:positionV>
              <wp:extent cx="2331720" cy="106680"/>
              <wp:wrapNone/>
              <wp:docPr id="369" name="Shape 36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95" type="#_x0000_t202" style="position:absolute;margin-left:348.55000000000001pt;margin-top:43.850000000000001pt;width:183.59999999999999pt;height:8.4000000000000004pt;z-index:-1887437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371" name="Shape 3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4533900</wp:posOffset>
              </wp:positionH>
              <wp:positionV relativeFrom="page">
                <wp:posOffset>561340</wp:posOffset>
              </wp:positionV>
              <wp:extent cx="2331720" cy="106680"/>
              <wp:wrapNone/>
              <wp:docPr id="28" name="Shape 2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4" type="#_x0000_t202" style="position:absolute;margin-left:357.pt;margin-top:44.200000000000003pt;width:183.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727075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25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4426585</wp:posOffset>
              </wp:positionH>
              <wp:positionV relativeFrom="page">
                <wp:posOffset>556895</wp:posOffset>
              </wp:positionV>
              <wp:extent cx="2331720" cy="106680"/>
              <wp:wrapNone/>
              <wp:docPr id="376" name="Shape 37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02" type="#_x0000_t202" style="position:absolute;margin-left:348.55000000000001pt;margin-top:43.850000000000001pt;width:183.59999999999999pt;height:8.4000000000000004pt;z-index:-1887437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4470400</wp:posOffset>
              </wp:positionH>
              <wp:positionV relativeFrom="page">
                <wp:posOffset>408305</wp:posOffset>
              </wp:positionV>
              <wp:extent cx="2331720" cy="106680"/>
              <wp:wrapNone/>
              <wp:docPr id="401" name="Shape 40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27" type="#_x0000_t202" style="position:absolute;margin-left:352.pt;margin-top:32.149999999999999pt;width:183.59999999999999pt;height:8.4000000000000004pt;z-index:-18874377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403" name="Shape 4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4426585</wp:posOffset>
              </wp:positionH>
              <wp:positionV relativeFrom="page">
                <wp:posOffset>556895</wp:posOffset>
              </wp:positionV>
              <wp:extent cx="2331720" cy="106680"/>
              <wp:wrapNone/>
              <wp:docPr id="406" name="Shape 40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2" type="#_x0000_t202" style="position:absolute;margin-left:348.55000000000001pt;margin-top:43.850000000000001pt;width:183.59999999999999pt;height:8.4000000000000004pt;z-index:-1887437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408" name="Shape 4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4476115</wp:posOffset>
              </wp:positionH>
              <wp:positionV relativeFrom="page">
                <wp:posOffset>581660</wp:posOffset>
              </wp:positionV>
              <wp:extent cx="2331720" cy="106680"/>
              <wp:wrapNone/>
              <wp:docPr id="413" name="Shape 41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39" type="#_x0000_t202" style="position:absolute;margin-left:352.44999999999999pt;margin-top:45.800000000000004pt;width:183.59999999999999pt;height:8.4000000000000004pt;z-index:-1887437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726440</wp:posOffset>
              </wp:positionV>
              <wp:extent cx="6163310" cy="0"/>
              <wp:wrapNone/>
              <wp:docPr id="415" name="Shape 4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7.200000000000003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4426585</wp:posOffset>
              </wp:positionH>
              <wp:positionV relativeFrom="page">
                <wp:posOffset>556895</wp:posOffset>
              </wp:positionV>
              <wp:extent cx="2331720" cy="106680"/>
              <wp:wrapNone/>
              <wp:docPr id="420" name="Shape 42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46" type="#_x0000_t202" style="position:absolute;margin-left:348.55000000000001pt;margin-top:43.850000000000001pt;width:183.59999999999999pt;height:8.4000000000000004pt;z-index:-1887437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422" name="Shape 4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4426585</wp:posOffset>
              </wp:positionH>
              <wp:positionV relativeFrom="page">
                <wp:posOffset>556895</wp:posOffset>
              </wp:positionV>
              <wp:extent cx="2331720" cy="106680"/>
              <wp:wrapNone/>
              <wp:docPr id="427" name="Shape 42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53" type="#_x0000_t202" style="position:absolute;margin-left:348.55000000000001pt;margin-top:43.850000000000001pt;width:183.59999999999999pt;height:8.4000000000000004pt;z-index:-18874375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429" name="Shape 4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4476115</wp:posOffset>
              </wp:positionH>
              <wp:positionV relativeFrom="page">
                <wp:posOffset>581660</wp:posOffset>
              </wp:positionV>
              <wp:extent cx="2331720" cy="106680"/>
              <wp:wrapNone/>
              <wp:docPr id="434" name="Shape 43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0" type="#_x0000_t202" style="position:absolute;margin-left:352.44999999999999pt;margin-top:45.800000000000004pt;width:183.59999999999999pt;height:8.4000000000000004pt;z-index:-18874375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726440</wp:posOffset>
              </wp:positionV>
              <wp:extent cx="6163310" cy="0"/>
              <wp:wrapNone/>
              <wp:docPr id="436" name="Shape 4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7.200000000000003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4457700</wp:posOffset>
              </wp:positionH>
              <wp:positionV relativeFrom="page">
                <wp:posOffset>581660</wp:posOffset>
              </wp:positionV>
              <wp:extent cx="2331720" cy="106680"/>
              <wp:wrapNone/>
              <wp:docPr id="441" name="Shape 44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67" type="#_x0000_t202" style="position:absolute;margin-left:351.pt;margin-top:45.800000000000004pt;width:183.59999999999999pt;height:8.4000000000000004pt;z-index:-18874374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726440</wp:posOffset>
              </wp:positionV>
              <wp:extent cx="6163310" cy="0"/>
              <wp:wrapNone/>
              <wp:docPr id="443" name="Shape 4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5pt;margin-top:57.200000000000003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4457700</wp:posOffset>
              </wp:positionH>
              <wp:positionV relativeFrom="page">
                <wp:posOffset>581660</wp:posOffset>
              </wp:positionV>
              <wp:extent cx="2331720" cy="106680"/>
              <wp:wrapNone/>
              <wp:docPr id="448" name="Shape 44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74" type="#_x0000_t202" style="position:absolute;margin-left:351.pt;margin-top:45.800000000000004pt;width:183.59999999999999pt;height:8.4000000000000004pt;z-index:-18874373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726440</wp:posOffset>
              </wp:positionV>
              <wp:extent cx="6163310" cy="0"/>
              <wp:wrapNone/>
              <wp:docPr id="450" name="Shape 4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25pt;margin-top:57.200000000000003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4476115</wp:posOffset>
              </wp:positionH>
              <wp:positionV relativeFrom="page">
                <wp:posOffset>581660</wp:posOffset>
              </wp:positionV>
              <wp:extent cx="2331720" cy="106680"/>
              <wp:wrapNone/>
              <wp:docPr id="455" name="Shape 45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81" type="#_x0000_t202" style="position:absolute;margin-left:352.44999999999999pt;margin-top:45.800000000000004pt;width:183.59999999999999pt;height:8.4000000000000004pt;z-index:-18874373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726440</wp:posOffset>
              </wp:positionV>
              <wp:extent cx="6163310" cy="0"/>
              <wp:wrapNone/>
              <wp:docPr id="457" name="Shape 4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700000000000003pt;margin-top:57.2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4470400</wp:posOffset>
              </wp:positionH>
              <wp:positionV relativeFrom="page">
                <wp:posOffset>408305</wp:posOffset>
              </wp:positionV>
              <wp:extent cx="2331720" cy="106680"/>
              <wp:wrapNone/>
              <wp:docPr id="35" name="Shape 3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1" type="#_x0000_t202" style="position:absolute;margin-left:352.pt;margin-top:32.149999999999999pt;width:183.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4470400</wp:posOffset>
              </wp:positionH>
              <wp:positionV relativeFrom="page">
                <wp:posOffset>408305</wp:posOffset>
              </wp:positionV>
              <wp:extent cx="2331720" cy="106680"/>
              <wp:wrapNone/>
              <wp:docPr id="462" name="Shape 46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88" type="#_x0000_t202" style="position:absolute;margin-left:352.pt;margin-top:32.149999999999999pt;width:183.59999999999999pt;height:8.4000000000000004pt;z-index:-1887437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464" name="Shape 4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4470400</wp:posOffset>
              </wp:positionH>
              <wp:positionV relativeFrom="page">
                <wp:posOffset>408305</wp:posOffset>
              </wp:positionV>
              <wp:extent cx="2331720" cy="106680"/>
              <wp:wrapNone/>
              <wp:docPr id="467" name="Shape 46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493" type="#_x0000_t202" style="position:absolute;margin-left:352.pt;margin-top:32.149999999999999pt;width:183.59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469" name="Shape 4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4448810</wp:posOffset>
              </wp:positionH>
              <wp:positionV relativeFrom="page">
                <wp:posOffset>638175</wp:posOffset>
              </wp:positionV>
              <wp:extent cx="2331720" cy="106680"/>
              <wp:wrapNone/>
              <wp:docPr id="472" name="Shape 47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498" type="#_x0000_t202" style="position:absolute;margin-left:350.30000000000001pt;margin-top:50.25pt;width:183.59999999999999pt;height:8.4000000000000004pt;z-index:-18874371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782955</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61.649999999999999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4448810</wp:posOffset>
              </wp:positionH>
              <wp:positionV relativeFrom="page">
                <wp:posOffset>638175</wp:posOffset>
              </wp:positionV>
              <wp:extent cx="2331720" cy="106680"/>
              <wp:wrapNone/>
              <wp:docPr id="477" name="Shape 47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3" type="#_x0000_t202" style="position:absolute;margin-left:350.30000000000001pt;margin-top:50.25pt;width:183.59999999999999pt;height:8.4000000000000004pt;z-index:-18874371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782955</wp:posOffset>
              </wp:positionV>
              <wp:extent cx="6163310" cy="0"/>
              <wp:wrapNone/>
              <wp:docPr id="479" name="Shape 4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61.649999999999999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4426585</wp:posOffset>
              </wp:positionH>
              <wp:positionV relativeFrom="page">
                <wp:posOffset>556895</wp:posOffset>
              </wp:positionV>
              <wp:extent cx="2331720" cy="106680"/>
              <wp:wrapNone/>
              <wp:docPr id="482" name="Shape 4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08" type="#_x0000_t202" style="position:absolute;margin-left:348.55000000000001pt;margin-top:43.850000000000001pt;width:183.59999999999999pt;height:8.4000000000000004pt;z-index:-18874371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619760</wp:posOffset>
              </wp:positionH>
              <wp:positionV relativeFrom="page">
                <wp:posOffset>701675</wp:posOffset>
              </wp:positionV>
              <wp:extent cx="6163310" cy="0"/>
              <wp:wrapNone/>
              <wp:docPr id="484" name="Shape 4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800000000000004pt;margin-top:55.25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4493260</wp:posOffset>
              </wp:positionH>
              <wp:positionV relativeFrom="page">
                <wp:posOffset>396240</wp:posOffset>
              </wp:positionV>
              <wp:extent cx="2331720" cy="106680"/>
              <wp:wrapNone/>
              <wp:docPr id="489" name="Shape 4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15" type="#_x0000_t202" style="position:absolute;margin-left:353.80000000000001pt;margin-top:31.199999999999999pt;width:183.59999999999999pt;height:8.4000000000000004pt;z-index:-18874370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491" name="Shape 4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4493260</wp:posOffset>
              </wp:positionH>
              <wp:positionV relativeFrom="page">
                <wp:posOffset>396240</wp:posOffset>
              </wp:positionV>
              <wp:extent cx="2331720" cy="106680"/>
              <wp:wrapNone/>
              <wp:docPr id="492" name="Shape 49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18" type="#_x0000_t202" style="position:absolute;margin-left:353.80000000000001pt;margin-top:31.199999999999999pt;width:183.59999999999999pt;height:8.4000000000000004pt;z-index:-18874370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494" name="Shape 4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4470400</wp:posOffset>
              </wp:positionH>
              <wp:positionV relativeFrom="page">
                <wp:posOffset>408305</wp:posOffset>
              </wp:positionV>
              <wp:extent cx="2331720" cy="106680"/>
              <wp:wrapNone/>
              <wp:docPr id="495" name="Shape 4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21" type="#_x0000_t202" style="position:absolute;margin-left:352.pt;margin-top:32.149999999999999pt;width:183.59999999999999pt;height:8.4000000000000004pt;z-index:-18874370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497" name="Shape 4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4524375</wp:posOffset>
              </wp:positionH>
              <wp:positionV relativeFrom="page">
                <wp:posOffset>561340</wp:posOffset>
              </wp:positionV>
              <wp:extent cx="2331720" cy="106680"/>
              <wp:wrapNone/>
              <wp:docPr id="500" name="Shape 5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26" type="#_x0000_t202" style="position:absolute;margin-left:356.25pt;margin-top:44.200000000000003pt;width:183.59999999999999pt;height:8.4000000000000004pt;z-index:-18874369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63310" cy="0"/>
              <wp:wrapNone/>
              <wp:docPr id="502" name="Shape 5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4524375</wp:posOffset>
              </wp:positionH>
              <wp:positionV relativeFrom="page">
                <wp:posOffset>561340</wp:posOffset>
              </wp:positionV>
              <wp:extent cx="2331720" cy="106680"/>
              <wp:wrapNone/>
              <wp:docPr id="507" name="Shape 5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33" type="#_x0000_t202" style="position:absolute;margin-left:356.25pt;margin-top:44.200000000000003pt;width:183.59999999999999pt;height:8.4000000000000004pt;z-index:-18874369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63310" cy="0"/>
              <wp:wrapNone/>
              <wp:docPr id="509" name="Shape 5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4493260</wp:posOffset>
              </wp:positionH>
              <wp:positionV relativeFrom="page">
                <wp:posOffset>396240</wp:posOffset>
              </wp:positionV>
              <wp:extent cx="2331720" cy="106680"/>
              <wp:wrapNone/>
              <wp:docPr id="42" name="Shape 4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8" type="#_x0000_t202" style="position:absolute;margin-left:353.80000000000001pt;margin-top:31.199999999999999pt;width:183.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4425315</wp:posOffset>
              </wp:positionH>
              <wp:positionV relativeFrom="page">
                <wp:posOffset>561340</wp:posOffset>
              </wp:positionV>
              <wp:extent cx="2331720" cy="106680"/>
              <wp:wrapNone/>
              <wp:docPr id="514" name="Shape 5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0" type="#_x0000_t202" style="position:absolute;margin-left:348.44999999999999pt;margin-top:44.200000000000003pt;width:183.59999999999999pt;height:8.4000000000000004pt;z-index:-18874368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618490</wp:posOffset>
              </wp:positionH>
              <wp:positionV relativeFrom="page">
                <wp:posOffset>706120</wp:posOffset>
              </wp:positionV>
              <wp:extent cx="6163310" cy="0"/>
              <wp:wrapNone/>
              <wp:docPr id="516" name="Shape 5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8.700000000000003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3" behindDoc="1" locked="0" layoutInCell="1" allowOverlap="1">
              <wp:simplePos x="0" y="0"/>
              <wp:positionH relativeFrom="page">
                <wp:posOffset>4525645</wp:posOffset>
              </wp:positionH>
              <wp:positionV relativeFrom="page">
                <wp:posOffset>561340</wp:posOffset>
              </wp:positionV>
              <wp:extent cx="2331720" cy="106680"/>
              <wp:wrapNone/>
              <wp:docPr id="519" name="Shape 5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45" type="#_x0000_t202" style="position:absolute;margin-left:356.35000000000002pt;margin-top:44.200000000000003pt;width:183.59999999999999pt;height:8.4000000000000004pt;z-index:-18874368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521" name="Shape 5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9" behindDoc="1" locked="0" layoutInCell="1" allowOverlap="1">
              <wp:simplePos x="0" y="0"/>
              <wp:positionH relativeFrom="page">
                <wp:posOffset>4518025</wp:posOffset>
              </wp:positionH>
              <wp:positionV relativeFrom="page">
                <wp:posOffset>561340</wp:posOffset>
              </wp:positionV>
              <wp:extent cx="2331720" cy="106680"/>
              <wp:wrapNone/>
              <wp:docPr id="526" name="Shape 52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2" type="#_x0000_t202" style="position:absolute;margin-left:355.75pt;margin-top:44.200000000000003pt;width:183.59999999999999pt;height:8.4000000000000004pt;z-index:-18874367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706120</wp:posOffset>
              </wp:positionV>
              <wp:extent cx="6163310" cy="0"/>
              <wp:wrapNone/>
              <wp:docPr id="528" name="Shape 5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4524375</wp:posOffset>
              </wp:positionH>
              <wp:positionV relativeFrom="page">
                <wp:posOffset>561340</wp:posOffset>
              </wp:positionV>
              <wp:extent cx="2331720" cy="106680"/>
              <wp:wrapNone/>
              <wp:docPr id="533" name="Shape 53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59" type="#_x0000_t202" style="position:absolute;margin-left:356.25pt;margin-top:44.200000000000003pt;width:183.59999999999999pt;height:8.4000000000000004pt;z-index:-18874366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63310" cy="0"/>
              <wp:wrapNone/>
              <wp:docPr id="535" name="Shape 5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4524375</wp:posOffset>
              </wp:positionH>
              <wp:positionV relativeFrom="page">
                <wp:posOffset>561340</wp:posOffset>
              </wp:positionV>
              <wp:extent cx="2331720" cy="106680"/>
              <wp:wrapNone/>
              <wp:docPr id="540" name="Shape 54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66" type="#_x0000_t202" style="position:absolute;margin-left:356.25pt;margin-top:44.200000000000003pt;width:183.59999999999999pt;height:8.4000000000000004pt;z-index:-18874366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63310" cy="0"/>
              <wp:wrapNone/>
              <wp:docPr id="542" name="Shape 5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4493260</wp:posOffset>
              </wp:positionH>
              <wp:positionV relativeFrom="page">
                <wp:posOffset>396240</wp:posOffset>
              </wp:positionV>
              <wp:extent cx="2331720" cy="106680"/>
              <wp:wrapNone/>
              <wp:docPr id="547" name="Shape 54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3" type="#_x0000_t202" style="position:absolute;margin-left:353.80000000000001pt;margin-top:31.199999999999999pt;width:183.59999999999999pt;height:8.4000000000000004pt;z-index:-1887436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549" name="Shape 5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9" behindDoc="1" locked="0" layoutInCell="1" allowOverlap="1">
              <wp:simplePos x="0" y="0"/>
              <wp:positionH relativeFrom="page">
                <wp:posOffset>4493260</wp:posOffset>
              </wp:positionH>
              <wp:positionV relativeFrom="page">
                <wp:posOffset>396240</wp:posOffset>
              </wp:positionV>
              <wp:extent cx="2331720" cy="106680"/>
              <wp:wrapNone/>
              <wp:docPr id="550" name="Shape 5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576" type="#_x0000_t202" style="position:absolute;margin-left:353.80000000000001pt;margin-top:31.199999999999999pt;width:183.59999999999999pt;height:8.4000000000000004pt;z-index:-1887436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552" name="Shape 5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4525645</wp:posOffset>
              </wp:positionH>
              <wp:positionV relativeFrom="page">
                <wp:posOffset>561340</wp:posOffset>
              </wp:positionV>
              <wp:extent cx="2331720" cy="106680"/>
              <wp:wrapNone/>
              <wp:docPr id="554" name="Shape 5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0" type="#_x0000_t202" style="position:absolute;margin-left:356.35000000000002pt;margin-top:44.200000000000003pt;width:183.59999999999999pt;height:8.4000000000000004pt;z-index:-18874365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556" name="Shape 5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4525645</wp:posOffset>
              </wp:positionH>
              <wp:positionV relativeFrom="page">
                <wp:posOffset>561340</wp:posOffset>
              </wp:positionV>
              <wp:extent cx="2331720" cy="106680"/>
              <wp:wrapNone/>
              <wp:docPr id="561" name="Shape 5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87" type="#_x0000_t202" style="position:absolute;margin-left:356.35000000000002pt;margin-top:44.200000000000003pt;width:183.59999999999999pt;height:8.4000000000000004pt;z-index:-18874364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563" name="Shape 5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4525645</wp:posOffset>
              </wp:positionH>
              <wp:positionV relativeFrom="page">
                <wp:posOffset>561340</wp:posOffset>
              </wp:positionV>
              <wp:extent cx="2331720" cy="106680"/>
              <wp:wrapNone/>
              <wp:docPr id="568" name="Shape 5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594" type="#_x0000_t202" style="position:absolute;margin-left:356.35000000000002pt;margin-top:44.200000000000003pt;width:183.59999999999999pt;height:8.4000000000000004pt;z-index:-188743640;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570" name="Shape 5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4493260</wp:posOffset>
              </wp:positionH>
              <wp:positionV relativeFrom="page">
                <wp:posOffset>396240</wp:posOffset>
              </wp:positionV>
              <wp:extent cx="2331720" cy="106680"/>
              <wp:wrapNone/>
              <wp:docPr id="45" name="Shape 4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1" type="#_x0000_t202" style="position:absolute;margin-left:353.80000000000001pt;margin-top:31.199999999999999pt;width:183.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4525645</wp:posOffset>
              </wp:positionH>
              <wp:positionV relativeFrom="page">
                <wp:posOffset>561340</wp:posOffset>
              </wp:positionV>
              <wp:extent cx="2331720" cy="106680"/>
              <wp:wrapNone/>
              <wp:docPr id="575" name="Shape 57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1" type="#_x0000_t202" style="position:absolute;margin-left:356.35000000000002pt;margin-top:44.200000000000003pt;width:183.59999999999999pt;height:8.4000000000000004pt;z-index:-188743634;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577" name="Shape 5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4524375</wp:posOffset>
              </wp:positionH>
              <wp:positionV relativeFrom="page">
                <wp:posOffset>561340</wp:posOffset>
              </wp:positionV>
              <wp:extent cx="2331720" cy="106680"/>
              <wp:wrapNone/>
              <wp:docPr id="582" name="Shape 5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08" type="#_x0000_t202" style="position:absolute;margin-left:356.25pt;margin-top:44.200000000000003pt;width:183.59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63310" cy="0"/>
              <wp:wrapNone/>
              <wp:docPr id="584" name="Shape 5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4509135</wp:posOffset>
              </wp:positionH>
              <wp:positionV relativeFrom="page">
                <wp:posOffset>561340</wp:posOffset>
              </wp:positionV>
              <wp:extent cx="2331720" cy="106680"/>
              <wp:wrapNone/>
              <wp:docPr id="589" name="Shape 5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15" type="#_x0000_t202" style="position:absolute;margin-left:355.05000000000001pt;margin-top:44.200000000000003pt;width:183.59999999999999pt;height:8.4000000000000004pt;z-index:-188743622;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591" name="Shape 5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4509135</wp:posOffset>
              </wp:positionH>
              <wp:positionV relativeFrom="page">
                <wp:posOffset>561340</wp:posOffset>
              </wp:positionV>
              <wp:extent cx="2331720" cy="106680"/>
              <wp:wrapNone/>
              <wp:docPr id="596" name="Shape 59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22" type="#_x0000_t202" style="position:absolute;margin-left:355.05000000000001pt;margin-top:44.200000000000003pt;width:183.59999999999999pt;height:8.4000000000000004pt;z-index:-188743616;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598" name="Shape 5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4493260</wp:posOffset>
              </wp:positionH>
              <wp:positionV relativeFrom="page">
                <wp:posOffset>396240</wp:posOffset>
              </wp:positionV>
              <wp:extent cx="2331720" cy="106680"/>
              <wp:wrapNone/>
              <wp:docPr id="604" name="Shape 60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0" type="#_x0000_t202" style="position:absolute;margin-left:353.80000000000001pt;margin-top:31.199999999999999pt;width:183.59999999999999pt;height:8.4000000000000004pt;z-index:-18874361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606" name="Shape 6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4493260</wp:posOffset>
              </wp:positionH>
              <wp:positionV relativeFrom="page">
                <wp:posOffset>396240</wp:posOffset>
              </wp:positionV>
              <wp:extent cx="2331720" cy="106680"/>
              <wp:wrapNone/>
              <wp:docPr id="607" name="Shape 6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33" type="#_x0000_t202" style="position:absolute;margin-left:353.80000000000001pt;margin-top:31.199999999999999pt;width:183.59999999999999pt;height:8.4000000000000004pt;z-index:-18874360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609" name="Shape 6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4525645</wp:posOffset>
              </wp:positionH>
              <wp:positionV relativeFrom="page">
                <wp:posOffset>561340</wp:posOffset>
              </wp:positionV>
              <wp:extent cx="2331720" cy="106680"/>
              <wp:wrapNone/>
              <wp:docPr id="618" name="Shape 61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44" type="#_x0000_t202" style="position:absolute;margin-left:356.35000000000002pt;margin-top:44.200000000000003pt;width:183.59999999999999pt;height:8.4000000000000004pt;z-index:-1887436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620" name="Shape 6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4525645</wp:posOffset>
              </wp:positionH>
              <wp:positionV relativeFrom="page">
                <wp:posOffset>561340</wp:posOffset>
              </wp:positionV>
              <wp:extent cx="2331720" cy="106680"/>
              <wp:wrapNone/>
              <wp:docPr id="625" name="Shape 6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651" type="#_x0000_t202" style="position:absolute;margin-left:356.35000000000002pt;margin-top:44.200000000000003pt;width:183.59999999999999pt;height:8.4000000000000004pt;z-index:-1887435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706120</wp:posOffset>
              </wp:positionV>
              <wp:extent cx="6163310" cy="0"/>
              <wp:wrapNone/>
              <wp:docPr id="627" name="Shape 6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4470400</wp:posOffset>
              </wp:positionH>
              <wp:positionV relativeFrom="page">
                <wp:posOffset>408305</wp:posOffset>
              </wp:positionV>
              <wp:extent cx="2331720" cy="106680"/>
              <wp:wrapNone/>
              <wp:docPr id="632" name="Shape 63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58" type="#_x0000_t202" style="position:absolute;margin-left:352.pt;margin-top:32.149999999999999pt;width:183.59999999999999pt;height:8.4000000000000004pt;z-index:-1887435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634" name="Shape 6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4470400</wp:posOffset>
              </wp:positionH>
              <wp:positionV relativeFrom="page">
                <wp:posOffset>408305</wp:posOffset>
              </wp:positionV>
              <wp:extent cx="2331720" cy="106680"/>
              <wp:wrapNone/>
              <wp:docPr id="637" name="Shape 63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663" type="#_x0000_t202" style="position:absolute;margin-left:352.pt;margin-top:32.149999999999999pt;width:183.59999999999999pt;height:8.4000000000000004pt;z-index:-1887435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安徽鑫龙电器股份有限公司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639" name="Shape 6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标题 #1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标题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5)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4)_"/>
    <w:basedOn w:val="DefaultParagraphFont"/>
    <w:link w:val="Style38"/>
    <w:rPr>
      <w:rFonts w:ascii="Arial" w:eastAsia="Arial" w:hAnsi="Arial" w:cs="Arial"/>
      <w:b/>
      <w:bCs/>
      <w:i w:val="0"/>
      <w:iCs w:val="0"/>
      <w:smallCaps w:val="0"/>
      <w:strike w:val="0"/>
      <w:color w:val="D2D2D2"/>
      <w:sz w:val="36"/>
      <w:szCs w:val="36"/>
      <w:u w:val="none"/>
      <w:shd w:val="clear" w:color="auto" w:fill="auto"/>
    </w:rPr>
  </w:style>
  <w:style w:type="character" w:customStyle="1" w:styleId="CharStyle48">
    <w:name w:val="正文文本 (3)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60">
    <w:name w:val="正文文本 (8)_"/>
    <w:basedOn w:val="DefaultParagraphFont"/>
    <w:link w:val="Style59"/>
    <w:rPr>
      <w:rFonts w:ascii="SimSun" w:eastAsia="SimSun" w:hAnsi="SimSun" w:cs="SimSun"/>
      <w:b w:val="0"/>
      <w:bCs w:val="0"/>
      <w:i w:val="0"/>
      <w:iCs w:val="0"/>
      <w:smallCaps w:val="0"/>
      <w:strike w:val="0"/>
      <w:u w:val="none"/>
      <w:shd w:val="clear" w:color="auto" w:fill="auto"/>
    </w:rPr>
  </w:style>
  <w:style w:type="character" w:customStyle="1" w:styleId="CharStyle63">
    <w:name w:val="图片标题_"/>
    <w:basedOn w:val="DefaultParagraphFont"/>
    <w:link w:val="Style62"/>
    <w:rPr>
      <w:rFonts w:ascii="Arial" w:eastAsia="Arial" w:hAnsi="Arial" w:cs="Arial"/>
      <w:b w:val="0"/>
      <w:bCs w:val="0"/>
      <w:i w:val="0"/>
      <w:iCs w:val="0"/>
      <w:smallCaps w:val="0"/>
      <w:strike w:val="0"/>
      <w:sz w:val="18"/>
      <w:szCs w:val="18"/>
      <w:u w:val="none"/>
      <w:shd w:val="clear" w:color="auto" w:fill="auto"/>
    </w:rPr>
  </w:style>
  <w:style w:type="character" w:customStyle="1" w:styleId="CharStyle70">
    <w:name w:val="正文文本 (9)_"/>
    <w:basedOn w:val="DefaultParagraphFont"/>
    <w:link w:val="Style69"/>
    <w:rPr>
      <w:rFonts w:ascii="SimSun" w:eastAsia="SimSun" w:hAnsi="SimSun" w:cs="SimSun"/>
      <w:b w:val="0"/>
      <w:bCs w:val="0"/>
      <w:i w:val="0"/>
      <w:iCs w:val="0"/>
      <w:smallCaps w:val="0"/>
      <w:strike w:val="0"/>
      <w:sz w:val="20"/>
      <w:szCs w:val="20"/>
      <w:u w:val="none"/>
      <w:shd w:val="clear" w:color="auto" w:fill="auto"/>
    </w:rPr>
  </w:style>
  <w:style w:type="character" w:customStyle="1" w:styleId="CharStyle91">
    <w:name w:val="正文文本 (10)_"/>
    <w:basedOn w:val="DefaultParagraphFont"/>
    <w:link w:val="Style90"/>
    <w:rPr>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标题 #1"/>
    <w:basedOn w:val="Normal"/>
    <w:link w:val="CharStyle8"/>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9">
    <w:name w:val="标题 #2"/>
    <w:basedOn w:val="Normal"/>
    <w:link w:val="CharStyle10"/>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5)"/>
    <w:basedOn w:val="Normal"/>
    <w:link w:val="CharStyle13"/>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10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w:basedOn w:val="Normal"/>
    <w:link w:val="CharStyle30"/>
    <w:pPr>
      <w:widowControl w:val="0"/>
      <w:shd w:val="clear" w:color="auto" w:fill="auto"/>
      <w:spacing w:after="40"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4)"/>
    <w:basedOn w:val="Normal"/>
    <w:link w:val="CharStyle39"/>
    <w:pPr>
      <w:widowControl w:val="0"/>
      <w:shd w:val="clear" w:color="auto" w:fill="auto"/>
      <w:spacing w:after="200"/>
      <w:jc w:val="right"/>
    </w:pPr>
    <w:rPr>
      <w:rFonts w:ascii="Arial" w:eastAsia="Arial" w:hAnsi="Arial" w:cs="Arial"/>
      <w:b/>
      <w:bCs/>
      <w:i w:val="0"/>
      <w:iCs w:val="0"/>
      <w:smallCaps w:val="0"/>
      <w:strike w:val="0"/>
      <w:color w:val="D2D2D2"/>
      <w:sz w:val="36"/>
      <w:szCs w:val="36"/>
      <w:u w:val="none"/>
      <w:shd w:val="clear" w:color="auto" w:fill="auto"/>
    </w:rPr>
  </w:style>
  <w:style w:type="paragraph" w:customStyle="1" w:styleId="Style47">
    <w:name w:val="正文文本 (3)"/>
    <w:basedOn w:val="Normal"/>
    <w:link w:val="CharStyle48"/>
    <w:pPr>
      <w:widowControl w:val="0"/>
      <w:shd w:val="clear" w:color="auto" w:fill="auto"/>
      <w:spacing w:after="40" w:line="310"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9">
    <w:name w:val="正文文本 (8)"/>
    <w:basedOn w:val="Normal"/>
    <w:link w:val="CharStyle60"/>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62">
    <w:name w:val="图片标题"/>
    <w:basedOn w:val="Normal"/>
    <w:link w:val="CharStyle63"/>
    <w:pPr>
      <w:widowControl w:val="0"/>
      <w:shd w:val="clear" w:color="auto" w:fill="auto"/>
    </w:pPr>
    <w:rPr>
      <w:rFonts w:ascii="Arial" w:eastAsia="Arial" w:hAnsi="Arial" w:cs="Arial"/>
      <w:b w:val="0"/>
      <w:bCs w:val="0"/>
      <w:i w:val="0"/>
      <w:iCs w:val="0"/>
      <w:smallCaps w:val="0"/>
      <w:strike w:val="0"/>
      <w:sz w:val="18"/>
      <w:szCs w:val="18"/>
      <w:u w:val="none"/>
      <w:shd w:val="clear" w:color="auto" w:fill="auto"/>
    </w:rPr>
  </w:style>
  <w:style w:type="paragraph" w:customStyle="1" w:styleId="Style69">
    <w:name w:val="正文文本 (9)"/>
    <w:basedOn w:val="Normal"/>
    <w:link w:val="CharStyle70"/>
    <w:pPr>
      <w:widowControl w:val="0"/>
      <w:shd w:val="clear" w:color="auto" w:fill="auto"/>
      <w:spacing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90">
    <w:name w:val="正文文本 (10)"/>
    <w:basedOn w:val="Normal"/>
    <w:link w:val="CharStyle91"/>
    <w:pPr>
      <w:widowControl w:val="0"/>
      <w:shd w:val="clear" w:color="auto" w:fill="auto"/>
      <w:spacing w:after="400"/>
    </w:pPr>
    <w:rPr>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image" Target="media/image5.jpeg"/><Relationship Id="rId28" Type="http://schemas.openxmlformats.org/officeDocument/2006/relationships/image" Target="media/image5.jpeg" TargetMode="External"/><Relationship Id="rId29" Type="http://schemas.openxmlformats.org/officeDocument/2006/relationships/image" Target="media/image6.jpeg"/><Relationship Id="rId30" Type="http://schemas.openxmlformats.org/officeDocument/2006/relationships/image" Target="media/image6.jpeg" TargetMode="Externa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image" Target="media/image7.jpeg"/><Relationship Id="rId84" Type="http://schemas.openxmlformats.org/officeDocument/2006/relationships/image" Target="media/image7.jpeg" TargetMode="Externa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header" Target="header35.xml"/><Relationship Id="rId88" Type="http://schemas.openxmlformats.org/officeDocument/2006/relationships/footer" Target="footer35.xml"/><Relationship Id="rId89" Type="http://schemas.openxmlformats.org/officeDocument/2006/relationships/image" Target="media/image8.jpeg"/><Relationship Id="rId90" Type="http://schemas.openxmlformats.org/officeDocument/2006/relationships/image" Target="media/image8.jpeg" TargetMode="External"/><Relationship Id="rId91" Type="http://schemas.openxmlformats.org/officeDocument/2006/relationships/header" Target="header36.xml"/><Relationship Id="rId92" Type="http://schemas.openxmlformats.org/officeDocument/2006/relationships/footer" Target="footer36.xml"/><Relationship Id="rId93" Type="http://schemas.openxmlformats.org/officeDocument/2006/relationships/header" Target="header37.xml"/><Relationship Id="rId94" Type="http://schemas.openxmlformats.org/officeDocument/2006/relationships/footer" Target="footer37.xml"/><Relationship Id="rId95" Type="http://schemas.openxmlformats.org/officeDocument/2006/relationships/header" Target="header38.xml"/><Relationship Id="rId96" Type="http://schemas.openxmlformats.org/officeDocument/2006/relationships/footer" Target="foot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2" Type="http://schemas.openxmlformats.org/officeDocument/2006/relationships/footer" Target="footer41.xml"/><Relationship Id="rId103" Type="http://schemas.openxmlformats.org/officeDocument/2006/relationships/image" Target="media/image9.jpeg"/><Relationship Id="rId104" Type="http://schemas.openxmlformats.org/officeDocument/2006/relationships/image" Target="media/image9.jpeg" TargetMode="External"/><Relationship Id="rId105" Type="http://schemas.openxmlformats.org/officeDocument/2006/relationships/header" Target="header42.xml"/><Relationship Id="rId106" Type="http://schemas.openxmlformats.org/officeDocument/2006/relationships/footer" Target="footer42.xml"/><Relationship Id="rId107" Type="http://schemas.openxmlformats.org/officeDocument/2006/relationships/header" Target="header43.xml"/><Relationship Id="rId108" Type="http://schemas.openxmlformats.org/officeDocument/2006/relationships/footer" Target="footer43.xml"/><Relationship Id="rId109" Type="http://schemas.openxmlformats.org/officeDocument/2006/relationships/image" Target="media/image10.jpeg"/><Relationship Id="rId110" Type="http://schemas.openxmlformats.org/officeDocument/2006/relationships/image" Target="media/image10.jpeg" TargetMode="External"/><Relationship Id="rId111" Type="http://schemas.openxmlformats.org/officeDocument/2006/relationships/header" Target="header44.xml"/><Relationship Id="rId112" Type="http://schemas.openxmlformats.org/officeDocument/2006/relationships/footer" Target="footer44.xml"/><Relationship Id="rId113" Type="http://schemas.openxmlformats.org/officeDocument/2006/relationships/header" Target="header45.xml"/><Relationship Id="rId114" Type="http://schemas.openxmlformats.org/officeDocument/2006/relationships/footer" Target="footer45.xml"/><Relationship Id="rId115" Type="http://schemas.openxmlformats.org/officeDocument/2006/relationships/image" Target="media/image11.jpeg"/><Relationship Id="rId116" Type="http://schemas.openxmlformats.org/officeDocument/2006/relationships/image" Target="media/image11.jpeg" TargetMode="External"/><Relationship Id="rId117" Type="http://schemas.openxmlformats.org/officeDocument/2006/relationships/image" Target="media/image12.jpeg"/><Relationship Id="rId118" Type="http://schemas.openxmlformats.org/officeDocument/2006/relationships/image" Target="media/image12.jpeg" TargetMode="External"/><Relationship Id="rId119" Type="http://schemas.openxmlformats.org/officeDocument/2006/relationships/header" Target="header46.xml"/><Relationship Id="rId120" Type="http://schemas.openxmlformats.org/officeDocument/2006/relationships/footer" Target="footer46.xml"/><Relationship Id="rId121" Type="http://schemas.openxmlformats.org/officeDocument/2006/relationships/header" Target="header47.xml"/><Relationship Id="rId122" Type="http://schemas.openxmlformats.org/officeDocument/2006/relationships/footer" Target="footer47.xml"/><Relationship Id="rId123" Type="http://schemas.openxmlformats.org/officeDocument/2006/relationships/header" Target="header48.xml"/><Relationship Id="rId124" Type="http://schemas.openxmlformats.org/officeDocument/2006/relationships/footer" Target="footer48.xml"/><Relationship Id="rId125" Type="http://schemas.openxmlformats.org/officeDocument/2006/relationships/header" Target="header49.xml"/><Relationship Id="rId126" Type="http://schemas.openxmlformats.org/officeDocument/2006/relationships/footer" Target="footer49.xml"/><Relationship Id="rId127" Type="http://schemas.openxmlformats.org/officeDocument/2006/relationships/header" Target="header50.xml"/><Relationship Id="rId128" Type="http://schemas.openxmlformats.org/officeDocument/2006/relationships/footer" Target="footer50.xml"/><Relationship Id="rId129" Type="http://schemas.openxmlformats.org/officeDocument/2006/relationships/header" Target="header51.xml"/><Relationship Id="rId130" Type="http://schemas.openxmlformats.org/officeDocument/2006/relationships/footer" Target="footer51.xml"/><Relationship Id="rId131" Type="http://schemas.openxmlformats.org/officeDocument/2006/relationships/header" Target="header52.xml"/><Relationship Id="rId132" Type="http://schemas.openxmlformats.org/officeDocument/2006/relationships/footer" Target="footer52.xml"/><Relationship Id="rId133" Type="http://schemas.openxmlformats.org/officeDocument/2006/relationships/header" Target="header53.xml"/><Relationship Id="rId134" Type="http://schemas.openxmlformats.org/officeDocument/2006/relationships/footer" Target="footer53.xml"/><Relationship Id="rId135" Type="http://schemas.openxmlformats.org/officeDocument/2006/relationships/header" Target="header54.xml"/><Relationship Id="rId136" Type="http://schemas.openxmlformats.org/officeDocument/2006/relationships/footer" Target="footer54.xml"/><Relationship Id="rId137" Type="http://schemas.openxmlformats.org/officeDocument/2006/relationships/header" Target="header55.xml"/><Relationship Id="rId138" Type="http://schemas.openxmlformats.org/officeDocument/2006/relationships/footer" Target="footer55.xml"/><Relationship Id="rId139" Type="http://schemas.openxmlformats.org/officeDocument/2006/relationships/image" Target="media/image13.jpeg"/><Relationship Id="rId140" Type="http://schemas.openxmlformats.org/officeDocument/2006/relationships/image" Target="media/image13.jpeg" TargetMode="External"/><Relationship Id="rId141" Type="http://schemas.openxmlformats.org/officeDocument/2006/relationships/header" Target="header56.xml"/><Relationship Id="rId142" Type="http://schemas.openxmlformats.org/officeDocument/2006/relationships/footer" Target="footer56.xml"/><Relationship Id="rId143" Type="http://schemas.openxmlformats.org/officeDocument/2006/relationships/header" Target="header57.xml"/><Relationship Id="rId144" Type="http://schemas.openxmlformats.org/officeDocument/2006/relationships/footer" Target="footer57.xml"/><Relationship Id="rId145" Type="http://schemas.openxmlformats.org/officeDocument/2006/relationships/header" Target="header58.xml"/><Relationship Id="rId146" Type="http://schemas.openxmlformats.org/officeDocument/2006/relationships/footer" Target="footer58.xml"/><Relationship Id="rId147" Type="http://schemas.openxmlformats.org/officeDocument/2006/relationships/header" Target="header59.xml"/><Relationship Id="rId148" Type="http://schemas.openxmlformats.org/officeDocument/2006/relationships/footer" Target="footer59.xml"/><Relationship Id="rId149" Type="http://schemas.openxmlformats.org/officeDocument/2006/relationships/header" Target="header60.xml"/><Relationship Id="rId150" Type="http://schemas.openxmlformats.org/officeDocument/2006/relationships/footer" Target="footer60.xml"/><Relationship Id="rId151" Type="http://schemas.openxmlformats.org/officeDocument/2006/relationships/image" Target="media/image14.jpeg"/><Relationship Id="rId152" Type="http://schemas.openxmlformats.org/officeDocument/2006/relationships/image" Target="media/image14.jpeg" TargetMode="External"/><Relationship Id="rId153" Type="http://schemas.openxmlformats.org/officeDocument/2006/relationships/image" Target="media/image15.jpeg"/><Relationship Id="rId154" Type="http://schemas.openxmlformats.org/officeDocument/2006/relationships/image" Target="media/image15.jpeg" TargetMode="External"/><Relationship Id="rId155" Type="http://schemas.openxmlformats.org/officeDocument/2006/relationships/header" Target="header61.xml"/><Relationship Id="rId156" Type="http://schemas.openxmlformats.org/officeDocument/2006/relationships/footer" Target="footer61.xml"/><Relationship Id="rId157" Type="http://schemas.openxmlformats.org/officeDocument/2006/relationships/header" Target="header62.xml"/><Relationship Id="rId158" Type="http://schemas.openxmlformats.org/officeDocument/2006/relationships/footer" Target="footer62.xml"/><Relationship Id="rId159" Type="http://schemas.openxmlformats.org/officeDocument/2006/relationships/header" Target="header63.xml"/><Relationship Id="rId160" Type="http://schemas.openxmlformats.org/officeDocument/2006/relationships/footer" Target="footer63.xml"/><Relationship Id="rId161" Type="http://schemas.openxmlformats.org/officeDocument/2006/relationships/header" Target="header64.xml"/><Relationship Id="rId162" Type="http://schemas.openxmlformats.org/officeDocument/2006/relationships/footer" Target="footer64.xml"/><Relationship Id="rId163" Type="http://schemas.openxmlformats.org/officeDocument/2006/relationships/header" Target="header65.xml"/><Relationship Id="rId164" Type="http://schemas.openxmlformats.org/officeDocument/2006/relationships/footer" Target="footer65.xml"/><Relationship Id="rId165" Type="http://schemas.openxmlformats.org/officeDocument/2006/relationships/header" Target="header66.xml"/><Relationship Id="rId166" Type="http://schemas.openxmlformats.org/officeDocument/2006/relationships/footer" Target="footer66.xml"/><Relationship Id="rId167" Type="http://schemas.openxmlformats.org/officeDocument/2006/relationships/header" Target="header67.xml"/><Relationship Id="rId168" Type="http://schemas.openxmlformats.org/officeDocument/2006/relationships/footer" Target="footer67.xml"/><Relationship Id="rId169" Type="http://schemas.openxmlformats.org/officeDocument/2006/relationships/header" Target="header68.xml"/><Relationship Id="rId170" Type="http://schemas.openxmlformats.org/officeDocument/2006/relationships/footer" Target="footer68.xml"/><Relationship Id="rId171" Type="http://schemas.openxmlformats.org/officeDocument/2006/relationships/header" Target="header69.xml"/><Relationship Id="rId172" Type="http://schemas.openxmlformats.org/officeDocument/2006/relationships/footer" Target="footer69.xml"/><Relationship Id="rId173" Type="http://schemas.openxmlformats.org/officeDocument/2006/relationships/header" Target="header70.xml"/><Relationship Id="rId174" Type="http://schemas.openxmlformats.org/officeDocument/2006/relationships/footer" Target="footer70.xml"/><Relationship Id="rId175" Type="http://schemas.openxmlformats.org/officeDocument/2006/relationships/header" Target="header71.xml"/><Relationship Id="rId176" Type="http://schemas.openxmlformats.org/officeDocument/2006/relationships/footer" Target="footer71.xml"/><Relationship Id="rId177" Type="http://schemas.openxmlformats.org/officeDocument/2006/relationships/header" Target="header72.xml"/><Relationship Id="rId178" Type="http://schemas.openxmlformats.org/officeDocument/2006/relationships/footer" Target="footer72.xml"/><Relationship Id="rId179" Type="http://schemas.openxmlformats.org/officeDocument/2006/relationships/header" Target="header73.xml"/><Relationship Id="rId180" Type="http://schemas.openxmlformats.org/officeDocument/2006/relationships/footer" Target="footer73.xml"/><Relationship Id="rId181" Type="http://schemas.openxmlformats.org/officeDocument/2006/relationships/header" Target="header74.xml"/><Relationship Id="rId182" Type="http://schemas.openxmlformats.org/officeDocument/2006/relationships/footer" Target="footer74.xml"/><Relationship Id="rId183" Type="http://schemas.openxmlformats.org/officeDocument/2006/relationships/header" Target="header75.xml"/><Relationship Id="rId184" Type="http://schemas.openxmlformats.org/officeDocument/2006/relationships/footer" Target="footer75.xml"/><Relationship Id="rId185" Type="http://schemas.openxmlformats.org/officeDocument/2006/relationships/header" Target="header76.xml"/><Relationship Id="rId186" Type="http://schemas.openxmlformats.org/officeDocument/2006/relationships/footer" Target="footer76.xml"/><Relationship Id="rId187" Type="http://schemas.openxmlformats.org/officeDocument/2006/relationships/header" Target="header77.xml"/><Relationship Id="rId188" Type="http://schemas.openxmlformats.org/officeDocument/2006/relationships/footer" Target="footer77.xml"/><Relationship Id="rId189" Type="http://schemas.openxmlformats.org/officeDocument/2006/relationships/header" Target="header78.xml"/><Relationship Id="rId190" Type="http://schemas.openxmlformats.org/officeDocument/2006/relationships/footer" Target="footer78.xml"/><Relationship Id="rId191" Type="http://schemas.openxmlformats.org/officeDocument/2006/relationships/header" Target="header79.xml"/><Relationship Id="rId192" Type="http://schemas.openxmlformats.org/officeDocument/2006/relationships/footer" Target="footer79.xml"/><Relationship Id="rId193" Type="http://schemas.openxmlformats.org/officeDocument/2006/relationships/header" Target="header80.xml"/><Relationship Id="rId194" Type="http://schemas.openxmlformats.org/officeDocument/2006/relationships/footer" Target="footer80.xml"/><Relationship Id="rId195" Type="http://schemas.openxmlformats.org/officeDocument/2006/relationships/header" Target="header81.xml"/><Relationship Id="rId196" Type="http://schemas.openxmlformats.org/officeDocument/2006/relationships/footer" Target="footer81.xml"/><Relationship Id="rId197" Type="http://schemas.openxmlformats.org/officeDocument/2006/relationships/header" Target="header82.xml"/><Relationship Id="rId198" Type="http://schemas.openxmlformats.org/officeDocument/2006/relationships/footer" Target="footer82.xml"/><Relationship Id="rId199" Type="http://schemas.openxmlformats.org/officeDocument/2006/relationships/header" Target="header83.xml"/><Relationship Id="rId200" Type="http://schemas.openxmlformats.org/officeDocument/2006/relationships/footer" Target="footer83.xml"/><Relationship Id="rId201" Type="http://schemas.openxmlformats.org/officeDocument/2006/relationships/header" Target="header84.xml"/><Relationship Id="rId202" Type="http://schemas.openxmlformats.org/officeDocument/2006/relationships/footer" Target="footer84.xml"/><Relationship Id="rId203" Type="http://schemas.openxmlformats.org/officeDocument/2006/relationships/header" Target="header85.xml"/><Relationship Id="rId204" Type="http://schemas.openxmlformats.org/officeDocument/2006/relationships/footer" Target="footer85.xml"/><Relationship Id="rId205" Type="http://schemas.openxmlformats.org/officeDocument/2006/relationships/header" Target="header86.xml"/><Relationship Id="rId206" Type="http://schemas.openxmlformats.org/officeDocument/2006/relationships/footer" Target="footer86.xml"/><Relationship Id="rId207" Type="http://schemas.openxmlformats.org/officeDocument/2006/relationships/image" Target="media/image16.jpeg"/><Relationship Id="rId208" Type="http://schemas.openxmlformats.org/officeDocument/2006/relationships/image" Target="media/image16.jpeg" TargetMode="External"/><Relationship Id="rId209" Type="http://schemas.openxmlformats.org/officeDocument/2006/relationships/header" Target="header87.xml"/><Relationship Id="rId210" Type="http://schemas.openxmlformats.org/officeDocument/2006/relationships/footer" Target="footer87.xml"/><Relationship Id="rId211" Type="http://schemas.openxmlformats.org/officeDocument/2006/relationships/header" Target="header88.xml"/><Relationship Id="rId212" Type="http://schemas.openxmlformats.org/officeDocument/2006/relationships/footer" Target="footer88.xml"/><Relationship Id="rId213" Type="http://schemas.openxmlformats.org/officeDocument/2006/relationships/header" Target="header89.xml"/><Relationship Id="rId214" Type="http://schemas.openxmlformats.org/officeDocument/2006/relationships/footer" Target="footer89.xml"/><Relationship Id="rId215" Type="http://schemas.openxmlformats.org/officeDocument/2006/relationships/header" Target="header90.xml"/><Relationship Id="rId216" Type="http://schemas.openxmlformats.org/officeDocument/2006/relationships/footer" Target="footer90.xml"/><Relationship Id="rId217" Type="http://schemas.openxmlformats.org/officeDocument/2006/relationships/header" Target="header91.xml"/><Relationship Id="rId218" Type="http://schemas.openxmlformats.org/officeDocument/2006/relationships/footer" Target="footer91.xml"/><Relationship Id="rId219" Type="http://schemas.openxmlformats.org/officeDocument/2006/relationships/header" Target="header92.xml"/><Relationship Id="rId220" Type="http://schemas.openxmlformats.org/officeDocument/2006/relationships/footer" Target="footer92.xml"/><Relationship Id="rId221" Type="http://schemas.openxmlformats.org/officeDocument/2006/relationships/header" Target="header93.xml"/><Relationship Id="rId222" Type="http://schemas.openxmlformats.org/officeDocument/2006/relationships/footer" Target="footer93.xml"/><Relationship Id="rId223" Type="http://schemas.openxmlformats.org/officeDocument/2006/relationships/image" Target="media/image17.jpeg"/><Relationship Id="rId224" Type="http://schemas.openxmlformats.org/officeDocument/2006/relationships/image" Target="media/image17.jpeg" TargetMode="External"/><Relationship Id="rId225" Type="http://schemas.openxmlformats.org/officeDocument/2006/relationships/header" Target="header94.xml"/><Relationship Id="rId226" Type="http://schemas.openxmlformats.org/officeDocument/2006/relationships/footer" Target="footer94.xml"/><Relationship Id="rId227" Type="http://schemas.openxmlformats.org/officeDocument/2006/relationships/header" Target="header95.xml"/><Relationship Id="rId228" Type="http://schemas.openxmlformats.org/officeDocument/2006/relationships/footer" Target="footer95.xml"/><Relationship Id="rId229" Type="http://schemas.openxmlformats.org/officeDocument/2006/relationships/image" Target="media/image18.jpeg"/><Relationship Id="rId230" Type="http://schemas.openxmlformats.org/officeDocument/2006/relationships/image" Target="media/image18.jpeg" TargetMode="External"/><Relationship Id="rId231" Type="http://schemas.openxmlformats.org/officeDocument/2006/relationships/header" Target="header96.xml"/><Relationship Id="rId232" Type="http://schemas.openxmlformats.org/officeDocument/2006/relationships/footer" Target="footer96.xml"/><Relationship Id="rId233" Type="http://schemas.openxmlformats.org/officeDocument/2006/relationships/header" Target="header97.xml"/><Relationship Id="rId234" Type="http://schemas.openxmlformats.org/officeDocument/2006/relationships/footer" Target="footer97.xml"/><Relationship Id="rId235" Type="http://schemas.openxmlformats.org/officeDocument/2006/relationships/header" Target="header98.xml"/><Relationship Id="rId236" Type="http://schemas.openxmlformats.org/officeDocument/2006/relationships/footer" Target="footer98.xml"/><Relationship Id="rId237" Type="http://schemas.openxmlformats.org/officeDocument/2006/relationships/header" Target="header99.xml"/><Relationship Id="rId238" Type="http://schemas.openxmlformats.org/officeDocument/2006/relationships/footer" Target="footer99.xml"/><Relationship Id="rId239" Type="http://schemas.openxmlformats.org/officeDocument/2006/relationships/image" Target="media/image19.jpeg"/><Relationship Id="rId240" Type="http://schemas.openxmlformats.org/officeDocument/2006/relationships/image" Target="media/image19.jpeg" TargetMode="External"/><Relationship Id="rId241" Type="http://schemas.openxmlformats.org/officeDocument/2006/relationships/header" Target="header100.xml"/><Relationship Id="rId242" Type="http://schemas.openxmlformats.org/officeDocument/2006/relationships/footer" Target="footer100.xml"/><Relationship Id="rId243" Type="http://schemas.openxmlformats.org/officeDocument/2006/relationships/header" Target="header101.xml"/><Relationship Id="rId244" Type="http://schemas.openxmlformats.org/officeDocument/2006/relationships/footer" Target="footer101.xml"/><Relationship Id="rId245" Type="http://schemas.openxmlformats.org/officeDocument/2006/relationships/header" Target="header102.xml"/><Relationship Id="rId246" Type="http://schemas.openxmlformats.org/officeDocument/2006/relationships/footer" Target="footer102.xml"/><Relationship Id="rId247" Type="http://schemas.openxmlformats.org/officeDocument/2006/relationships/header" Target="header103.xml"/><Relationship Id="rId248" Type="http://schemas.openxmlformats.org/officeDocument/2006/relationships/footer" Target="footer103.xml"/><Relationship Id="rId249" Type="http://schemas.openxmlformats.org/officeDocument/2006/relationships/header" Target="header104.xml"/><Relationship Id="rId250" Type="http://schemas.openxmlformats.org/officeDocument/2006/relationships/footer" Target="footer104.xml"/><Relationship Id="rId251" Type="http://schemas.openxmlformats.org/officeDocument/2006/relationships/header" Target="header105.xml"/><Relationship Id="rId252" Type="http://schemas.openxmlformats.org/officeDocument/2006/relationships/footer" Target="footer105.xml"/><Relationship Id="rId253" Type="http://schemas.openxmlformats.org/officeDocument/2006/relationships/header" Target="header106.xml"/><Relationship Id="rId254" Type="http://schemas.openxmlformats.org/officeDocument/2006/relationships/footer" Target="footer106.xml"/><Relationship Id="rId255" Type="http://schemas.openxmlformats.org/officeDocument/2006/relationships/image" Target="media/image20.jpeg"/><Relationship Id="rId256" Type="http://schemas.openxmlformats.org/officeDocument/2006/relationships/image" Target="media/image20.jpeg" TargetMode="External"/><Relationship Id="rId257" Type="http://schemas.openxmlformats.org/officeDocument/2006/relationships/header" Target="header107.xml"/><Relationship Id="rId258" Type="http://schemas.openxmlformats.org/officeDocument/2006/relationships/footer" Target="footer107.xml"/><Relationship Id="rId259" Type="http://schemas.openxmlformats.org/officeDocument/2006/relationships/header" Target="header108.xml"/><Relationship Id="rId260" Type="http://schemas.openxmlformats.org/officeDocument/2006/relationships/footer" Target="footer108.xml"/><Relationship Id="rId261" Type="http://schemas.openxmlformats.org/officeDocument/2006/relationships/image" Target="media/image21.jpeg"/><Relationship Id="rId262" Type="http://schemas.openxmlformats.org/officeDocument/2006/relationships/image" Target="media/image21.jpeg" TargetMode="External"/><Relationship Id="rId263" Type="http://schemas.openxmlformats.org/officeDocument/2006/relationships/header" Target="header109.xml"/><Relationship Id="rId264" Type="http://schemas.openxmlformats.org/officeDocument/2006/relationships/footer" Target="footer109.xml"/><Relationship Id="rId265" Type="http://schemas.openxmlformats.org/officeDocument/2006/relationships/header" Target="header110.xml"/><Relationship Id="rId266" Type="http://schemas.openxmlformats.org/officeDocument/2006/relationships/footer" Target="footer110.xml"/><Relationship Id="rId267" Type="http://schemas.openxmlformats.org/officeDocument/2006/relationships/header" Target="header111.xml"/><Relationship Id="rId268" Type="http://schemas.openxmlformats.org/officeDocument/2006/relationships/footer" Target="footer111.xml"/><Relationship Id="rId269" Type="http://schemas.openxmlformats.org/officeDocument/2006/relationships/header" Target="header112.xml"/><Relationship Id="rId270" Type="http://schemas.openxmlformats.org/officeDocument/2006/relationships/footer" Target="footer112.xml"/><Relationship Id="rId271" Type="http://schemas.openxmlformats.org/officeDocument/2006/relationships/image" Target="media/image22.jpeg"/><Relationship Id="rId272" Type="http://schemas.openxmlformats.org/officeDocument/2006/relationships/image" Target="media/image22.jpeg" TargetMode="External"/><Relationship Id="rId273" Type="http://schemas.openxmlformats.org/officeDocument/2006/relationships/header" Target="header113.xml"/><Relationship Id="rId274" Type="http://schemas.openxmlformats.org/officeDocument/2006/relationships/footer" Target="footer113.xml"/><Relationship Id="rId275" Type="http://schemas.openxmlformats.org/officeDocument/2006/relationships/header" Target="header114.xml"/><Relationship Id="rId276" Type="http://schemas.openxmlformats.org/officeDocument/2006/relationships/footer" Target="footer114.xml"/><Relationship Id="rId277" Type="http://schemas.openxmlformats.org/officeDocument/2006/relationships/header" Target="header115.xml"/><Relationship Id="rId278" Type="http://schemas.openxmlformats.org/officeDocument/2006/relationships/footer" Target="footer115.xml"/><Relationship Id="rId279" Type="http://schemas.openxmlformats.org/officeDocument/2006/relationships/header" Target="header116.xml"/><Relationship Id="rId280" Type="http://schemas.openxmlformats.org/officeDocument/2006/relationships/footer" Target="footer116.xml"/><Relationship Id="rId281" Type="http://schemas.openxmlformats.org/officeDocument/2006/relationships/header" Target="header117.xml"/><Relationship Id="rId282" Type="http://schemas.openxmlformats.org/officeDocument/2006/relationships/footer" Target="footer117.xml"/><Relationship Id="rId283" Type="http://schemas.openxmlformats.org/officeDocument/2006/relationships/header" Target="header118.xml"/><Relationship Id="rId284" Type="http://schemas.openxmlformats.org/officeDocument/2006/relationships/footer" Target="footer118.xml"/><Relationship Id="rId285" Type="http://schemas.openxmlformats.org/officeDocument/2006/relationships/image" Target="media/image23.jpeg"/><Relationship Id="rId286" Type="http://schemas.openxmlformats.org/officeDocument/2006/relationships/image" Target="media/image23.jpeg" TargetMode="External"/><Relationship Id="rId287" Type="http://schemas.openxmlformats.org/officeDocument/2006/relationships/header" Target="header119.xml"/><Relationship Id="rId288" Type="http://schemas.openxmlformats.org/officeDocument/2006/relationships/footer" Target="footer119.xml"/><Relationship Id="rId289" Type="http://schemas.openxmlformats.org/officeDocument/2006/relationships/header" Target="header120.xml"/><Relationship Id="rId290" Type="http://schemas.openxmlformats.org/officeDocument/2006/relationships/footer" Target="footer120.xml"/><Relationship Id="rId291" Type="http://schemas.openxmlformats.org/officeDocument/2006/relationships/header" Target="header121.xml"/><Relationship Id="rId292" Type="http://schemas.openxmlformats.org/officeDocument/2006/relationships/footer" Target="footer121.xml"/><Relationship Id="rId293" Type="http://schemas.openxmlformats.org/officeDocument/2006/relationships/header" Target="header122.xml"/><Relationship Id="rId294" Type="http://schemas.openxmlformats.org/officeDocument/2006/relationships/footer" Target="footer122.xml"/><Relationship Id="rId295" Type="http://schemas.openxmlformats.org/officeDocument/2006/relationships/header" Target="header123.xml"/><Relationship Id="rId296" Type="http://schemas.openxmlformats.org/officeDocument/2006/relationships/footer" Target="footer123.xml"/><Relationship Id="rId297" Type="http://schemas.openxmlformats.org/officeDocument/2006/relationships/header" Target="header124.xml"/><Relationship Id="rId298" Type="http://schemas.openxmlformats.org/officeDocument/2006/relationships/footer" Target="footer124.xml"/><Relationship Id="rId299" Type="http://schemas.openxmlformats.org/officeDocument/2006/relationships/header" Target="header125.xml"/><Relationship Id="rId300" Type="http://schemas.openxmlformats.org/officeDocument/2006/relationships/footer" Target="footer125.xml"/><Relationship Id="rId301" Type="http://schemas.openxmlformats.org/officeDocument/2006/relationships/header" Target="header126.xml"/><Relationship Id="rId302" Type="http://schemas.openxmlformats.org/officeDocument/2006/relationships/footer" Target="footer126.xml"/><Relationship Id="rId303" Type="http://schemas.openxmlformats.org/officeDocument/2006/relationships/header" Target="header127.xml"/><Relationship Id="rId304" Type="http://schemas.openxmlformats.org/officeDocument/2006/relationships/footer" Target="footer127.xml"/><Relationship Id="rId305" Type="http://schemas.openxmlformats.org/officeDocument/2006/relationships/header" Target="header128.xml"/><Relationship Id="rId306" Type="http://schemas.openxmlformats.org/officeDocument/2006/relationships/footer" Target="footer128.xml"/><Relationship Id="rId307" Type="http://schemas.openxmlformats.org/officeDocument/2006/relationships/header" Target="header129.xml"/><Relationship Id="rId308" Type="http://schemas.openxmlformats.org/officeDocument/2006/relationships/footer" Target="footer129.xml"/><Relationship Id="rId309" Type="http://schemas.openxmlformats.org/officeDocument/2006/relationships/header" Target="header130.xml"/><Relationship Id="rId310" Type="http://schemas.openxmlformats.org/officeDocument/2006/relationships/footer" Target="footer130.xml"/><Relationship Id="rId311" Type="http://schemas.openxmlformats.org/officeDocument/2006/relationships/header" Target="header131.xml"/><Relationship Id="rId312" Type="http://schemas.openxmlformats.org/officeDocument/2006/relationships/footer" Target="footer131.xml"/><Relationship Id="rId313" Type="http://schemas.openxmlformats.org/officeDocument/2006/relationships/header" Target="header132.xml"/><Relationship Id="rId314" Type="http://schemas.openxmlformats.org/officeDocument/2006/relationships/footer" Target="footer132.xml"/><Relationship Id="rId315" Type="http://schemas.openxmlformats.org/officeDocument/2006/relationships/image" Target="media/image24.jpeg"/><Relationship Id="rId316" Type="http://schemas.openxmlformats.org/officeDocument/2006/relationships/image" Target="media/image24.jpeg" TargetMode="External"/><Relationship Id="rId317" Type="http://schemas.openxmlformats.org/officeDocument/2006/relationships/image" Target="media/image25.jpeg"/><Relationship Id="rId318" Type="http://schemas.openxmlformats.org/officeDocument/2006/relationships/image" Target="media/image25.jpeg" TargetMode="External"/><Relationship Id="rId319" Type="http://schemas.openxmlformats.org/officeDocument/2006/relationships/header" Target="header133.xml"/><Relationship Id="rId320" Type="http://schemas.openxmlformats.org/officeDocument/2006/relationships/footer" Target="footer133.xml"/><Relationship Id="rId321" Type="http://schemas.openxmlformats.org/officeDocument/2006/relationships/header" Target="header134.xml"/><Relationship Id="rId322" Type="http://schemas.openxmlformats.org/officeDocument/2006/relationships/footer" Target="footer134.xml"/><Relationship Id="rId323" Type="http://schemas.openxmlformats.org/officeDocument/2006/relationships/header" Target="header135.xml"/><Relationship Id="rId324" Type="http://schemas.openxmlformats.org/officeDocument/2006/relationships/footer" Target="footer135.xml"/><Relationship Id="rId325" Type="http://schemas.openxmlformats.org/officeDocument/2006/relationships/header" Target="header136.xml"/><Relationship Id="rId326" Type="http://schemas.openxmlformats.org/officeDocument/2006/relationships/footer" Target="footer136.xml"/><Relationship Id="rId327" Type="http://schemas.openxmlformats.org/officeDocument/2006/relationships/header" Target="header137.xml"/><Relationship Id="rId328" Type="http://schemas.openxmlformats.org/officeDocument/2006/relationships/footer" Target="footer137.xml"/><Relationship Id="rId329" Type="http://schemas.openxmlformats.org/officeDocument/2006/relationships/image" Target="media/image26.jpeg"/><Relationship Id="rId330" Type="http://schemas.openxmlformats.org/officeDocument/2006/relationships/image" Target="media/image26.jpeg" TargetMode="External"/><Relationship Id="rId331" Type="http://schemas.openxmlformats.org/officeDocument/2006/relationships/header" Target="header138.xml"/><Relationship Id="rId332" Type="http://schemas.openxmlformats.org/officeDocument/2006/relationships/footer" Target="footer138.xml"/><Relationship Id="rId333" Type="http://schemas.openxmlformats.org/officeDocument/2006/relationships/header" Target="header139.xml"/><Relationship Id="rId334" Type="http://schemas.openxmlformats.org/officeDocument/2006/relationships/footer" Target="footer139.xml"/><Relationship Id="rId335" Type="http://schemas.openxmlformats.org/officeDocument/2006/relationships/header" Target="header140.xml"/><Relationship Id="rId336" Type="http://schemas.openxmlformats.org/officeDocument/2006/relationships/footer" Target="footer140.xml"/><Relationship Id="rId337" Type="http://schemas.openxmlformats.org/officeDocument/2006/relationships/header" Target="header141.xml"/><Relationship Id="rId338" Type="http://schemas.openxmlformats.org/officeDocument/2006/relationships/footer" Target="footer141.xml"/><Relationship Id="rId339" Type="http://schemas.openxmlformats.org/officeDocument/2006/relationships/header" Target="header142.xml"/><Relationship Id="rId340" Type="http://schemas.openxmlformats.org/officeDocument/2006/relationships/footer" Target="footer142.xml"/><Relationship Id="rId341" Type="http://schemas.openxmlformats.org/officeDocument/2006/relationships/image" Target="media/image27.jpeg"/><Relationship Id="rId342" Type="http://schemas.openxmlformats.org/officeDocument/2006/relationships/image" Target="media/image27.jpeg" TargetMode="External"/><Relationship Id="rId343" Type="http://schemas.openxmlformats.org/officeDocument/2006/relationships/image" Target="media/image28.jpeg"/><Relationship Id="rId344" Type="http://schemas.openxmlformats.org/officeDocument/2006/relationships/image" Target="media/image28.jpeg" TargetMode="External"/><Relationship Id="rId345" Type="http://schemas.openxmlformats.org/officeDocument/2006/relationships/header" Target="header143.xml"/><Relationship Id="rId346" Type="http://schemas.openxmlformats.org/officeDocument/2006/relationships/footer" Target="footer143.xml"/><Relationship Id="rId347" Type="http://schemas.openxmlformats.org/officeDocument/2006/relationships/header" Target="header144.xml"/><Relationship Id="rId348" Type="http://schemas.openxmlformats.org/officeDocument/2006/relationships/footer" Target="footer144.xml"/></Relationships>
</file>