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203" w:lineRule="exact"/>
        <w:ind w:left="346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913363" cy="139903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913363" cy="1399031"/>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安徽鑫龙电器股份有限公司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公司负责人束龙胜、主管会计工作负责人陶黎明及会计机构负责人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杨勇声明：保证年度报告中财务报告的真实、准确、完整。</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410" w:lineRule="auto" w:before="0"/>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本报告中涉及的未来发展规划及事项的陈述，属于计划性事项，不构成公</w:t>
      </w:r>
      <w:r>
        <w:rPr>
          <w:rFonts w:ascii="宋体" w:hAnsi="宋体" w:cs="宋体" w:eastAsia="宋体" w:hint="default"/>
          <w:b/>
          <w:bCs/>
          <w:w w:val="99"/>
          <w:sz w:val="28"/>
          <w:szCs w:val="28"/>
        </w:rPr>
        <w:t> </w:t>
      </w:r>
      <w:r>
        <w:rPr>
          <w:rFonts w:ascii="宋体" w:hAnsi="宋体" w:cs="宋体" w:eastAsia="宋体" w:hint="default"/>
          <w:b/>
          <w:bCs/>
          <w:sz w:val="28"/>
          <w:szCs w:val="28"/>
        </w:rPr>
        <w:t>司对投资者的实质承诺，请投资者注意投资风险。</w:t>
      </w:r>
      <w:r>
        <w:rPr>
          <w:rFonts w:ascii="宋体" w:hAnsi="宋体" w:cs="宋体" w:eastAsia="宋体" w:hint="default"/>
          <w:sz w:val="28"/>
          <w:szCs w:val="28"/>
        </w:rPr>
      </w:r>
    </w:p>
    <w:p>
      <w:pPr>
        <w:spacing w:after="0" w:line="410"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宋体" w:hAnsi="宋体" w:cs="宋体" w:eastAsia="宋体" w:hint="default"/>
            </w:rPr>
            <w:tab/>
            <w:t>1</w:t>
          </w:r>
          <w:r>
            <w:rPr>
              <w:rFonts w:ascii="宋体" w:hAnsi="宋体" w:cs="宋体" w:eastAsia="宋体"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TOC_250010">
            <w:r>
              <w:rPr/>
              <w:t>第二节</w:t>
            </w:r>
            <w:r>
              <w:rPr>
                <w:spacing w:val="-19"/>
              </w:rPr>
              <w:t> </w:t>
            </w:r>
            <w:r>
              <w:rPr/>
              <w:t>公司简介</w:t>
            </w:r>
            <w:r>
              <w:rPr>
                <w:rFonts w:ascii="宋体" w:hAnsi="宋体" w:cs="宋体" w:eastAsia="宋体" w:hint="default"/>
              </w:rPr>
              <w:tab/>
              <w:t>6</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TOC_250009">
            <w:r>
              <w:rPr/>
              <w:t>第三节</w:t>
            </w:r>
            <w:r>
              <w:rPr>
                <w:spacing w:val="-19"/>
              </w:rPr>
              <w:t> </w:t>
            </w:r>
            <w:r>
              <w:rPr/>
              <w:t>会计数据和财务指标摘要</w:t>
            </w:r>
            <w:r>
              <w:rPr>
                <w:rFonts w:ascii="宋体" w:hAnsi="宋体" w:cs="宋体" w:eastAsia="宋体" w:hint="default"/>
              </w:rPr>
              <w:tab/>
              <w:t>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8">
            <w:r>
              <w:rPr/>
              <w:t>第四节</w:t>
            </w:r>
            <w:r>
              <w:rPr>
                <w:spacing w:val="-19"/>
              </w:rPr>
              <w:t> </w:t>
            </w:r>
            <w:r>
              <w:rPr/>
              <w:t>董事会报告</w:t>
            </w:r>
            <w:r>
              <w:rPr>
                <w:rFonts w:ascii="宋体" w:hAnsi="宋体" w:cs="宋体" w:eastAsia="宋体" w:hint="default"/>
              </w:rPr>
              <w:tab/>
              <w:t>10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7">
            <w:r>
              <w:rPr/>
              <w:t>第五节</w:t>
            </w:r>
            <w:r>
              <w:rPr>
                <w:spacing w:val="-19"/>
              </w:rPr>
              <w:t> </w:t>
            </w:r>
            <w:r>
              <w:rPr/>
              <w:t>重要事项</w:t>
            </w:r>
            <w:r>
              <w:rPr>
                <w:rFonts w:ascii="宋体" w:hAnsi="宋体" w:cs="宋体" w:eastAsia="宋体" w:hint="default"/>
              </w:rPr>
              <w:tab/>
              <w:t>34</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6">
            <w:r>
              <w:rPr/>
              <w:t>第六节</w:t>
            </w:r>
            <w:r>
              <w:rPr>
                <w:spacing w:val="-19"/>
              </w:rPr>
              <w:t> </w:t>
            </w:r>
            <w:r>
              <w:rPr/>
              <w:t>股份变动及股东情况</w:t>
            </w:r>
            <w:r>
              <w:rPr>
                <w:rFonts w:ascii="宋体" w:hAnsi="宋体" w:cs="宋体" w:eastAsia="宋体" w:hint="default"/>
              </w:rPr>
              <w:tab/>
              <w:t>42</w:t>
            </w:r>
            <w:r>
              <w:rPr>
                <w:rFonts w:ascii="宋体" w:hAnsi="宋体" w:cs="宋体" w:eastAsia="宋体" w:hint="default"/>
                <w:b w:val="0"/>
                <w:bCs w:val="0"/>
              </w:rPr>
            </w:r>
          </w:hyperlink>
        </w:p>
        <w:p>
          <w:pPr>
            <w:pStyle w:val="TOC1"/>
            <w:tabs>
              <w:tab w:pos="9782" w:val="right" w:leader="dot"/>
            </w:tabs>
            <w:spacing w:line="240" w:lineRule="auto" w:before="160"/>
            <w:ind w:right="0"/>
            <w:jc w:val="left"/>
            <w:rPr>
              <w:rFonts w:ascii="宋体" w:hAnsi="宋体" w:cs="宋体" w:eastAsia="宋体" w:hint="default"/>
              <w:b w:val="0"/>
              <w:bCs w:val="0"/>
            </w:rPr>
          </w:pPr>
          <w:hyperlink w:history="true" w:anchor="_TOC_250005">
            <w:r>
              <w:rPr/>
              <w:t>第七节</w:t>
            </w:r>
            <w:r>
              <w:rPr>
                <w:spacing w:val="-19"/>
              </w:rPr>
              <w:t> </w:t>
            </w:r>
            <w:r>
              <w:rPr/>
              <w:t>优先股相关情况</w:t>
            </w:r>
            <w:r>
              <w:rPr>
                <w:rFonts w:ascii="宋体" w:hAnsi="宋体" w:cs="宋体" w:eastAsia="宋体" w:hint="default"/>
              </w:rPr>
              <w:tab/>
              <w:t>47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4">
            <w:r>
              <w:rPr/>
              <w:t>第八节</w:t>
            </w:r>
            <w:r>
              <w:rPr>
                <w:spacing w:val="-19"/>
              </w:rPr>
              <w:t> </w:t>
            </w:r>
            <w:r>
              <w:rPr/>
              <w:t>董事、监事、高级管理人员和员工情况</w:t>
            </w:r>
            <w:r>
              <w:rPr>
                <w:rFonts w:ascii="宋体" w:hAnsi="宋体" w:cs="宋体" w:eastAsia="宋体" w:hint="default"/>
              </w:rPr>
              <w:tab/>
              <w:t>48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3">
            <w:r>
              <w:rPr/>
              <w:t>第九节</w:t>
            </w:r>
            <w:r>
              <w:rPr>
                <w:spacing w:val="-19"/>
              </w:rPr>
              <w:t> </w:t>
            </w:r>
            <w:r>
              <w:rPr/>
              <w:t>公司治理</w:t>
            </w:r>
            <w:r>
              <w:rPr>
                <w:rFonts w:ascii="宋体" w:hAnsi="宋体" w:cs="宋体" w:eastAsia="宋体" w:hint="default"/>
              </w:rPr>
              <w:tab/>
              <w:t>55</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2">
            <w:r>
              <w:rPr/>
              <w:t>第十节</w:t>
            </w:r>
            <w:r>
              <w:rPr>
                <w:spacing w:val="-19"/>
              </w:rPr>
              <w:t> </w:t>
            </w:r>
            <w:r>
              <w:rPr/>
              <w:t>内部控制</w:t>
            </w:r>
            <w:r>
              <w:rPr>
                <w:rFonts w:ascii="宋体" w:hAnsi="宋体" w:cs="宋体" w:eastAsia="宋体" w:hint="default"/>
              </w:rPr>
              <w:tab/>
              <w:t>60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1">
            <w:r>
              <w:rPr/>
              <w:t>第十一节</w:t>
            </w:r>
            <w:r>
              <w:rPr>
                <w:spacing w:val="-19"/>
              </w:rPr>
              <w:t> </w:t>
            </w:r>
            <w:r>
              <w:rPr/>
              <w:t>财务报告</w:t>
            </w:r>
            <w:r>
              <w:rPr>
                <w:rFonts w:ascii="宋体" w:hAnsi="宋体" w:cs="宋体" w:eastAsia="宋体" w:hint="default"/>
              </w:rPr>
              <w:tab/>
              <w:t>62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0">
            <w:r>
              <w:rPr/>
              <w:t>第十二节</w:t>
            </w:r>
            <w:r>
              <w:rPr>
                <w:spacing w:val="-20"/>
              </w:rPr>
              <w:t> </w:t>
            </w:r>
            <w:r>
              <w:rPr/>
              <w:t>备查文件目录</w:t>
            </w:r>
            <w:r>
              <w:rPr>
                <w:rFonts w:ascii="宋体" w:hAnsi="宋体" w:cs="宋体" w:eastAsia="宋体" w:hint="default"/>
              </w:rPr>
              <w:tab/>
              <w:t>149</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本公司、公司、鑫龙电器、股份公司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《公司章程》或《章程》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华林证券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华林证券有限责任公司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786" w:right="3763"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3" w:lineRule="auto" w:before="0"/>
        <w:ind w:left="153" w:right="0" w:firstLine="562"/>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1</w:t>
      </w:r>
      <w:r>
        <w:rPr>
          <w:rFonts w:ascii="宋体" w:hAnsi="宋体" w:cs="宋体" w:eastAsia="宋体" w:hint="default"/>
          <w:b/>
          <w:bCs/>
          <w:spacing w:val="2"/>
          <w:sz w:val="28"/>
          <w:szCs w:val="28"/>
        </w:rPr>
        <w:t>、行业竞争风险</w:t>
      </w:r>
      <w:r>
        <w:rPr>
          <w:rFonts w:ascii="宋体" w:hAnsi="宋体" w:cs="宋体" w:eastAsia="宋体" w:hint="default"/>
          <w:b/>
          <w:bCs/>
          <w:spacing w:val="-10"/>
          <w:sz w:val="28"/>
          <w:szCs w:val="28"/>
        </w:rPr>
        <w:t> </w:t>
      </w:r>
      <w:r>
        <w:rPr>
          <w:rFonts w:ascii="宋体" w:hAnsi="宋体" w:cs="宋体" w:eastAsia="宋体" w:hint="default"/>
          <w:b/>
          <w:bCs/>
          <w:spacing w:val="3"/>
          <w:sz w:val="28"/>
          <w:szCs w:val="28"/>
        </w:rPr>
        <w:t>经过多年发展，我国输配电及控制设备制造业已形成了</w:t>
      </w:r>
      <w:r>
        <w:rPr>
          <w:rFonts w:ascii="宋体" w:hAnsi="宋体" w:cs="宋体" w:eastAsia="宋体" w:hint="default"/>
          <w:b/>
          <w:bCs/>
          <w:w w:val="99"/>
          <w:sz w:val="28"/>
          <w:szCs w:val="28"/>
        </w:rPr>
        <w:t> </w:t>
      </w:r>
      <w:r>
        <w:rPr>
          <w:rFonts w:ascii="宋体" w:hAnsi="宋体" w:cs="宋体" w:eastAsia="宋体" w:hint="default"/>
          <w:b/>
          <w:bCs/>
          <w:spacing w:val="3"/>
          <w:sz w:val="28"/>
          <w:szCs w:val="28"/>
        </w:rPr>
        <w:t>国有企业、民营企业和外资企业并存的市场竞争格局。在高低压领域，输配电</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及控制设备产品的生产厂家众多，行业集中度较低，市场竞争激烈，产品的价</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格、质量、技术含量和售后服务受到越来越多的关注，因此当行业竞争加剧时，</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z w:val="28"/>
          <w:szCs w:val="28"/>
        </w:rPr>
        <w:t>公司的经营业绩将会受到一定程度的影响。</w:t>
      </w:r>
      <w:r>
        <w:rPr>
          <w:rFonts w:ascii="宋体" w:hAnsi="宋体" w:cs="宋体" w:eastAsia="宋体" w:hint="default"/>
          <w:sz w:val="28"/>
          <w:szCs w:val="28"/>
        </w:rPr>
      </w:r>
    </w:p>
    <w:p>
      <w:pPr>
        <w:spacing w:line="403" w:lineRule="auto" w:before="166"/>
        <w:ind w:left="153" w:right="1137"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、产品质量风险</w:t>
      </w:r>
      <w:r>
        <w:rPr>
          <w:rFonts w:ascii="宋体" w:hAnsi="宋体" w:cs="宋体" w:eastAsia="宋体" w:hint="default"/>
          <w:b/>
          <w:bCs/>
          <w:spacing w:val="-23"/>
          <w:sz w:val="28"/>
          <w:szCs w:val="28"/>
        </w:rPr>
        <w:t> </w:t>
      </w:r>
      <w:r>
        <w:rPr>
          <w:rFonts w:ascii="宋体" w:hAnsi="宋体" w:cs="宋体" w:eastAsia="宋体" w:hint="default"/>
          <w:b/>
          <w:bCs/>
          <w:spacing w:val="3"/>
          <w:sz w:val="28"/>
          <w:szCs w:val="28"/>
        </w:rPr>
        <w:t>公司的产品主要应用于输配电及控制系统，产品质量相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当关键，一旦出现故障，有可能造成用户电力系统严重事故，甚至危及电网的</w:t>
      </w:r>
      <w:r>
        <w:rPr>
          <w:rFonts w:ascii="宋体" w:hAnsi="宋体" w:cs="宋体" w:eastAsia="宋体" w:hint="default"/>
          <w:b/>
          <w:bCs/>
          <w:spacing w:val="30"/>
          <w:w w:val="95"/>
          <w:sz w:val="28"/>
          <w:szCs w:val="28"/>
        </w:rPr>
        <w:t> </w:t>
      </w:r>
      <w:r>
        <w:rPr>
          <w:rFonts w:ascii="宋体" w:hAnsi="宋体" w:cs="宋体" w:eastAsia="宋体" w:hint="default"/>
          <w:b/>
          <w:bCs/>
          <w:spacing w:val="30"/>
          <w:w w:val="95"/>
          <w:sz w:val="28"/>
          <w:szCs w:val="28"/>
        </w:rPr>
      </w:r>
      <w:r>
        <w:rPr>
          <w:rFonts w:ascii="宋体" w:hAnsi="宋体" w:cs="宋体" w:eastAsia="宋体" w:hint="default"/>
          <w:b/>
          <w:bCs/>
          <w:spacing w:val="3"/>
          <w:w w:val="95"/>
          <w:sz w:val="28"/>
          <w:szCs w:val="28"/>
        </w:rPr>
        <w:t>安全，给公司信誉带来重大损害，影响公司产品的销售；同时，公司产品出厂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后，如果在用户安装检验过程中发现质量问题，不能达到设计要求，无论返工</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或退货，都将会直接影响公司的经济效益，给公司带来产品质量的风险。</w:t>
      </w:r>
      <w:r>
        <w:rPr>
          <w:rFonts w:ascii="宋体" w:hAnsi="宋体" w:cs="宋体" w:eastAsia="宋体" w:hint="default"/>
          <w:sz w:val="28"/>
          <w:szCs w:val="28"/>
        </w:rPr>
      </w:r>
    </w:p>
    <w:p>
      <w:pPr>
        <w:spacing w:line="398" w:lineRule="auto" w:before="165"/>
        <w:ind w:left="153" w:right="1138" w:firstLine="562"/>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、并购整合风险</w:t>
      </w:r>
      <w:r>
        <w:rPr>
          <w:rFonts w:ascii="宋体" w:hAnsi="宋体" w:cs="宋体" w:eastAsia="宋体" w:hint="default"/>
          <w:b/>
          <w:bCs/>
          <w:spacing w:val="60"/>
          <w:sz w:val="28"/>
          <w:szCs w:val="28"/>
        </w:rPr>
        <w:t> </w:t>
      </w:r>
      <w:r>
        <w:rPr>
          <w:rFonts w:ascii="宋体" w:hAnsi="宋体" w:cs="宋体" w:eastAsia="宋体" w:hint="default"/>
          <w:b/>
          <w:bCs/>
          <w:sz w:val="28"/>
          <w:szCs w:val="28"/>
        </w:rPr>
        <w:t>由于市场定位、市场策略、销售策略、品牌的差异带来</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的影响以及并购后新的企业在经营管理、组织设置、团队磨合、内部控制、人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才引进等方面存在一定的风险和挑战。</w:t>
      </w:r>
      <w:r>
        <w:rPr>
          <w:rFonts w:ascii="宋体" w:hAnsi="宋体" w:cs="宋体" w:eastAsia="宋体" w:hint="default"/>
          <w:sz w:val="28"/>
          <w:szCs w:val="28"/>
        </w:rPr>
      </w:r>
    </w:p>
    <w:p>
      <w:pPr>
        <w:spacing w:before="171"/>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、报告期内，公司启动了重大资产重组事项，公司于</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w:t>
      </w:r>
      <w:r>
        <w:rPr>
          <w:rFonts w:ascii="宋体" w:hAnsi="宋体" w:cs="宋体" w:eastAsia="宋体" w:hint="default"/>
          <w:b/>
          <w:bCs/>
          <w:spacing w:val="-85"/>
          <w:sz w:val="28"/>
          <w:szCs w:val="28"/>
        </w:rPr>
        <w:t> </w:t>
      </w:r>
      <w:r>
        <w:rPr>
          <w:rFonts w:ascii="Times New Roman" w:hAnsi="Times New Roman" w:cs="Times New Roman" w:eastAsia="Times New Roman" w:hint="default"/>
          <w:b/>
          <w:bCs/>
          <w:sz w:val="28"/>
          <w:szCs w:val="28"/>
        </w:rPr>
        <w:t>9</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月</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30</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日披</w:t>
      </w:r>
      <w:r>
        <w:rPr>
          <w:rFonts w:ascii="宋体" w:hAnsi="宋体" w:cs="宋体" w:eastAsia="宋体" w:hint="default"/>
          <w:sz w:val="28"/>
          <w:szCs w:val="28"/>
        </w:rPr>
      </w:r>
    </w:p>
    <w:p>
      <w:pPr>
        <w:spacing w:line="398" w:lineRule="auto" w:before="236"/>
        <w:ind w:left="153" w:right="0" w:firstLine="0"/>
        <w:jc w:val="left"/>
        <w:rPr>
          <w:rFonts w:ascii="宋体" w:hAnsi="宋体" w:cs="宋体" w:eastAsia="宋体" w:hint="default"/>
          <w:sz w:val="28"/>
          <w:szCs w:val="28"/>
        </w:rPr>
      </w:pPr>
      <w:r>
        <w:rPr>
          <w:rFonts w:ascii="宋体" w:hAnsi="宋体" w:cs="宋体" w:eastAsia="宋体" w:hint="default"/>
          <w:b/>
          <w:bCs/>
          <w:spacing w:val="-7"/>
          <w:w w:val="99"/>
          <w:sz w:val="28"/>
          <w:szCs w:val="28"/>
        </w:rPr>
        <w:t>露了《关于筹划重大事项停牌的公告》，并于</w:t>
      </w:r>
      <w:r>
        <w:rPr>
          <w:rFonts w:ascii="宋体" w:hAnsi="宋体" w:cs="宋体" w:eastAsia="宋体" w:hint="default"/>
          <w:b/>
          <w:bCs/>
          <w:spacing w:val="-48"/>
          <w:w w:val="99"/>
          <w:sz w:val="28"/>
          <w:szCs w:val="28"/>
        </w:rPr>
        <w:t> </w:t>
      </w:r>
      <w:r>
        <w:rPr>
          <w:rFonts w:ascii="Times New Roman" w:hAnsi="Times New Roman" w:cs="Times New Roman" w:eastAsia="Times New Roman" w:hint="default"/>
          <w:b/>
          <w:bCs/>
          <w:w w:val="99"/>
          <w:sz w:val="28"/>
          <w:szCs w:val="28"/>
        </w:rPr>
        <w:t>2014</w:t>
      </w:r>
      <w:r>
        <w:rPr>
          <w:rFonts w:ascii="Times New Roman" w:hAnsi="Times New Roman" w:cs="Times New Roman" w:eastAsia="Times New Roman" w:hint="default"/>
          <w:b/>
          <w:bCs/>
          <w:spacing w:val="15"/>
          <w:w w:val="99"/>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5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5"/>
          <w:w w:val="99"/>
          <w:sz w:val="28"/>
          <w:szCs w:val="28"/>
        </w:rPr>
        <w:t> </w:t>
      </w:r>
      <w:r>
        <w:rPr>
          <w:rFonts w:ascii="宋体" w:hAnsi="宋体" w:cs="宋体" w:eastAsia="宋体" w:hint="default"/>
          <w:b/>
          <w:bCs/>
          <w:w w:val="99"/>
          <w:sz w:val="28"/>
          <w:szCs w:val="28"/>
        </w:rPr>
        <w:t>月</w:t>
      </w:r>
      <w:r>
        <w:rPr>
          <w:rFonts w:ascii="宋体" w:hAnsi="宋体" w:cs="宋体" w:eastAsia="宋体" w:hint="default"/>
          <w:b/>
          <w:bCs/>
          <w:spacing w:val="-54"/>
          <w:w w:val="99"/>
          <w:sz w:val="28"/>
          <w:szCs w:val="28"/>
        </w:rPr>
        <w:t> </w:t>
      </w:r>
      <w:r>
        <w:rPr>
          <w:rFonts w:ascii="Times New Roman" w:hAnsi="Times New Roman" w:cs="Times New Roman" w:eastAsia="Times New Roman" w:hint="default"/>
          <w:b/>
          <w:bCs/>
          <w:w w:val="99"/>
          <w:sz w:val="28"/>
          <w:szCs w:val="28"/>
        </w:rPr>
        <w:t>14</w:t>
      </w:r>
      <w:r>
        <w:rPr>
          <w:rFonts w:ascii="Times New Roman" w:hAnsi="Times New Roman" w:cs="Times New Roman" w:eastAsia="Times New Roman" w:hint="default"/>
          <w:b/>
          <w:bCs/>
          <w:spacing w:val="15"/>
          <w:w w:val="99"/>
          <w:sz w:val="28"/>
          <w:szCs w:val="28"/>
        </w:rPr>
        <w:t> </w:t>
      </w:r>
      <w:r>
        <w:rPr>
          <w:rFonts w:ascii="宋体" w:hAnsi="宋体" w:cs="宋体" w:eastAsia="宋体" w:hint="default"/>
          <w:b/>
          <w:bCs/>
          <w:w w:val="99"/>
          <w:sz w:val="28"/>
          <w:szCs w:val="28"/>
        </w:rPr>
        <w:t>日披露了《关于</w:t>
      </w:r>
      <w:r>
        <w:rPr>
          <w:rFonts w:ascii="宋体" w:hAnsi="宋体" w:cs="宋体" w:eastAsia="宋体" w:hint="default"/>
          <w:b/>
          <w:bCs/>
          <w:spacing w:val="-138"/>
          <w:w w:val="99"/>
          <w:sz w:val="28"/>
          <w:szCs w:val="28"/>
        </w:rPr>
        <w:t> </w:t>
      </w:r>
      <w:r>
        <w:rPr>
          <w:rFonts w:ascii="宋体" w:hAnsi="宋体" w:cs="宋体" w:eastAsia="宋体" w:hint="default"/>
          <w:b/>
          <w:bCs/>
          <w:spacing w:val="-138"/>
          <w:w w:val="99"/>
          <w:sz w:val="28"/>
          <w:szCs w:val="28"/>
        </w:rPr>
      </w:r>
      <w:r>
        <w:rPr>
          <w:rFonts w:ascii="宋体" w:hAnsi="宋体" w:cs="宋体" w:eastAsia="宋体" w:hint="default"/>
          <w:b/>
          <w:bCs/>
          <w:spacing w:val="-10"/>
          <w:w w:val="99"/>
          <w:sz w:val="28"/>
          <w:szCs w:val="28"/>
        </w:rPr>
        <w:t>重大资产重组停牌的公告》，本次筹划的重大资产重组事项，尚存较大不确定性，</w:t>
      </w:r>
      <w:r>
        <w:rPr>
          <w:rFonts w:ascii="宋体" w:hAnsi="宋体" w:cs="宋体" w:eastAsia="宋体" w:hint="default"/>
          <w:b/>
          <w:bCs/>
          <w:spacing w:val="-106"/>
          <w:w w:val="99"/>
          <w:sz w:val="28"/>
          <w:szCs w:val="28"/>
        </w:rPr>
        <w:t> </w:t>
      </w:r>
      <w:r>
        <w:rPr>
          <w:rFonts w:ascii="宋体" w:hAnsi="宋体" w:cs="宋体" w:eastAsia="宋体" w:hint="default"/>
          <w:b/>
          <w:bCs/>
          <w:spacing w:val="-106"/>
          <w:w w:val="99"/>
          <w:sz w:val="28"/>
          <w:szCs w:val="28"/>
        </w:rPr>
      </w:r>
      <w:r>
        <w:rPr>
          <w:rFonts w:ascii="宋体" w:hAnsi="宋体" w:cs="宋体" w:eastAsia="宋体" w:hint="default"/>
          <w:b/>
          <w:bCs/>
          <w:sz w:val="28"/>
          <w:szCs w:val="28"/>
        </w:rPr>
        <w:t>敬请广大投资者注意投资风险。</w:t>
      </w:r>
      <w:r>
        <w:rPr>
          <w:rFonts w:ascii="宋体" w:hAnsi="宋体" w:cs="宋体" w:eastAsia="宋体" w:hint="default"/>
          <w:sz w:val="28"/>
          <w:szCs w:val="28"/>
        </w:rPr>
      </w:r>
    </w:p>
    <w:p>
      <w:pPr>
        <w:spacing w:line="386" w:lineRule="auto" w:before="172"/>
        <w:ind w:left="153" w:right="1136" w:firstLine="562"/>
        <w:jc w:val="both"/>
        <w:rPr>
          <w:rFonts w:ascii="宋体" w:hAnsi="宋体" w:cs="宋体" w:eastAsia="宋体" w:hint="default"/>
          <w:sz w:val="28"/>
          <w:szCs w:val="28"/>
        </w:rPr>
      </w:pPr>
      <w:r>
        <w:rPr>
          <w:rFonts w:ascii="Times New Roman" w:hAnsi="Times New Roman" w:cs="Times New Roman" w:eastAsia="Times New Roman" w:hint="default"/>
          <w:b/>
          <w:bCs/>
          <w:spacing w:val="-18"/>
          <w:w w:val="99"/>
          <w:sz w:val="28"/>
          <w:szCs w:val="28"/>
        </w:rPr>
        <w:t>5</w:t>
      </w:r>
      <w:r>
        <w:rPr>
          <w:rFonts w:ascii="宋体" w:hAnsi="宋体" w:cs="宋体" w:eastAsia="宋体" w:hint="default"/>
          <w:b/>
          <w:bCs/>
          <w:spacing w:val="-18"/>
          <w:w w:val="99"/>
          <w:sz w:val="28"/>
          <w:szCs w:val="28"/>
        </w:rPr>
        <w:t>、本公司选定的信息披露媒体为《中国证券报》、《证券时报》、《上海证券</w:t>
      </w:r>
      <w:r>
        <w:rPr>
          <w:rFonts w:ascii="宋体" w:hAnsi="宋体" w:cs="宋体" w:eastAsia="宋体" w:hint="default"/>
          <w:b/>
          <w:bCs/>
          <w:w w:val="99"/>
          <w:sz w:val="28"/>
          <w:szCs w:val="28"/>
        </w:rPr>
        <w:t> </w:t>
      </w:r>
      <w:r>
        <w:rPr>
          <w:rFonts w:ascii="宋体" w:hAnsi="宋体" w:cs="宋体" w:eastAsia="宋体" w:hint="default"/>
          <w:b/>
          <w:bCs/>
          <w:spacing w:val="-4"/>
          <w:w w:val="99"/>
          <w:sz w:val="28"/>
          <w:szCs w:val="28"/>
        </w:rPr>
        <w:t>报》和巨潮资讯网（</w:t>
      </w:r>
      <w:hyperlink r:id="rId9">
        <w:r>
          <w:rPr>
            <w:rFonts w:ascii="Times New Roman" w:hAnsi="Times New Roman" w:cs="Times New Roman" w:eastAsia="Times New Roman" w:hint="default"/>
            <w:b/>
            <w:bCs/>
            <w:spacing w:val="-4"/>
            <w:w w:val="99"/>
            <w:sz w:val="28"/>
            <w:szCs w:val="28"/>
          </w:rPr>
          <w:t>http://www.cninfo.com.cn</w:t>
        </w:r>
      </w:hyperlink>
      <w:r>
        <w:rPr>
          <w:rFonts w:ascii="宋体" w:hAnsi="宋体" w:cs="宋体" w:eastAsia="宋体" w:hint="default"/>
          <w:b/>
          <w:bCs/>
          <w:spacing w:val="-4"/>
          <w:w w:val="99"/>
          <w:sz w:val="28"/>
          <w:szCs w:val="28"/>
        </w:rPr>
        <w:t>），公司所有信息均以在上述选定</w:t>
      </w:r>
      <w:r>
        <w:rPr>
          <w:rFonts w:ascii="宋体" w:hAnsi="宋体" w:cs="宋体" w:eastAsia="宋体" w:hint="default"/>
          <w:b/>
          <w:bCs/>
          <w:spacing w:val="-138"/>
          <w:w w:val="99"/>
          <w:sz w:val="28"/>
          <w:szCs w:val="28"/>
        </w:rPr>
        <w:t> </w:t>
      </w:r>
      <w:r>
        <w:rPr>
          <w:rFonts w:ascii="宋体" w:hAnsi="宋体" w:cs="宋体" w:eastAsia="宋体" w:hint="default"/>
          <w:b/>
          <w:bCs/>
          <w:spacing w:val="-138"/>
          <w:w w:val="99"/>
          <w:sz w:val="28"/>
          <w:szCs w:val="28"/>
        </w:rPr>
      </w:r>
      <w:r>
        <w:rPr>
          <w:rFonts w:ascii="宋体" w:hAnsi="宋体" w:cs="宋体" w:eastAsia="宋体" w:hint="default"/>
          <w:b/>
          <w:bCs/>
          <w:sz w:val="28"/>
          <w:szCs w:val="28"/>
        </w:rPr>
        <w:t>媒体刊登的信息为准，敬请投资者注意投资风险。</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852928"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3763"/>
        <w:jc w:val="center"/>
        <w:rPr>
          <w:b w:val="0"/>
          <w:bCs w:val="0"/>
        </w:rPr>
      </w:pPr>
      <w:bookmarkStart w:name="_TOC_250010" w:id="3"/>
      <w:bookmarkStart w:name="第二节 公司简介" w:id="4"/>
      <w:r>
        <w:rPr>
          <w:b w:val="0"/>
          <w:bCs w:val="0"/>
        </w:rPr>
      </w:r>
      <w:r>
        <w:rPr/>
        <w:t>第二节</w:t>
      </w:r>
      <w:r>
        <w:rPr>
          <w:spacing w:val="-5"/>
        </w:rPr>
        <w:t> </w:t>
      </w:r>
      <w:r>
        <w:rPr/>
        <w:t>公司简介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鑫龙电器</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002298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鑫龙电器</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Anhui Xinlong Electrical</w:t>
            </w:r>
            <w:r>
              <w:rPr>
                <w:rFonts w:ascii="Times New Roman"/>
                <w:spacing w:val="-7"/>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Xinlong</w:t>
            </w:r>
            <w:r>
              <w:rPr>
                <w:rFonts w:ascii="Times New Roman"/>
                <w:spacing w:val="-5"/>
                <w:sz w:val="18"/>
              </w:rPr>
              <w:t> </w:t>
            </w:r>
            <w:r>
              <w:rPr>
                <w:rFonts w:ascii="Times New Roman"/>
                <w:sz w:val="18"/>
              </w:rPr>
              <w:t>Electrical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束龙胜</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安徽省芜湖市经济技术开发区电器部件园（九华北路</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241008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安徽省芜湖市经济技术开发区电器部件园（九华北路</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241008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http</w:t>
            </w:r>
            <w:r>
              <w:rPr>
                <w:rFonts w:ascii="宋体" w:hAnsi="宋体" w:cs="宋体" w:eastAsia="宋体" w:hint="default"/>
                <w:sz w:val="18"/>
                <w:szCs w:val="18"/>
              </w:rPr>
              <w:t>：</w:t>
            </w:r>
            <w:r>
              <w:rPr>
                <w:rFonts w:ascii="Times New Roman" w:hAnsi="Times New Roman" w:cs="Times New Roman" w:eastAsia="Times New Roman" w:hint="default"/>
                <w:sz w:val="18"/>
                <w:szCs w:val="18"/>
              </w:rPr>
              <w:t>//</w:t>
            </w:r>
            <w:hyperlink r:id="rId10">
              <w:r>
                <w:rPr>
                  <w:rFonts w:ascii="Times New Roman" w:hAnsi="Times New Roman" w:cs="Times New Roman" w:eastAsia="Times New Roman" w:hint="default"/>
                  <w:sz w:val="18"/>
                  <w:szCs w:val="18"/>
                </w:rPr>
                <w:t>www.ah-xinlong.com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xinlongdsb@126.com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安徽省芜湖市经济技术开发区九华北路</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安徽省芜湖市经济技术开发区九华北路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0553-5772627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0553-5772627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0553-5312688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0553-5772865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xinlongdsb@126.com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zhuwen888@126.com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芜湖市工商行政管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3400002400030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340207149661982</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14966198-2</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芜湖市工商行政管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340200000135548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340207149661982</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14966198-2</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主营业务未发生变化。</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控股股东未发生变更。</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吕勇军、王海涛</w:t>
            </w:r>
          </w:p>
        </w:tc>
      </w:tr>
    </w:tbl>
    <w:p>
      <w:pPr>
        <w:pStyle w:val="BodyText"/>
        <w:spacing w:line="240" w:lineRule="auto" w:before="51"/>
        <w:ind w:left="154" w:right="0"/>
        <w:jc w:val="left"/>
      </w:pPr>
      <w:r>
        <w:rPr/>
        <w:t>公司聘请的报告期内履行持续督导职责的保荐机构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华林证券有限责任公司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深圳市福田区民田路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号华</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周宇、乔绪升</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809,408,929.77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905,195,459.03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944,045,898.95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14,998,539.05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87,486,738.75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95,341,859.82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5,583,266.48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48,110,252.09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91,302,922.48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22,122,069.48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-83,848,189.23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46,176,494.69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0.2581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0.2561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2,270,799,520.69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2,294,430,288.67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2,031,181,429.05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1,280,516,260.59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1,277,645,038.83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1,163,542,768.83</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-116,962.49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-8,878.48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-48,402.57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11,199,340.42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46,409,942.78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4,955,148.00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6,062.25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76,489.21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22,707.42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-37,847.28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1,677,469.10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6,984,507.41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766,960.81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72,187.72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62,777.65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9,415,272.57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39,376,486.66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4,038,937.34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8" w:id="14"/>
      <w:bookmarkStart w:name="第四节 董事会报告" w:id="15"/>
      <w:r>
        <w:rPr>
          <w:b w:val="0"/>
          <w:bCs w:val="0"/>
        </w:rPr>
      </w:r>
      <w:r>
        <w:rPr/>
        <w:t>第四节</w:t>
      </w:r>
      <w:r>
        <w:rPr>
          <w:spacing w:val="-6"/>
        </w:rPr>
        <w:t> </w:t>
      </w:r>
      <w:r>
        <w:rPr/>
        <w:t>董事会报告</w:t>
      </w:r>
      <w:bookmarkEnd w:id="1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bookmarkStart w:name="一、概述" w:id="16"/>
      <w:bookmarkEnd w:id="16"/>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76" w:firstLine="217"/>
        <w:jc w:val="left"/>
      </w:pPr>
      <w:r>
        <w:rPr>
          <w:rFonts w:ascii="Times New Roman" w:hAnsi="Times New Roman" w:cs="Times New Roman" w:eastAsia="Times New Roman" w:hint="default"/>
        </w:rPr>
        <w:t>2014</w:t>
      </w:r>
      <w:r>
        <w:rPr/>
        <w:t>年，公司主营业务构成未发生重大变化，公司克服了国际环境影响、投资放缓、</w:t>
      </w:r>
      <w:r>
        <w:rPr>
          <w:rFonts w:ascii="Times New Roman" w:hAnsi="Times New Roman" w:cs="Times New Roman" w:eastAsia="Times New Roman" w:hint="default"/>
        </w:rPr>
        <w:t>GDP</w:t>
      </w:r>
      <w:r>
        <w:rPr/>
        <w:t>增长下调、市场需求下降等不 利因素。</w:t>
      </w:r>
    </w:p>
    <w:p>
      <w:pPr>
        <w:pStyle w:val="BodyText"/>
        <w:spacing w:line="300" w:lineRule="auto" w:before="31"/>
        <w:ind w:right="1128" w:firstLine="217"/>
        <w:jc w:val="left"/>
      </w:pPr>
      <w:r>
        <w:rPr/>
        <w:t>报告期内，公司实现营业收入</w:t>
      </w:r>
      <w:r>
        <w:rPr>
          <w:rFonts w:ascii="Times New Roman" w:hAnsi="Times New Roman" w:cs="Times New Roman" w:eastAsia="Times New Roman" w:hint="default"/>
        </w:rPr>
        <w:t>80,940.89</w:t>
      </w:r>
      <w:r>
        <w:rPr/>
        <w:t>万元，同比下降</w:t>
      </w:r>
      <w:r>
        <w:rPr>
          <w:rFonts w:ascii="Times New Roman" w:hAnsi="Times New Roman" w:cs="Times New Roman" w:eastAsia="Times New Roman" w:hint="default"/>
        </w:rPr>
        <w:t>10.58%</w:t>
      </w:r>
      <w:r>
        <w:rPr/>
        <w:t>；实现营业利润</w:t>
      </w:r>
      <w:r>
        <w:rPr>
          <w:spacing w:val="-27"/>
        </w:rPr>
        <w:t> </w:t>
      </w:r>
      <w:r>
        <w:rPr>
          <w:rFonts w:ascii="Times New Roman" w:hAnsi="Times New Roman" w:cs="Times New Roman" w:eastAsia="Times New Roman" w:hint="default"/>
        </w:rPr>
        <w:t>918.07</w:t>
      </w:r>
      <w:r>
        <w:rPr/>
        <w:t>万元，同比下降</w:t>
      </w:r>
      <w:r>
        <w:rPr>
          <w:rFonts w:ascii="Times New Roman" w:hAnsi="Times New Roman" w:cs="Times New Roman" w:eastAsia="Times New Roman" w:hint="default"/>
        </w:rPr>
        <w:t>82.78%</w:t>
      </w:r>
      <w:r>
        <w:rPr/>
        <w:t>；实现利润 总额</w:t>
      </w:r>
      <w:r>
        <w:rPr>
          <w:rFonts w:ascii="Times New Roman" w:hAnsi="Times New Roman" w:cs="Times New Roman" w:eastAsia="Times New Roman" w:hint="default"/>
        </w:rPr>
        <w:t>2,035.11</w:t>
      </w:r>
      <w:r>
        <w:rPr/>
        <w:t>万元，同比下降</w:t>
      </w:r>
      <w:r>
        <w:rPr>
          <w:rFonts w:ascii="Times New Roman" w:hAnsi="Times New Roman" w:cs="Times New Roman" w:eastAsia="Times New Roman" w:hint="default"/>
        </w:rPr>
        <w:t>79.59%</w:t>
      </w:r>
      <w:r>
        <w:rPr/>
        <w:t>；实现净利润</w:t>
      </w:r>
      <w:r>
        <w:rPr>
          <w:rFonts w:ascii="Times New Roman" w:hAnsi="Times New Roman" w:cs="Times New Roman" w:eastAsia="Times New Roman" w:hint="default"/>
        </w:rPr>
        <w:t>1,665.45</w:t>
      </w:r>
      <w:r>
        <w:rPr/>
        <w:t>万元，同比下降</w:t>
      </w:r>
      <w:r>
        <w:rPr>
          <w:rFonts w:ascii="Times New Roman" w:hAnsi="Times New Roman" w:cs="Times New Roman" w:eastAsia="Times New Roman" w:hint="default"/>
        </w:rPr>
        <w:t>80.98%</w:t>
      </w:r>
      <w:r>
        <w:rPr/>
        <w:t>；其中，实现归属于母公司所有者的净利 润</w:t>
      </w:r>
      <w:r>
        <w:rPr>
          <w:rFonts w:ascii="Times New Roman" w:hAnsi="Times New Roman" w:cs="Times New Roman" w:eastAsia="Times New Roman" w:hint="default"/>
        </w:rPr>
        <w:t>1,499.85</w:t>
      </w:r>
      <w:r>
        <w:rPr/>
        <w:t>万元，同比下降</w:t>
      </w:r>
      <w:r>
        <w:rPr>
          <w:rFonts w:ascii="Times New Roman" w:hAnsi="Times New Roman" w:cs="Times New Roman" w:eastAsia="Times New Roman" w:hint="default"/>
        </w:rPr>
        <w:t>82.86%</w:t>
      </w:r>
      <w:r>
        <w:rPr/>
        <w:t>。</w:t>
      </w:r>
    </w:p>
    <w:p>
      <w:pPr>
        <w:pStyle w:val="BodyText"/>
        <w:spacing w:line="300" w:lineRule="auto" w:before="13"/>
        <w:ind w:right="1176" w:firstLine="217"/>
        <w:jc w:val="left"/>
      </w:pPr>
      <w:r>
        <w:rPr>
          <w:rFonts w:ascii="Times New Roman" w:hAnsi="Times New Roman" w:cs="Times New Roman" w:eastAsia="Times New Roman" w:hint="default"/>
        </w:rPr>
        <w:t>2014</w:t>
      </w:r>
      <w:r>
        <w:rPr/>
        <w:t>年，公司在董事会的领导下，经营管理团队积极面对不利的市场因素，紧紧围绕年初制定的经营目标，调结构，挖 潜力，加强落实内部在经营、生产以及基础管理方面的系列工作。</w:t>
      </w:r>
    </w:p>
    <w:p>
      <w:pPr>
        <w:pStyle w:val="BodyText"/>
        <w:spacing w:line="240" w:lineRule="auto" w:before="79"/>
        <w:ind w:right="0"/>
        <w:jc w:val="both"/>
      </w:pPr>
      <w:r>
        <w:rPr/>
        <w:t>公司回顾总结报告期内披露的主要工作情况：</w:t>
      </w:r>
    </w:p>
    <w:p>
      <w:pPr>
        <w:pStyle w:val="BodyText"/>
        <w:spacing w:line="240" w:lineRule="auto" w:before="124"/>
        <w:ind w:right="0"/>
        <w:jc w:val="both"/>
      </w:pPr>
      <w:r>
        <w:rPr>
          <w:rFonts w:ascii="Times New Roman" w:hAnsi="Times New Roman" w:cs="Times New Roman" w:eastAsia="Times New Roman" w:hint="default"/>
        </w:rPr>
        <w:t>1</w:t>
      </w:r>
      <w:r>
        <w:rPr/>
        <w:t>、募集资金项目进展情况</w:t>
      </w:r>
    </w:p>
    <w:p>
      <w:pPr>
        <w:pStyle w:val="BodyText"/>
        <w:spacing w:line="300" w:lineRule="auto" w:before="63"/>
        <w:ind w:right="1129" w:firstLine="73"/>
        <w:jc w:val="both"/>
      </w:pPr>
      <w:r>
        <w:rPr/>
        <w:t>（</w:t>
      </w:r>
      <w:r>
        <w:rPr>
          <w:rFonts w:ascii="Times New Roman" w:hAnsi="Times New Roman" w:cs="Times New Roman" w:eastAsia="Times New Roman" w:hint="default"/>
        </w:rPr>
        <w:t>1</w:t>
      </w:r>
      <w:r>
        <w:rPr/>
        <w:t>）终止实施</w:t>
      </w:r>
      <w:r>
        <w:rPr>
          <w:rFonts w:ascii="Times New Roman" w:hAnsi="Times New Roman" w:cs="Times New Roman" w:eastAsia="Times New Roman" w:hint="default"/>
        </w:rPr>
        <w:t>“</w:t>
      </w:r>
      <w:r>
        <w:rPr/>
        <w:t>年产</w:t>
      </w:r>
      <w:r>
        <w:rPr>
          <w:rFonts w:ascii="Times New Roman" w:hAnsi="Times New Roman" w:cs="Times New Roman" w:eastAsia="Times New Roman" w:hint="default"/>
        </w:rPr>
        <w:t>2</w:t>
      </w:r>
      <w:r>
        <w:rPr/>
        <w:t>万台</w:t>
      </w:r>
      <w:r>
        <w:rPr>
          <w:rFonts w:ascii="Times New Roman" w:hAnsi="Times New Roman" w:cs="Times New Roman" w:eastAsia="Times New Roman" w:hint="default"/>
        </w:rPr>
        <w:t>VA-12</w:t>
      </w:r>
      <w:r>
        <w:rPr/>
        <w:t>智能化固封极柱式高压真空断路器项目</w:t>
      </w:r>
      <w:r>
        <w:rPr>
          <w:rFonts w:ascii="Times New Roman" w:hAnsi="Times New Roman" w:cs="Times New Roman" w:eastAsia="Times New Roman" w:hint="default"/>
        </w:rPr>
        <w:t>”</w:t>
      </w:r>
      <w:r>
        <w:rPr/>
        <w:t>并使用剩余募集资金（含利息）</w:t>
      </w:r>
      <w:r>
        <w:rPr>
          <w:rFonts w:ascii="Times New Roman" w:hAnsi="Times New Roman" w:cs="Times New Roman" w:eastAsia="Times New Roman" w:hint="default"/>
        </w:rPr>
        <w:t>19,734.48</w:t>
      </w:r>
      <w:r>
        <w:rPr/>
        <w:t>万元永</w:t>
      </w:r>
      <w:r>
        <w:rPr>
          <w:spacing w:val="1"/>
        </w:rPr>
        <w:t> </w:t>
      </w:r>
      <w:r>
        <w:rPr/>
        <w:t>久补充流动资金。该项目投资总额及使用募集资金金额均为</w:t>
      </w:r>
      <w:r>
        <w:rPr>
          <w:rFonts w:ascii="Times New Roman" w:hAnsi="Times New Roman" w:cs="Times New Roman" w:eastAsia="Times New Roman" w:hint="default"/>
        </w:rPr>
        <w:t>20,000</w:t>
      </w:r>
      <w:r>
        <w:rPr/>
        <w:t>万元。截至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日，该项目已累计投入</w:t>
      </w:r>
      <w:r>
        <w:rPr>
          <w:rFonts w:ascii="Times New Roman" w:hAnsi="Times New Roman" w:cs="Times New Roman" w:eastAsia="Times New Roman" w:hint="default"/>
        </w:rPr>
        <w:t>597.74</w:t>
      </w:r>
      <w:r>
        <w:rPr/>
        <w:t>万</w:t>
      </w:r>
      <w:r>
        <w:rPr>
          <w:spacing w:val="-83"/>
        </w:rPr>
        <w:t> </w:t>
      </w:r>
      <w:r>
        <w:rPr>
          <w:spacing w:val="-1"/>
        </w:rPr>
        <w:t>元，剩余募集资金</w:t>
      </w:r>
      <w:r>
        <w:rPr>
          <w:rFonts w:ascii="Times New Roman" w:hAnsi="Times New Roman" w:cs="Times New Roman" w:eastAsia="Times New Roman" w:hint="default"/>
          <w:spacing w:val="-1"/>
        </w:rPr>
        <w:t>19,734.48</w:t>
      </w:r>
      <w:r>
        <w:rPr>
          <w:spacing w:val="-1"/>
        </w:rPr>
        <w:t>万元（含募集资金利息收入</w:t>
      </w:r>
      <w:r>
        <w:rPr>
          <w:rFonts w:ascii="Times New Roman" w:hAnsi="Times New Roman" w:cs="Times New Roman" w:eastAsia="Times New Roman" w:hint="default"/>
          <w:spacing w:val="-1"/>
        </w:rPr>
        <w:t>323.16</w:t>
      </w:r>
      <w:r>
        <w:rPr>
          <w:spacing w:val="-1"/>
        </w:rPr>
        <w:t>万元）全部用于永久补充流动资金，本次永久补充流动资金金</w:t>
      </w:r>
      <w:r>
        <w:rPr>
          <w:spacing w:val="-69"/>
        </w:rPr>
        <w:t> </w:t>
      </w:r>
      <w:r>
        <w:rPr>
          <w:spacing w:val="-69"/>
        </w:rPr>
      </w:r>
      <w:r>
        <w:rPr>
          <w:spacing w:val="-1"/>
        </w:rPr>
        <w:t>额占</w:t>
      </w:r>
      <w:r>
        <w:rPr>
          <w:rFonts w:ascii="Times New Roman" w:hAnsi="Times New Roman" w:cs="Times New Roman" w:eastAsia="Times New Roman" w:hint="default"/>
          <w:spacing w:val="-1"/>
        </w:rPr>
        <w:t>2012</w:t>
      </w:r>
      <w:r>
        <w:rPr>
          <w:spacing w:val="-1"/>
        </w:rPr>
        <w:t>年公司非公开发行募集资金净额的比重为</w:t>
      </w:r>
      <w:r>
        <w:rPr>
          <w:rFonts w:ascii="Times New Roman" w:hAnsi="Times New Roman" w:cs="Times New Roman" w:eastAsia="Times New Roman" w:hint="default"/>
          <w:spacing w:val="-1"/>
        </w:rPr>
        <w:t>38.28%</w:t>
      </w:r>
      <w:r>
        <w:rPr>
          <w:spacing w:val="-1"/>
        </w:rPr>
        <w:t>，可节约财务费用约</w:t>
      </w:r>
      <w:r>
        <w:rPr>
          <w:rFonts w:ascii="Times New Roman" w:hAnsi="Times New Roman" w:cs="Times New Roman" w:eastAsia="Times New Roman" w:hint="default"/>
          <w:spacing w:val="-1"/>
        </w:rPr>
        <w:t>1,184.07</w:t>
      </w:r>
      <w:r>
        <w:rPr>
          <w:spacing w:val="-1"/>
        </w:rPr>
        <w:t>万元。本次永久补充流动资金，可以</w:t>
      </w:r>
      <w:r>
        <w:rPr>
          <w:spacing w:val="-39"/>
        </w:rPr>
        <w:t> </w:t>
      </w:r>
      <w:r>
        <w:rPr>
          <w:spacing w:val="-39"/>
        </w:rPr>
      </w:r>
      <w:r>
        <w:rPr/>
        <w:t>改善资产结构抗风险能力上的不足，盘活资金，有效降低公司的资产负债率及财务费用，提升公司的盈利能力。</w:t>
      </w:r>
    </w:p>
    <w:p>
      <w:pPr>
        <w:pStyle w:val="BodyText"/>
        <w:spacing w:line="304" w:lineRule="auto" w:before="31"/>
        <w:ind w:right="1130" w:firstLine="73"/>
        <w:jc w:val="both"/>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w:t>
      </w:r>
      <w:r>
        <w:rPr/>
        <w:t>年产</w:t>
      </w:r>
      <w:r>
        <w:rPr>
          <w:rFonts w:ascii="Times New Roman" w:hAnsi="Times New Roman" w:cs="Times New Roman" w:eastAsia="Times New Roman" w:hint="default"/>
        </w:rPr>
        <w:t>17</w:t>
      </w:r>
      <w:r>
        <w:rPr/>
        <w:t>万台智能型电力电器元件产品生产线项目</w:t>
      </w:r>
      <w:r>
        <w:rPr>
          <w:rFonts w:ascii="Times New Roman" w:hAnsi="Times New Roman" w:cs="Times New Roman" w:eastAsia="Times New Roman" w:hint="default"/>
        </w:rPr>
        <w:t>”</w:t>
      </w:r>
      <w:r>
        <w:rPr/>
        <w:t>的部分募集资金变更为</w:t>
      </w:r>
      <w:r>
        <w:rPr>
          <w:rFonts w:ascii="Times New Roman" w:hAnsi="Times New Roman" w:cs="Times New Roman" w:eastAsia="Times New Roman" w:hint="default"/>
        </w:rPr>
        <w:t>“</w:t>
      </w:r>
      <w:r>
        <w:rPr/>
        <w:t>收购天津市泰达工程设计有限公司项 </w:t>
      </w:r>
      <w:r>
        <w:rPr>
          <w:spacing w:val="-2"/>
        </w:rPr>
        <w:t>目</w:t>
      </w:r>
      <w:r>
        <w:rPr>
          <w:rFonts w:ascii="Times New Roman" w:hAnsi="Times New Roman" w:cs="Times New Roman" w:eastAsia="Times New Roman" w:hint="default"/>
          <w:spacing w:val="-2"/>
        </w:rPr>
        <w:t>”</w:t>
      </w:r>
      <w:r>
        <w:rPr>
          <w:spacing w:val="-2"/>
        </w:rPr>
        <w:t>，改变投向的募集资金总额为人民币</w:t>
      </w:r>
      <w:r>
        <w:rPr>
          <w:rFonts w:ascii="Times New Roman" w:hAnsi="Times New Roman" w:cs="Times New Roman" w:eastAsia="Times New Roman" w:hint="default"/>
          <w:spacing w:val="-2"/>
        </w:rPr>
        <w:t>1</w:t>
      </w:r>
      <w:r>
        <w:rPr>
          <w:spacing w:val="-2"/>
        </w:rPr>
        <w:t>亿元，用于收购股权的价款支付。本次变更后，剩余的募集资金将继续实施原有项</w:t>
      </w:r>
      <w:r>
        <w:rPr>
          <w:spacing w:val="-52"/>
        </w:rPr>
        <w:t> </w:t>
      </w:r>
      <w:r>
        <w:rPr>
          <w:spacing w:val="-52"/>
        </w:rPr>
      </w:r>
      <w:r>
        <w:rPr/>
        <w:t>目，需要额外资金时，公司将以自有资金继续投入完成。</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日，公司收购完成后，天津泰达工程设计有限公司成</w:t>
      </w:r>
      <w:r>
        <w:rPr>
          <w:spacing w:val="-82"/>
        </w:rPr>
        <w:t> </w:t>
      </w:r>
      <w:r>
        <w:rPr>
          <w:spacing w:val="-82"/>
        </w:rPr>
      </w:r>
      <w:r>
        <w:rPr>
          <w:spacing w:val="-2"/>
        </w:rPr>
        <w:t>为公司控股子公司，也使公司将业务延伸至上游电力工程设计领域，实现了与电力设备终端客户的直接接触。公司也形成了</w:t>
      </w:r>
      <w:r>
        <w:rPr>
          <w:spacing w:val="-66"/>
        </w:rPr>
        <w:t> </w:t>
      </w:r>
      <w:r>
        <w:rPr>
          <w:spacing w:val="-66"/>
        </w:rPr>
      </w:r>
      <w:r>
        <w:rPr/>
        <w:t>以提供设计、输配电设备制造、元器件、安装等电力服务一揽子解决方案的服务商。</w:t>
      </w:r>
    </w:p>
    <w:p>
      <w:pPr>
        <w:pStyle w:val="BodyText"/>
        <w:spacing w:line="300" w:lineRule="auto" w:before="28"/>
        <w:ind w:right="1040" w:firstLine="73"/>
        <w:jc w:val="both"/>
      </w:pPr>
      <w:r>
        <w:rPr/>
        <w:t>（</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w:t>
      </w:r>
      <w:r>
        <w:rPr/>
        <w:t>高、低压开关柜及元件技术研究中心建设项目</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达到预定可使用状态日期由</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月延后</w:t>
      </w:r>
      <w:r>
        <w:rPr>
          <w:rFonts w:ascii="Times New Roman" w:hAnsi="Times New Roman" w:cs="Times New Roman" w:eastAsia="Times New Roman" w:hint="default"/>
        </w:rPr>
        <w:t>11</w:t>
      </w:r>
      <w:r>
        <w:rPr/>
        <w:t>个月至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 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月完成验收正式投入使用。</w:t>
      </w:r>
    </w:p>
    <w:p>
      <w:pPr>
        <w:pStyle w:val="BodyText"/>
        <w:spacing w:line="300" w:lineRule="auto" w:before="13"/>
        <w:ind w:left="371" w:right="0" w:hanging="218"/>
        <w:jc w:val="left"/>
      </w:pPr>
      <w:r>
        <w:rPr>
          <w:rFonts w:ascii="Times New Roman" w:hAnsi="Times New Roman" w:cs="Times New Roman" w:eastAsia="Times New Roman" w:hint="default"/>
        </w:rPr>
        <w:t>2</w:t>
      </w:r>
      <w:r>
        <w:rPr/>
        <w:t>、筹划重大资产重组事项。 </w:t>
      </w:r>
      <w:r>
        <w:rPr>
          <w:spacing w:val="-1"/>
        </w:rPr>
        <w:t>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日披露了《关于筹划重大事项停牌的公告》，并于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日披露了《关于重大资产重组停牌的</w:t>
      </w:r>
    </w:p>
    <w:p>
      <w:pPr>
        <w:pStyle w:val="BodyText"/>
        <w:spacing w:line="316" w:lineRule="auto" w:before="13"/>
        <w:ind w:right="1133"/>
        <w:jc w:val="both"/>
      </w:pPr>
      <w:r>
        <w:rPr>
          <w:spacing w:val="-2"/>
        </w:rPr>
        <w:t>公告》，目前公司及有关各方正在积极推动本次重大资产重组事项涉及的各项工作。公司每五个交易日发布关于资产重组事</w:t>
      </w:r>
      <w:r>
        <w:rPr>
          <w:spacing w:val="-66"/>
        </w:rPr>
        <w:t> </w:t>
      </w:r>
      <w:r>
        <w:rPr>
          <w:spacing w:val="-66"/>
        </w:rPr>
      </w:r>
      <w:r>
        <w:rPr/>
        <w:t>项的进展公告。</w:t>
      </w:r>
    </w:p>
    <w:p>
      <w:pPr>
        <w:pStyle w:val="BodyText"/>
        <w:spacing w:line="300" w:lineRule="auto" w:before="19"/>
        <w:ind w:left="371" w:right="1118" w:hanging="218"/>
        <w:jc w:val="left"/>
      </w:pPr>
      <w:r>
        <w:rPr>
          <w:rFonts w:ascii="Times New Roman" w:hAnsi="Times New Roman" w:cs="Times New Roman" w:eastAsia="Times New Roman" w:hint="default"/>
        </w:rPr>
        <w:t>3</w:t>
      </w:r>
      <w:r>
        <w:rPr/>
        <w:t>、公司结构调整 报告期内，公司根据行业特点及客户需求及时调整销售方式、反馈客户意见，并通过收集市场信息、做好销售布局与沟</w:t>
      </w:r>
    </w:p>
    <w:p>
      <w:pPr>
        <w:pStyle w:val="BodyText"/>
        <w:spacing w:line="316" w:lineRule="auto" w:before="31"/>
        <w:ind w:left="154" w:right="1131"/>
        <w:jc w:val="both"/>
      </w:pPr>
      <w:r>
        <w:rPr>
          <w:spacing w:val="-2"/>
        </w:rPr>
        <w:t>通，同时不断完善和优化公司营销体系，加大市场结构和客户结构的调整，加强营销队伍建设，进一步提升营销人员的能力</w:t>
      </w:r>
      <w:r>
        <w:rPr>
          <w:spacing w:val="-66"/>
        </w:rPr>
        <w:t> </w:t>
      </w:r>
      <w:r>
        <w:rPr>
          <w:spacing w:val="-66"/>
        </w:rPr>
      </w:r>
      <w:r>
        <w:rPr/>
        <w:t>及素质。</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二、主营业务分析" w:id="17"/>
      <w:bookmarkEnd w:id="1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概述" w:id="18"/>
      <w:bookmarkEnd w:id="18"/>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公司主营业务为高低压成套开关设备、元器件和自动化产品的生产和销售。</w:t>
      </w:r>
    </w:p>
    <w:p>
      <w:pPr>
        <w:pStyle w:val="BodyText"/>
        <w:spacing w:line="240" w:lineRule="auto" w:before="76"/>
        <w:ind w:left="51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年度公司主营业务分析如下：</w:t>
      </w:r>
    </w:p>
    <w:p>
      <w:pPr>
        <w:pStyle w:val="BodyText"/>
        <w:spacing w:line="300" w:lineRule="auto" w:before="63"/>
        <w:ind w:left="154" w:right="0" w:firstLine="360"/>
        <w:jc w:val="left"/>
      </w:pPr>
      <w:r>
        <w:rPr/>
        <w:t>①营业收入：本期公司实现营业收入</w:t>
      </w:r>
      <w:r>
        <w:rPr>
          <w:rFonts w:ascii="Times New Roman" w:hAnsi="Times New Roman" w:cs="Times New Roman" w:eastAsia="Times New Roman" w:hint="default"/>
        </w:rPr>
        <w:t>80,940.89</w:t>
      </w:r>
      <w:r>
        <w:rPr/>
        <w:t>万元，较上年同期下降</w:t>
      </w:r>
      <w:r>
        <w:rPr>
          <w:rFonts w:ascii="Times New Roman" w:hAnsi="Times New Roman" w:cs="Times New Roman" w:eastAsia="Times New Roman" w:hint="default"/>
        </w:rPr>
        <w:t>10.58%</w:t>
      </w:r>
      <w:r>
        <w:rPr/>
        <w:t>，主要系公司进一步加大市场结构和客户 结构的调整力度，同时宏观环境从紧导致项目工期延长使得收入下降所致；</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②营业成本：本期公司实现营业成本</w:t>
      </w:r>
      <w:r>
        <w:rPr>
          <w:rFonts w:ascii="Times New Roman" w:hAnsi="Times New Roman" w:cs="Times New Roman" w:eastAsia="Times New Roman" w:hint="default"/>
        </w:rPr>
        <w:t>48,981.98</w:t>
      </w:r>
      <w:r>
        <w:rPr/>
        <w:t>万元，较上年同期下降</w:t>
      </w:r>
      <w:r>
        <w:rPr>
          <w:rFonts w:ascii="Times New Roman" w:hAnsi="Times New Roman" w:cs="Times New Roman" w:eastAsia="Times New Roman" w:hint="default"/>
        </w:rPr>
        <w:t>8.30%,</w:t>
      </w:r>
      <w:r>
        <w:rPr/>
        <w:t>主要系收入下降相应结转的成本也减少；</w:t>
      </w:r>
    </w:p>
    <w:p>
      <w:pPr>
        <w:pStyle w:val="BodyText"/>
        <w:spacing w:line="300" w:lineRule="auto" w:before="63"/>
        <w:ind w:left="154" w:right="0" w:firstLine="360"/>
        <w:jc w:val="left"/>
      </w:pPr>
      <w:r>
        <w:rPr>
          <w:spacing w:val="-1"/>
        </w:rPr>
        <w:t>③利润总额：本期公司实现利润总额</w:t>
      </w:r>
      <w:r>
        <w:rPr>
          <w:rFonts w:ascii="Times New Roman" w:hAnsi="Times New Roman" w:cs="Times New Roman" w:eastAsia="Times New Roman" w:hint="default"/>
          <w:spacing w:val="-1"/>
        </w:rPr>
        <w:t>2,035.11</w:t>
      </w:r>
      <w:r>
        <w:rPr>
          <w:spacing w:val="-1"/>
        </w:rPr>
        <w:t>万元，较上年同期下降</w:t>
      </w:r>
      <w:r>
        <w:rPr>
          <w:rFonts w:ascii="Times New Roman" w:hAnsi="Times New Roman" w:cs="Times New Roman" w:eastAsia="Times New Roman" w:hint="default"/>
          <w:spacing w:val="-1"/>
        </w:rPr>
        <w:t>79.59%</w:t>
      </w:r>
      <w:r>
        <w:rPr>
          <w:spacing w:val="-1"/>
        </w:rPr>
        <w:t>，主要系公司进一步加大市场结构和客户结</w:t>
      </w:r>
      <w:r>
        <w:rPr/>
        <w:t> 构的调整力度，同时宏观环境从紧导致客户项目工期延长，收入有所下降，以及本期政府补助同比也下降所致；</w:t>
      </w:r>
    </w:p>
    <w:p>
      <w:pPr>
        <w:pStyle w:val="BodyText"/>
        <w:spacing w:line="300" w:lineRule="auto" w:before="31"/>
        <w:ind w:left="154" w:right="0" w:firstLine="360"/>
        <w:jc w:val="left"/>
      </w:pPr>
      <w:r>
        <w:rPr/>
        <w:t>④经营活动产生的现金流量净额：本期公司经营活动产生的现金流量净额为</w:t>
      </w:r>
      <w:r>
        <w:rPr>
          <w:rFonts w:ascii="Times New Roman" w:hAnsi="Times New Roman" w:cs="Times New Roman" w:eastAsia="Times New Roman" w:hint="default"/>
        </w:rPr>
        <w:t>2,212.21</w:t>
      </w:r>
      <w:r>
        <w:rPr/>
        <w:t>万元，较上年同期增长</w:t>
      </w:r>
      <w:r>
        <w:rPr>
          <w:rFonts w:ascii="Times New Roman" w:hAnsi="Times New Roman" w:cs="Times New Roman" w:eastAsia="Times New Roman" w:hint="default"/>
        </w:rPr>
        <w:t>126.38%</w:t>
      </w:r>
      <w:r>
        <w:rPr/>
        <w:t>， 主要系本期支付购买商品现金流量下降所致。</w:t>
      </w:r>
    </w:p>
    <w:p>
      <w:pPr>
        <w:pStyle w:val="BodyText"/>
        <w:spacing w:line="300" w:lineRule="auto" w:before="31"/>
        <w:ind w:left="513" w:right="1948"/>
        <w:jc w:val="left"/>
      </w:pPr>
      <w:r>
        <w:rPr/>
        <w:t>（</w:t>
      </w:r>
      <w:r>
        <w:rPr>
          <w:rFonts w:ascii="Times New Roman" w:hAnsi="Times New Roman" w:cs="Times New Roman" w:eastAsia="Times New Roman" w:hint="default"/>
        </w:rPr>
        <w:t>2</w:t>
      </w:r>
      <w:r>
        <w:rPr/>
        <w:t>）</w:t>
      </w:r>
      <w:r>
        <w:rPr>
          <w:spacing w:val="-17"/>
        </w:rPr>
        <w:t> </w:t>
      </w:r>
      <w:r>
        <w:rPr/>
        <w:t>报告期公司销售毛利率变动情况</w:t>
      </w:r>
      <w:r>
        <w:rPr/>
        <w:t> 公司</w:t>
      </w:r>
      <w:r>
        <w:rPr>
          <w:rFonts w:ascii="Times New Roman" w:hAnsi="Times New Roman" w:cs="Times New Roman" w:eastAsia="Times New Roman" w:hint="default"/>
        </w:rPr>
        <w:t>2014</w:t>
      </w:r>
      <w:r>
        <w:rPr/>
        <w:t>年度营业收入毛利率为</w:t>
      </w:r>
      <w:r>
        <w:rPr>
          <w:rFonts w:ascii="Times New Roman" w:hAnsi="Times New Roman" w:cs="Times New Roman" w:eastAsia="Times New Roman" w:hint="default"/>
        </w:rPr>
        <w:t>39.48%</w:t>
      </w:r>
      <w:r>
        <w:rPr/>
        <w:t>，比</w:t>
      </w:r>
      <w:r>
        <w:rPr>
          <w:rFonts w:ascii="Times New Roman" w:hAnsi="Times New Roman" w:cs="Times New Roman" w:eastAsia="Times New Roman" w:hint="default"/>
        </w:rPr>
        <w:t>2013</w:t>
      </w:r>
      <w:r>
        <w:rPr/>
        <w:t>年度的</w:t>
      </w:r>
      <w:r>
        <w:rPr>
          <w:rFonts w:ascii="Times New Roman" w:hAnsi="Times New Roman" w:cs="Times New Roman" w:eastAsia="Times New Roman" w:hint="default"/>
        </w:rPr>
        <w:t>40.99%</w:t>
      </w:r>
      <w:r>
        <w:rPr/>
        <w:t>下降了</w:t>
      </w:r>
      <w:r>
        <w:rPr>
          <w:rFonts w:ascii="Times New Roman" w:hAnsi="Times New Roman" w:cs="Times New Roman" w:eastAsia="Times New Roman" w:hint="default"/>
        </w:rPr>
        <w:t>1.51</w:t>
      </w:r>
      <w:r>
        <w:rPr/>
        <w:t>个百分点，毛利率基本保持稳定。</w:t>
      </w:r>
    </w:p>
    <w:p>
      <w:pPr>
        <w:pStyle w:val="BodyText"/>
        <w:spacing w:line="300" w:lineRule="auto" w:before="13"/>
        <w:ind w:left="513" w:right="0"/>
        <w:jc w:val="left"/>
      </w:pPr>
      <w:r>
        <w:rPr/>
        <w:t>（</w:t>
      </w:r>
      <w:r>
        <w:rPr>
          <w:rFonts w:ascii="Times New Roman" w:hAnsi="Times New Roman" w:cs="Times New Roman" w:eastAsia="Times New Roman" w:hint="default"/>
        </w:rPr>
        <w:t>3</w:t>
      </w:r>
      <w:r>
        <w:rPr/>
        <w:t>）</w:t>
      </w:r>
      <w:r>
        <w:rPr>
          <w:spacing w:val="-17"/>
        </w:rPr>
        <w:t> </w:t>
      </w:r>
      <w:r>
        <w:rPr/>
        <w:t>产品的销售和积压情况</w:t>
      </w:r>
      <w:r>
        <w:rPr/>
        <w:t> </w:t>
      </w:r>
      <w:r>
        <w:rPr>
          <w:spacing w:val="-2"/>
        </w:rPr>
        <w:t>我公司主要产品为非标定制产品，均按照客户要求进行生产和制作，因此，不存在产品积压问题。</w:t>
      </w:r>
      <w:r>
        <w:rPr>
          <w:rFonts w:ascii="Times New Roman" w:hAnsi="Times New Roman" w:cs="Times New Roman" w:eastAsia="Times New Roman" w:hint="default"/>
          <w:spacing w:val="-2"/>
        </w:rPr>
        <w:t>2014</w:t>
      </w:r>
      <w:r>
        <w:rPr>
          <w:spacing w:val="-2"/>
        </w:rPr>
        <w:t>年度，主要产品</w:t>
      </w:r>
    </w:p>
    <w:p>
      <w:pPr>
        <w:pStyle w:val="BodyText"/>
        <w:spacing w:line="316" w:lineRule="auto" w:before="13"/>
        <w:ind w:right="0"/>
        <w:jc w:val="left"/>
      </w:pPr>
      <w:r>
        <w:rPr>
          <w:spacing w:val="-2"/>
        </w:rPr>
        <w:t>的市场需求略有下降，但公司通过加大市场营销力度，适当调整销售价格、控制采购成本，使得全年销售规模和销售毛利率</w:t>
      </w:r>
      <w:r>
        <w:rPr>
          <w:spacing w:val="-66"/>
        </w:rPr>
        <w:t> </w:t>
      </w:r>
      <w:r>
        <w:rPr>
          <w:spacing w:val="-66"/>
        </w:rPr>
      </w:r>
      <w:r>
        <w:rPr/>
        <w:t>总体保持稳定。因主要存货均有相应的订单且不存在亏损合同，因此经测试，未发现需计提存货跌价准备的现象。</w:t>
      </w:r>
    </w:p>
    <w:p>
      <w:pPr>
        <w:pStyle w:val="BodyText"/>
        <w:spacing w:line="240" w:lineRule="auto" w:before="19"/>
        <w:ind w:left="513" w:right="0"/>
        <w:jc w:val="left"/>
      </w:pPr>
      <w:r>
        <w:rPr/>
        <w:t>（</w:t>
      </w:r>
      <w:r>
        <w:rPr>
          <w:rFonts w:ascii="Times New Roman" w:hAnsi="Times New Roman" w:cs="Times New Roman" w:eastAsia="Times New Roman" w:hint="default"/>
        </w:rPr>
        <w:t>4</w:t>
      </w:r>
      <w:r>
        <w:rPr/>
        <w:t>）</w:t>
      </w:r>
      <w:r>
        <w:rPr>
          <w:spacing w:val="-19"/>
        </w:rPr>
        <w:t> </w:t>
      </w:r>
      <w:r>
        <w:rPr/>
        <w:t>报告期内公司主要设备盈利能力及使用情况</w:t>
      </w:r>
    </w:p>
    <w:p>
      <w:pPr>
        <w:pStyle w:val="BodyText"/>
        <w:spacing w:line="240" w:lineRule="auto" w:before="63"/>
        <w:ind w:left="0" w:right="113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137"/>
        <w:gridCol w:w="1249"/>
        <w:gridCol w:w="1250"/>
        <w:gridCol w:w="1193"/>
        <w:gridCol w:w="1250"/>
        <w:gridCol w:w="1251"/>
        <w:gridCol w:w="1193"/>
      </w:tblGrid>
      <w:tr>
        <w:trPr>
          <w:trHeight w:val="347" w:hRule="exact"/>
        </w:trPr>
        <w:tc>
          <w:tcPr>
            <w:tcW w:w="1137"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年末</w:t>
            </w:r>
          </w:p>
        </w:tc>
        <w:tc>
          <w:tcPr>
            <w:tcW w:w="36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347" w:hRule="exact"/>
        </w:trPr>
        <w:tc>
          <w:tcPr>
            <w:tcW w:w="1137" w:type="dxa"/>
            <w:vMerge/>
            <w:tcBorders>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设备原值</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7" w:right="0"/>
              <w:jc w:val="left"/>
              <w:rPr>
                <w:rFonts w:ascii="宋体" w:hAnsi="宋体" w:cs="宋体" w:eastAsia="宋体" w:hint="default"/>
                <w:sz w:val="18"/>
                <w:szCs w:val="18"/>
              </w:rPr>
            </w:pPr>
            <w:r>
              <w:rPr>
                <w:rFonts w:ascii="宋体" w:hAnsi="宋体" w:cs="宋体" w:eastAsia="宋体" w:hint="default"/>
                <w:sz w:val="18"/>
                <w:szCs w:val="18"/>
              </w:rPr>
              <w:t>设备净值</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8" w:right="0"/>
              <w:jc w:val="left"/>
              <w:rPr>
                <w:rFonts w:ascii="宋体" w:hAnsi="宋体" w:cs="宋体" w:eastAsia="宋体" w:hint="default"/>
                <w:sz w:val="18"/>
                <w:szCs w:val="18"/>
              </w:rPr>
            </w:pPr>
            <w:r>
              <w:rPr>
                <w:rFonts w:ascii="宋体" w:hAnsi="宋体" w:cs="宋体" w:eastAsia="宋体" w:hint="default"/>
                <w:sz w:val="18"/>
                <w:szCs w:val="18"/>
              </w:rPr>
              <w:t>净值率</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设备原值</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sz w:val="18"/>
                <w:szCs w:val="18"/>
              </w:rPr>
              <w:t>设备净值</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净值率</w:t>
            </w:r>
          </w:p>
        </w:tc>
      </w:tr>
      <w:tr>
        <w:trPr>
          <w:trHeight w:val="348" w:hRule="exact"/>
        </w:trPr>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9,075.50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4,577.45</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1" w:right="0"/>
              <w:jc w:val="left"/>
              <w:rPr>
                <w:rFonts w:ascii="Times New Roman" w:hAnsi="Times New Roman" w:cs="Times New Roman" w:eastAsia="Times New Roman" w:hint="default"/>
                <w:sz w:val="18"/>
                <w:szCs w:val="18"/>
              </w:rPr>
            </w:pPr>
            <w:r>
              <w:rPr>
                <w:rFonts w:ascii="Times New Roman"/>
                <w:sz w:val="18"/>
              </w:rPr>
              <w:t>50.44%</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2" w:right="0"/>
              <w:jc w:val="left"/>
              <w:rPr>
                <w:rFonts w:ascii="Times New Roman" w:hAnsi="Times New Roman" w:cs="Times New Roman" w:eastAsia="Times New Roman" w:hint="default"/>
                <w:sz w:val="18"/>
                <w:szCs w:val="18"/>
              </w:rPr>
            </w:pPr>
            <w:r>
              <w:rPr>
                <w:rFonts w:ascii="Times New Roman"/>
                <w:sz w:val="18"/>
              </w:rPr>
              <w:t>8,286.20</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1"/>
              <w:jc w:val="right"/>
              <w:rPr>
                <w:rFonts w:ascii="Times New Roman" w:hAnsi="Times New Roman" w:cs="Times New Roman" w:eastAsia="Times New Roman" w:hint="default"/>
                <w:sz w:val="18"/>
                <w:szCs w:val="18"/>
              </w:rPr>
            </w:pPr>
            <w:r>
              <w:rPr>
                <w:rFonts w:ascii="Times New Roman"/>
                <w:sz w:val="18"/>
              </w:rPr>
              <w:t>4,436.63</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53.54%</w:t>
            </w:r>
          </w:p>
        </w:tc>
      </w:tr>
    </w:tbl>
    <w:p>
      <w:pPr>
        <w:pStyle w:val="BodyText"/>
        <w:spacing w:line="316" w:lineRule="auto" w:before="10"/>
        <w:ind w:left="154" w:right="1133" w:firstLine="360"/>
        <w:jc w:val="both"/>
      </w:pPr>
      <w:r>
        <w:rPr>
          <w:spacing w:val="-2"/>
        </w:rPr>
        <w:t>公司主要产品采取以销定产模式，根据销售订单的数量合理安排生产设备的购置和更新。公司生产的产品适销对路，符</w:t>
      </w:r>
      <w:r>
        <w:rPr/>
        <w:t> </w:t>
      </w:r>
      <w:r>
        <w:rPr>
          <w:spacing w:val="-2"/>
        </w:rPr>
        <w:t>合国家的产业政策。报告期内，公司主要设备的使用率较高，产能能够得到有效运用，设备成新率保持较高水平，各台生产</w:t>
      </w:r>
      <w:r>
        <w:rPr>
          <w:spacing w:val="-66"/>
        </w:rPr>
        <w:t> </w:t>
      </w:r>
      <w:r>
        <w:rPr>
          <w:spacing w:val="-66"/>
        </w:rPr>
      </w:r>
      <w:r>
        <w:rPr/>
        <w:t>设备运行正常，计划检修及保养工作有序开展，各项资产均处于良好使用状态。</w:t>
      </w:r>
    </w:p>
    <w:p>
      <w:pPr>
        <w:pStyle w:val="BodyText"/>
        <w:spacing w:line="240" w:lineRule="auto" w:before="19"/>
        <w:ind w:left="513" w:right="0"/>
        <w:jc w:val="left"/>
      </w:pPr>
      <w:r>
        <w:rPr/>
        <w:t>报告期内，公司主要设备资产不存在减值情况。</w:t>
      </w:r>
    </w:p>
    <w:p>
      <w:pPr>
        <w:pStyle w:val="BodyText"/>
        <w:spacing w:line="300" w:lineRule="auto" w:before="76"/>
        <w:ind w:left="51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）报告期内主要经营模式的变化情况 公司所生产的输配电及控制设备专业性强，在性能与精度上要求较高，且需求的个性化程度较高，故采取</w:t>
      </w:r>
      <w:r>
        <w:rPr>
          <w:rFonts w:ascii="Times New Roman" w:hAnsi="Times New Roman" w:cs="Times New Roman" w:eastAsia="Times New Roman" w:hint="default"/>
        </w:rPr>
        <w:t>“</w:t>
      </w:r>
      <w:r>
        <w:rPr/>
        <w:t>以销定产</w:t>
      </w:r>
      <w:r>
        <w:rPr>
          <w:rFonts w:ascii="Times New Roman" w:hAnsi="Times New Roman" w:cs="Times New Roman" w:eastAsia="Times New Roman" w:hint="default"/>
        </w:rPr>
        <w:t>”</w:t>
      </w:r>
    </w:p>
    <w:p>
      <w:pPr>
        <w:pStyle w:val="BodyText"/>
        <w:spacing w:line="316" w:lineRule="auto" w:before="13"/>
        <w:ind w:right="0"/>
        <w:jc w:val="left"/>
      </w:pPr>
      <w:r>
        <w:rPr>
          <w:spacing w:val="-2"/>
        </w:rPr>
        <w:t>的生产方式，销售是公司生产经营的重要环节，采购、生产的实施均围绕销售合同订单展开。报告期内，公司采购模式、生</w:t>
      </w:r>
      <w:r>
        <w:rPr>
          <w:spacing w:val="-67"/>
        </w:rPr>
        <w:t> </w:t>
      </w:r>
      <w:r>
        <w:rPr>
          <w:spacing w:val="-67"/>
        </w:rPr>
      </w:r>
      <w:r>
        <w:rPr/>
        <w:t>产模式和销售模式没有发生重大变化。</w:t>
      </w:r>
    </w:p>
    <w:p>
      <w:pPr>
        <w:pStyle w:val="BodyText"/>
        <w:spacing w:line="240" w:lineRule="auto" w:before="59"/>
        <w:ind w:right="0"/>
        <w:jc w:val="left"/>
      </w:pPr>
      <w:r>
        <w:rPr/>
        <w:t>公司回顾总结前期披露的发展战略和经营计划在报告期内的进展情况</w:t>
      </w:r>
    </w:p>
    <w:p>
      <w:pPr>
        <w:pStyle w:val="BodyText"/>
        <w:spacing w:line="307" w:lineRule="auto" w:before="116"/>
        <w:ind w:right="1131" w:firstLine="217"/>
        <w:jc w:val="both"/>
      </w:pPr>
      <w:r>
        <w:rPr/>
        <w:t>报告期内公司围绕</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年年度经营目标和公司发展战略目标，通过组织变革、体系优化、加强内控、重点突破等系列措 </w:t>
      </w:r>
      <w:r>
        <w:rPr>
          <w:spacing w:val="-2"/>
        </w:rPr>
        <w:t>施应对复杂的内外部环境，以审慎积极的姿态，外扩市场，内强自身，建立更为科学的经营架构和管理体系。在做好主营业</w:t>
      </w:r>
      <w:r>
        <w:rPr>
          <w:spacing w:val="-66"/>
        </w:rPr>
        <w:t> </w:t>
      </w:r>
      <w:r>
        <w:rPr>
          <w:spacing w:val="-66"/>
        </w:rPr>
      </w:r>
      <w:r>
        <w:rPr>
          <w:spacing w:val="-2"/>
        </w:rPr>
        <w:t>务的同时，公司积极发展延伸产业。</w:t>
      </w:r>
      <w:r>
        <w:rPr>
          <w:rFonts w:ascii="Times New Roman" w:hAnsi="Times New Roman" w:cs="Times New Roman" w:eastAsia="Times New Roman" w:hint="default"/>
          <w:spacing w:val="-2"/>
        </w:rPr>
        <w:t>2014</w:t>
      </w:r>
      <w:r>
        <w:rPr>
          <w:spacing w:val="-2"/>
        </w:rPr>
        <w:t>年，公司完成收购了天津市泰达工程设计有限公司，更好地有助于公司产业链向上</w:t>
      </w:r>
      <w:r>
        <w:rPr>
          <w:spacing w:val="-62"/>
        </w:rPr>
        <w:t> </w:t>
      </w:r>
      <w:r>
        <w:rPr>
          <w:spacing w:val="-62"/>
        </w:rPr>
      </w:r>
      <w:r>
        <w:rPr/>
        <w:t>游延伸，使公司成为电力服务一揽子解决方案的服务商。</w:t>
      </w:r>
    </w:p>
    <w:p>
      <w:pPr>
        <w:pStyle w:val="BodyText"/>
        <w:spacing w:line="240" w:lineRule="auto" w:before="67"/>
        <w:ind w:left="154"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收入" w:id="19"/>
      <w:bookmarkEnd w:id="19"/>
      <w:r>
        <w:rPr>
          <w:b w:val="0"/>
          <w:bCs w:val="0"/>
        </w:rPr>
      </w: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w:t>
      </w:r>
    </w:p>
    <w:p>
      <w:pPr>
        <w:pStyle w:val="BodyText"/>
        <w:spacing w:line="300" w:lineRule="auto" w:before="116"/>
        <w:ind w:right="1198"/>
        <w:jc w:val="left"/>
      </w:pPr>
      <w:r>
        <w:rPr/>
        <w:t>本年营业收入</w:t>
      </w:r>
      <w:r>
        <w:rPr>
          <w:rFonts w:ascii="Times New Roman" w:hAnsi="Times New Roman" w:cs="Times New Roman" w:eastAsia="Times New Roman" w:hint="default"/>
        </w:rPr>
        <w:t>80,940.89</w:t>
      </w:r>
      <w:r>
        <w:rPr/>
        <w:t>万元，上年营业收入</w:t>
      </w:r>
      <w:r>
        <w:rPr>
          <w:rFonts w:ascii="Times New Roman" w:hAnsi="Times New Roman" w:cs="Times New Roman" w:eastAsia="Times New Roman" w:hint="default"/>
        </w:rPr>
        <w:t>90,519.55</w:t>
      </w:r>
      <w:r>
        <w:rPr/>
        <w:t>万元，本年比上年下降</w:t>
      </w:r>
      <w:r>
        <w:rPr>
          <w:rFonts w:ascii="Times New Roman" w:hAnsi="Times New Roman" w:cs="Times New Roman" w:eastAsia="Times New Roman" w:hint="default"/>
        </w:rPr>
        <w:t>10.58%</w:t>
      </w:r>
      <w:r>
        <w:rPr/>
        <w:t>，主要系公司进一步加大市场结构和客 户结构的调整力度，同时宏观环境从紧导致项目工期延长使得收入下降所致。</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公司实物销售收入是否大于劳务收入</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1"/>
              <w:ind w:right="99"/>
              <w:jc w:val="center"/>
              <w:rPr>
                <w:rFonts w:ascii="宋体" w:hAnsi="宋体" w:cs="宋体" w:eastAsia="宋体" w:hint="default"/>
                <w:sz w:val="18"/>
                <w:szCs w:val="18"/>
              </w:rPr>
            </w:pPr>
            <w:r>
              <w:rPr>
                <w:rFonts w:ascii="宋体" w:hAnsi="宋体" w:cs="宋体" w:eastAsia="宋体" w:hint="default"/>
                <w:sz w:val="18"/>
                <w:szCs w:val="18"/>
              </w:rPr>
              <w:t>电气机械和器材制</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7" w:right="0"/>
              <w:jc w:val="left"/>
              <w:rPr>
                <w:rFonts w:ascii="Times New Roman" w:hAnsi="Times New Roman" w:cs="Times New Roman" w:eastAsia="Times New Roman" w:hint="default"/>
                <w:sz w:val="18"/>
                <w:szCs w:val="18"/>
              </w:rPr>
            </w:pPr>
            <w:r>
              <w:rPr>
                <w:rFonts w:ascii="Times New Roman"/>
                <w:sz w:val="18"/>
              </w:rPr>
              <w:t>-4.95%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造业</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18.37%</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4"/>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公司重大的在手订单情况</w:t>
      </w:r>
    </w:p>
    <w:p>
      <w:pPr>
        <w:pStyle w:val="BodyText"/>
        <w:spacing w:line="338" w:lineRule="auto" w:before="43"/>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40" w:lineRule="auto" w:before="42"/>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105,515,593.70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13.04%</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24,829,059.81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23,458,975.22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20,624,329.61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19,238,337.61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17,364,891.45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105,515,593.70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13.04%</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成本" w:id="20"/>
      <w:bookmarkEnd w:id="20"/>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473,567,924.35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530,386,984.22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419,217,682.00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479,670,590.47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25,580,094.84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24,375,621.27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16,663,303.93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13,467,674.97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0.98%</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3,631,792.50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3,781,139.33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8,475,051.08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9,091,958.18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14,565,792.24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770,985.76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1,610,618.77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505,309.20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11,221,975.57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67,851.06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1,659,346.84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174,138.64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w:t>
            </w:r>
          </w:p>
        </w:tc>
      </w:tr>
    </w:tbl>
    <w:p>
      <w:pPr>
        <w:pStyle w:val="BodyText"/>
        <w:spacing w:line="240" w:lineRule="auto" w:before="51"/>
        <w:ind w:left="154" w:right="0"/>
        <w:jc w:val="left"/>
      </w:pPr>
      <w:r>
        <w:rPr/>
        <w:t>产品分类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354,036,377.04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395,586,388.95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309,605,377.89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353,851,308.23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20,638,387.17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19,980,002.18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5"/>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13,963,271.68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10,899,476.29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3,260,979.69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3,161,733.49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6,568,360.61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7,693,868.76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70,530,140.88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86,757,069.43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62,070,836.60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78,958,969.80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3,997,114.35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3,557,119.93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2,620,034.55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2,494,431.36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370,812.81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619,405.84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1,471,342.57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1,127,142.50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38,002,085.08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44,632,800.07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37,355,810.76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43,944,381.14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303,448.25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381,546.22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42,739.22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43,902.66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300,086.85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262,970.06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14,565,792.24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770,985.76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1,610,618.77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505,309.20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11,221,975.57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67,851.06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1,659,346.84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174,138.64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10,999,321.35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3,410,725.77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10,185,656.75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2,915,931.30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641,145.07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456,952.94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37,258.48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29,864.66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135,261.05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38" w:lineRule="auto" w:before="51"/>
        <w:ind w:left="154" w:right="1118"/>
        <w:jc w:val="left"/>
      </w:pPr>
      <w:r>
        <w:rPr/>
        <w:t>说明 </w:t>
      </w:r>
      <w:r>
        <w:rPr>
          <w:spacing w:val="-2"/>
        </w:rPr>
        <w:t>公司成本项目按构成项目进行对比列示，其他制造费用为折旧和动力（即用电）之外的制造费用。公司能耗占比较小，占成</w:t>
      </w:r>
      <w:r>
        <w:rPr>
          <w:spacing w:val="-65"/>
        </w:rPr>
        <w:t> </w:t>
      </w:r>
      <w:r>
        <w:rPr>
          <w:spacing w:val="-65"/>
        </w:rPr>
      </w:r>
      <w:r>
        <w:rPr/>
        <w:t>本总额的</w:t>
      </w:r>
      <w:r>
        <w:rPr>
          <w:rFonts w:ascii="Times New Roman" w:hAnsi="Times New Roman" w:cs="Times New Roman" w:eastAsia="Times New Roman" w:hint="default"/>
        </w:rPr>
        <w:t>1%</w:t>
      </w:r>
      <w:r>
        <w:rPr/>
        <w:t>左右。</w:t>
      </w:r>
    </w:p>
    <w:p>
      <w:pPr>
        <w:spacing w:line="240" w:lineRule="auto" w:before="7"/>
        <w:rPr>
          <w:rFonts w:ascii="宋体" w:hAnsi="宋体" w:cs="宋体" w:eastAsia="宋体" w:hint="default"/>
          <w:sz w:val="25"/>
          <w:szCs w:val="25"/>
        </w:rPr>
      </w:pPr>
    </w:p>
    <w:p>
      <w:pPr>
        <w:pStyle w:val="BodyText"/>
        <w:spacing w:line="240" w:lineRule="auto"/>
        <w:ind w:left="154"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123,837,572.80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26.38%</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46,594,032.02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27,160,227.94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19,526,017.67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15,796,218.92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14,761,076.26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123,837,572.80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26.38%</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费用" w:id="21"/>
      <w:bookmarkEnd w:id="21"/>
      <w:r>
        <w:rPr>
          <w:b w:val="0"/>
          <w:bCs w:val="0"/>
        </w:rPr>
      </w: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822"/>
        <w:gridCol w:w="2524"/>
        <w:gridCol w:w="2524"/>
        <w:gridCol w:w="1468"/>
      </w:tblGrid>
      <w:tr>
        <w:trPr>
          <w:trHeight w:val="348"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增减幅度</w:t>
            </w:r>
          </w:p>
        </w:tc>
      </w:tr>
      <w:tr>
        <w:trPr>
          <w:trHeight w:val="347"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103,199,089.98</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120,667,818.70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-14.48%</w:t>
            </w:r>
          </w:p>
        </w:tc>
      </w:tr>
      <w:tr>
        <w:trPr>
          <w:trHeight w:val="347"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147,636,252.97</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139,959,631.02</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5.48%</w:t>
            </w:r>
          </w:p>
        </w:tc>
      </w:tr>
      <w:tr>
        <w:trPr>
          <w:trHeight w:val="347"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35,440,701.32</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26,696,095.08</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32.76%</w:t>
            </w:r>
          </w:p>
        </w:tc>
      </w:tr>
      <w:tr>
        <w:trPr>
          <w:trHeight w:val="348" w:hRule="exact"/>
        </w:trPr>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3,696,564.88</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12,175,683.33</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-69.64%</w:t>
            </w:r>
          </w:p>
        </w:tc>
      </w:tr>
    </w:tbl>
    <w:p>
      <w:pPr>
        <w:pStyle w:val="BodyText"/>
        <w:spacing w:line="240" w:lineRule="auto" w:before="10"/>
        <w:ind w:left="514" w:right="0"/>
        <w:jc w:val="left"/>
      </w:pPr>
      <w:r>
        <w:rPr/>
        <w:t>财务费用比上年同期增长</w:t>
      </w:r>
      <w:r>
        <w:rPr>
          <w:rFonts w:ascii="Times New Roman" w:hAnsi="Times New Roman" w:cs="Times New Roman" w:eastAsia="Times New Roman" w:hint="default"/>
        </w:rPr>
        <w:t>874.46</w:t>
      </w:r>
      <w:r>
        <w:rPr/>
        <w:t>万元，增幅</w:t>
      </w:r>
      <w:r>
        <w:rPr>
          <w:rFonts w:ascii="Times New Roman" w:hAnsi="Times New Roman" w:cs="Times New Roman" w:eastAsia="Times New Roman" w:hint="default"/>
        </w:rPr>
        <w:t>32.76%</w:t>
      </w:r>
      <w:r>
        <w:rPr/>
        <w:t>，主要原因系本期借款利息支出增加所致。</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所得税费用比上年同期减少</w:t>
      </w:r>
      <w:r>
        <w:rPr>
          <w:rFonts w:ascii="Times New Roman" w:hAnsi="Times New Roman" w:cs="Times New Roman" w:eastAsia="Times New Roman" w:hint="default"/>
        </w:rPr>
        <w:t>847.91</w:t>
      </w:r>
      <w:r>
        <w:rPr/>
        <w:t>万元，降幅</w:t>
      </w:r>
      <w:r>
        <w:rPr>
          <w:rFonts w:ascii="Times New Roman" w:hAnsi="Times New Roman" w:cs="Times New Roman" w:eastAsia="Times New Roman" w:hint="default"/>
        </w:rPr>
        <w:t>69.64%</w:t>
      </w:r>
      <w:r>
        <w:rPr/>
        <w:t>，主要原因系本期利润下降所致。</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5、研发支出" w:id="22"/>
      <w:bookmarkEnd w:id="22"/>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82"/>
        <w:jc w:val="left"/>
      </w:pPr>
      <w:r>
        <w:rPr/>
        <w:t>报告期内，公司坚持自主创新，全年研发项目总支出为</w:t>
      </w:r>
      <w:r>
        <w:rPr>
          <w:rFonts w:ascii="Times New Roman" w:hAnsi="Times New Roman" w:cs="Times New Roman" w:eastAsia="Times New Roman" w:hint="default"/>
        </w:rPr>
        <w:t>6,005.33</w:t>
      </w:r>
      <w:r>
        <w:rPr/>
        <w:t>万元，占营业收入的</w:t>
      </w:r>
      <w:r>
        <w:rPr>
          <w:rFonts w:ascii="Times New Roman" w:hAnsi="Times New Roman" w:cs="Times New Roman" w:eastAsia="Times New Roman" w:hint="default"/>
        </w:rPr>
        <w:t>7.42%</w:t>
      </w:r>
      <w:r>
        <w:rPr/>
        <w:t>，较上年下降</w:t>
      </w:r>
      <w:r>
        <w:rPr>
          <w:rFonts w:ascii="Times New Roman" w:hAnsi="Times New Roman" w:cs="Times New Roman" w:eastAsia="Times New Roman" w:hint="default"/>
        </w:rPr>
        <w:t>18.75%</w:t>
      </w:r>
      <w:r>
        <w:rPr/>
        <w:t>。本报告期 研发支出占公司最近一期经审计净资产比例为</w:t>
      </w:r>
      <w:r>
        <w:rPr>
          <w:rFonts w:ascii="Times New Roman" w:hAnsi="Times New Roman" w:cs="Times New Roman" w:eastAsia="Times New Roman" w:hint="default"/>
        </w:rPr>
        <w:t>4.55%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9"/>
        <w:ind w:left="154" w:right="0"/>
        <w:jc w:val="left"/>
        <w:rPr>
          <w:b w:val="0"/>
          <w:bCs w:val="0"/>
        </w:rPr>
      </w:pPr>
      <w:bookmarkStart w:name="6、现金流" w:id="23"/>
      <w:bookmarkEnd w:id="23"/>
      <w:r>
        <w:rPr>
          <w:b w:val="0"/>
          <w:bCs w:val="0"/>
        </w:rPr>
      </w: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1,064,401,268.69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1,070,348,847.20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1,042,279,199.21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1,154,197,036.43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22,122,069.48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-83,848,189.23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1,258,270.98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255,349.43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392.76%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154,552,907.96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150,887,139.23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-153,294,636.98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-150,631,789.80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651,605,836.97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710,568,521.15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482,855,679.26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-12,568,521.15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168,750,157.71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-107.45%</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-143,739,748.88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-65,729,821.32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-118.68%</w:t>
            </w:r>
            <w:r>
              <w:rPr>
                <w:rFonts w:ascii="Times New Roman"/>
                <w:spacing w:val="-1"/>
                <w:sz w:val="18"/>
              </w:rPr>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1</w:t>
      </w:r>
      <w:r>
        <w:rPr/>
        <w:t>、经营活动产生的现金流量净额比上年同期增长</w:t>
      </w:r>
      <w:r>
        <w:rPr>
          <w:rFonts w:ascii="Times New Roman" w:hAnsi="Times New Roman" w:cs="Times New Roman" w:eastAsia="Times New Roman" w:hint="default"/>
        </w:rPr>
        <w:t>126.38%</w:t>
      </w:r>
      <w:r>
        <w:rPr/>
        <w:t>，主要系本期支付购买商品现金流量下降所致；</w:t>
      </w:r>
    </w:p>
    <w:p>
      <w:pPr>
        <w:pStyle w:val="BodyText"/>
        <w:spacing w:line="240" w:lineRule="auto" w:before="63"/>
        <w:ind w:left="154" w:right="0"/>
        <w:jc w:val="left"/>
      </w:pPr>
      <w:r>
        <w:rPr>
          <w:rFonts w:ascii="Times New Roman" w:hAnsi="Times New Roman" w:cs="Times New Roman" w:eastAsia="Times New Roman" w:hint="default"/>
        </w:rPr>
        <w:t>2</w:t>
      </w:r>
      <w:r>
        <w:rPr/>
        <w:t>、投资活动现金流入小计比上年同期增长</w:t>
      </w:r>
      <w:r>
        <w:rPr>
          <w:rFonts w:ascii="Times New Roman" w:hAnsi="Times New Roman" w:cs="Times New Roman" w:eastAsia="Times New Roman" w:hint="default"/>
        </w:rPr>
        <w:t>392.76%</w:t>
      </w:r>
      <w:r>
        <w:rPr/>
        <w:t>，主要原因系本期收回湖北祥华鑫龙电力发展股份有限公司投资所致；</w:t>
      </w:r>
    </w:p>
    <w:p>
      <w:pPr>
        <w:pStyle w:val="BodyText"/>
        <w:spacing w:line="240" w:lineRule="auto" w:before="63"/>
        <w:ind w:left="154" w:right="0"/>
        <w:jc w:val="left"/>
      </w:pPr>
      <w:r>
        <w:rPr>
          <w:rFonts w:ascii="Times New Roman" w:hAnsi="Times New Roman" w:cs="Times New Roman" w:eastAsia="Times New Roman" w:hint="default"/>
        </w:rPr>
        <w:t>3</w:t>
      </w:r>
      <w:r>
        <w:rPr/>
        <w:t>、筹资活动现金流出小计比上年同期增长</w:t>
      </w:r>
      <w:r>
        <w:rPr>
          <w:rFonts w:ascii="Times New Roman" w:hAnsi="Times New Roman" w:cs="Times New Roman" w:eastAsia="Times New Roman" w:hint="default"/>
        </w:rPr>
        <w:t>47.16%</w:t>
      </w:r>
      <w:r>
        <w:rPr/>
        <w:t>，主要原因系本期偿还借款、利息及利润分红的现金流出增加所致；</w:t>
      </w:r>
    </w:p>
    <w:p>
      <w:pPr>
        <w:pStyle w:val="BodyText"/>
        <w:spacing w:line="319" w:lineRule="auto" w:before="63"/>
        <w:ind w:left="154" w:right="1032"/>
        <w:jc w:val="left"/>
      </w:pPr>
      <w:r>
        <w:rPr>
          <w:rFonts w:ascii="Times New Roman" w:hAnsi="Times New Roman" w:cs="Times New Roman" w:eastAsia="Times New Roman" w:hint="default"/>
        </w:rPr>
        <w:t>4</w:t>
      </w:r>
      <w:r>
        <w:rPr/>
        <w:t>、筹资活动产生的现金流量净额比上年同期下降</w:t>
      </w:r>
      <w:r>
        <w:rPr>
          <w:rFonts w:ascii="Times New Roman" w:hAnsi="Times New Roman" w:cs="Times New Roman" w:eastAsia="Times New Roman" w:hint="default"/>
        </w:rPr>
        <w:t>107.45%</w:t>
      </w:r>
      <w:r>
        <w:rPr/>
        <w:t>，主要原因系本期偿还借款、利息及利润分红的现金流出增加所 致； </w:t>
      </w:r>
      <w:r>
        <w:rPr>
          <w:rFonts w:ascii="Times New Roman" w:hAnsi="Times New Roman" w:cs="Times New Roman" w:eastAsia="Times New Roman" w:hint="default"/>
          <w:spacing w:val="-1"/>
        </w:rPr>
        <w:t>5</w:t>
      </w:r>
      <w:r>
        <w:rPr>
          <w:spacing w:val="-1"/>
        </w:rPr>
        <w:t>、现金及现金等价物净增加额比上年同期下降</w:t>
      </w:r>
      <w:r>
        <w:rPr>
          <w:rFonts w:ascii="Times New Roman" w:hAnsi="Times New Roman" w:cs="Times New Roman" w:eastAsia="Times New Roman" w:hint="default"/>
          <w:spacing w:val="-1"/>
        </w:rPr>
        <w:t>118.68%</w:t>
      </w:r>
      <w:r>
        <w:rPr>
          <w:spacing w:val="-1"/>
        </w:rPr>
        <w:t>，主要原因系本期偿还借款、利息及利润分红的现金流出增加所致。</w:t>
      </w:r>
      <w:r>
        <w:rPr>
          <w:spacing w:val="-42"/>
        </w:rPr>
        <w:t> </w:t>
      </w:r>
      <w:r>
        <w:rPr>
          <w:spacing w:val="-42"/>
        </w:rPr>
      </w:r>
      <w:r>
        <w:rPr/>
        <w:t>报告期内公司经营活动的现金流量与本年度净利润存在重大差异的原因说明</w:t>
      </w:r>
    </w:p>
    <w:p>
      <w:pPr>
        <w:pStyle w:val="BodyText"/>
        <w:spacing w:line="240" w:lineRule="auto" w:before="5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三、主营业务构成情况" w:id="24"/>
      <w:bookmarkEnd w:id="24"/>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8"/>
        <w:gridCol w:w="1367"/>
        <w:gridCol w:w="1367"/>
        <w:gridCol w:w="1366"/>
        <w:gridCol w:w="1366"/>
        <w:gridCol w:w="1367"/>
        <w:gridCol w:w="1367"/>
      </w:tblGrid>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8" w:right="0"/>
              <w:jc w:val="left"/>
              <w:rPr>
                <w:rFonts w:ascii="宋体" w:hAnsi="宋体" w:cs="宋体" w:eastAsia="宋体" w:hint="default"/>
                <w:sz w:val="18"/>
                <w:szCs w:val="18"/>
              </w:rPr>
            </w:pPr>
            <w:r>
              <w:rPr>
                <w:rFonts w:ascii="宋体" w:hAnsi="宋体" w:cs="宋体" w:eastAsia="宋体" w:hint="default"/>
                <w:sz w:val="18"/>
                <w:szCs w:val="18"/>
              </w:rPr>
              <w:t>营业收入比上年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8" w:right="0"/>
              <w:jc w:val="left"/>
              <w:rPr>
                <w:rFonts w:ascii="宋体" w:hAnsi="宋体" w:cs="宋体" w:eastAsia="宋体" w:hint="default"/>
                <w:sz w:val="18"/>
                <w:szCs w:val="18"/>
              </w:rPr>
            </w:pPr>
            <w:r>
              <w:rPr>
                <w:rFonts w:ascii="宋体" w:hAnsi="宋体" w:cs="宋体" w:eastAsia="宋体" w:hint="default"/>
                <w:sz w:val="18"/>
                <w:szCs w:val="18"/>
              </w:rPr>
              <w:t>营业成本比上年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9" w:right="0"/>
              <w:jc w:val="left"/>
              <w:rPr>
                <w:rFonts w:ascii="宋体" w:hAnsi="宋体" w:cs="宋体" w:eastAsia="宋体" w:hint="default"/>
                <w:sz w:val="18"/>
                <w:szCs w:val="18"/>
              </w:rPr>
            </w:pPr>
            <w:r>
              <w:rPr>
                <w:rFonts w:ascii="宋体" w:hAnsi="宋体" w:cs="宋体" w:eastAsia="宋体" w:hint="default"/>
                <w:sz w:val="18"/>
                <w:szCs w:val="18"/>
              </w:rPr>
              <w:t>毛利率比上年同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09" w:right="0"/>
              <w:jc w:val="left"/>
              <w:rPr>
                <w:rFonts w:ascii="宋体" w:hAnsi="宋体" w:cs="宋体" w:eastAsia="宋体" w:hint="default"/>
                <w:sz w:val="18"/>
                <w:szCs w:val="18"/>
              </w:rPr>
            </w:pPr>
            <w:r>
              <w:rPr>
                <w:rFonts w:ascii="宋体" w:hAnsi="宋体" w:cs="宋体" w:eastAsia="宋体" w:hint="default"/>
                <w:sz w:val="18"/>
                <w:szCs w:val="18"/>
              </w:rPr>
              <w:t>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760,831,101.69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473,567,924.35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43,233,880.02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14,565,792.24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531,912,711.60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354,036,377.04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137,197,127.10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70,530,140.88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71,286,586.86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38,002,085.08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43,233,880.02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14,565,792.24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20,434,676.13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10,999,321.35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297,860,823.11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180,313,192.83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391,563,830.90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238,948,258.04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22,847,447.52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13,859,668.65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11,006,964.21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6,586,306.13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21,173,600.18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13,566,045.78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33,938,248.07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19,753,700.00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25,674,067.72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15,106,545.16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资产、负债状况分析" w:id="25"/>
      <w:bookmarkEnd w:id="25"/>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资产项目重大变动情况" w:id="26"/>
      <w:bookmarkEnd w:id="26"/>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930"/>
        <w:gridCol w:w="2786"/>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286,017,613.3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12.60%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438,726,413.28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19.12%</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-6.52%</w:t>
            </w:r>
          </w:p>
        </w:tc>
        <w:tc>
          <w:tcPr>
            <w:tcW w:w="27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主要系收购天津泰达公司股权所致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683,977,250.7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30.12%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687,642,459.39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29.97%</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0.15%</w:t>
            </w:r>
          </w:p>
        </w:tc>
        <w:tc>
          <w:tcPr>
            <w:tcW w:w="2786" w:type="dxa"/>
            <w:vMerge w:val="restart"/>
            <w:tcBorders>
              <w:top w:val="single" w:sz="4" w:space="0" w:color="000000"/>
              <w:left w:val="single" w:sz="4" w:space="0" w:color="000000"/>
              <w:right w:val="single" w:sz="4" w:space="0" w:color="000000"/>
            </w:tcBorders>
          </w:tcPr>
          <w:p>
            <w:pPr/>
          </w:p>
        </w:tc>
      </w:tr>
      <w:tr>
        <w:trPr>
          <w:trHeight w:val="393"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575,149,728.8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25.33%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519,424,692.14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22.64%</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2.69%</w:t>
            </w:r>
          </w:p>
        </w:tc>
        <w:tc>
          <w:tcPr>
            <w:tcW w:w="2786" w:type="dxa"/>
            <w:vMerge w:val="restart"/>
            <w:tcBorders>
              <w:top w:val="single" w:sz="4" w:space="0" w:color="000000"/>
              <w:left w:val="single" w:sz="4" w:space="0" w:color="000000"/>
              <w:right w:val="single" w:sz="4" w:space="0" w:color="000000"/>
            </w:tcBorders>
          </w:tcPr>
          <w:p>
            <w:pP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930"/>
        <w:gridCol w:w="278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26,069,598.77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27,111,207.44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321,371,396.0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302,584,336.29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0.96%</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90,046,982.82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59,598,987.48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加大募投项目建设所致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57,925,594.08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83,798,338.95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主要系期末回款中票据回款较少所 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11,406,326.79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22,172,698.53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主要系预付材料款下降所致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26,730,275.04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44,219,997.63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9"/>
              <w:jc w:val="left"/>
              <w:rPr>
                <w:rFonts w:ascii="宋体" w:hAnsi="宋体" w:cs="宋体" w:eastAsia="宋体" w:hint="default"/>
                <w:sz w:val="18"/>
                <w:szCs w:val="18"/>
              </w:rPr>
            </w:pPr>
            <w:r>
              <w:rPr>
                <w:rFonts w:ascii="宋体" w:hAnsi="宋体" w:cs="宋体" w:eastAsia="宋体" w:hint="default"/>
                <w:sz w:val="18"/>
                <w:szCs w:val="18"/>
              </w:rPr>
              <w:t>主要系期末投标、工期保证金减少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16,534,519.20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11,356,224.47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主要系坏账增加及股权激励费用增 加所致</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负债项目重大变动情况" w:id="27"/>
      <w:bookmarkEnd w:id="27"/>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14.97%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18.31%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-3.34%</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5.33%</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5.33%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主要系本期新增加长期借款</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102,567,210.0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主要系票据到期兑付所致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48,885,852.53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34,084,132.15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主要系本期预收货款增加所致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18,917,719.94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7,182,280.58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主要系计提的对武文杰的股权激励 费用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6,968,499.05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4,561,230.38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主要是期末预提费用增加所致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145,705,986.21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转为一年内到期非流动负债所致</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以公允价值计量的资产和负债" w:id="28"/>
      <w:bookmarkEnd w:id="28"/>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核心竞争力分析" w:id="29"/>
      <w:bookmarkEnd w:id="29"/>
      <w:r>
        <w:rPr>
          <w:b w:val="0"/>
          <w:bCs w:val="0"/>
        </w:rPr>
      </w:r>
      <w:r>
        <w:rPr/>
        <w:t>五、核心竞争力分析</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290"/>
        <w:jc w:val="left"/>
      </w:pPr>
      <w:r>
        <w:rPr/>
        <w:t>报告期内，公司竞争能力未发生重大变化。公司致力于输配电及控制设备产品制造业，在竞争过程中形成了自身一定的 </w:t>
      </w:r>
      <w:r>
        <w:rPr>
          <w:spacing w:val="-4"/>
        </w:rPr>
        <w:t>营销优势、技术优势、品牌优势等，具有优质的客户群及良好的信誉度，同时，公司聚集了业内优秀的管理人才、技术人才、</w:t>
      </w:r>
      <w:r>
        <w:rPr>
          <w:spacing w:val="-44"/>
        </w:rPr>
        <w:t> </w:t>
      </w:r>
      <w:r>
        <w:rPr>
          <w:spacing w:val="-44"/>
        </w:rPr>
      </w:r>
      <w:r>
        <w:rPr/>
        <w:t>营销人才，建立了可持续创新的管理团队，为公司搭建了可持续发展平台。公司主要核心竞争优势包括：</w:t>
      </w:r>
    </w:p>
    <w:p>
      <w:pPr>
        <w:pStyle w:val="BodyText"/>
        <w:spacing w:line="240" w:lineRule="auto" w:before="19"/>
        <w:ind w:left="371" w:right="0"/>
        <w:jc w:val="left"/>
      </w:pPr>
      <w:r>
        <w:rPr>
          <w:rFonts w:ascii="Times New Roman" w:hAnsi="Times New Roman" w:cs="Times New Roman" w:eastAsia="Times New Roman" w:hint="default"/>
        </w:rPr>
        <w:t>1</w:t>
      </w:r>
      <w:r>
        <w:rPr/>
        <w:t>、市场营销优势</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30" w:firstLine="360"/>
        <w:jc w:val="both"/>
      </w:pPr>
      <w:r>
        <w:rPr>
          <w:spacing w:val="-2"/>
        </w:rPr>
        <w:t>在营销渠道方面，经过多年发展，公司有了自身独特的市场定位，设立营销中心，以及在重点市场北京地区建立的北方</w:t>
      </w:r>
      <w:r>
        <w:rPr/>
        <w:t> </w:t>
      </w:r>
      <w:r>
        <w:rPr>
          <w:spacing w:val="-2"/>
        </w:rPr>
        <w:t>公司，和国内的</w:t>
      </w:r>
      <w:r>
        <w:rPr>
          <w:rFonts w:ascii="Times New Roman" w:hAnsi="Times New Roman" w:cs="Times New Roman" w:eastAsia="Times New Roman" w:hint="default"/>
          <w:spacing w:val="-2"/>
        </w:rPr>
        <w:t>31</w:t>
      </w:r>
      <w:r>
        <w:rPr>
          <w:spacing w:val="-2"/>
        </w:rPr>
        <w:t>个销售机构或办事处，作为营销中心的派出机构。公司产品己广泛使用于北京</w:t>
      </w:r>
      <w:r>
        <w:rPr>
          <w:rFonts w:ascii="Times New Roman" w:hAnsi="Times New Roman" w:cs="Times New Roman" w:eastAsia="Times New Roman" w:hint="default"/>
          <w:spacing w:val="-2"/>
        </w:rPr>
        <w:t>2008</w:t>
      </w:r>
      <w:r>
        <w:rPr>
          <w:spacing w:val="-2"/>
        </w:rPr>
        <w:t>奥运场馆、北京奥林匹</w:t>
      </w:r>
      <w:r>
        <w:rPr>
          <w:spacing w:val="-60"/>
        </w:rPr>
        <w:t> </w:t>
      </w:r>
      <w:r>
        <w:rPr>
          <w:spacing w:val="-60"/>
        </w:rPr>
      </w:r>
      <w:r>
        <w:rPr>
          <w:spacing w:val="-1"/>
        </w:rPr>
        <w:t>克公园、中央电视台（</w:t>
      </w:r>
      <w:r>
        <w:rPr>
          <w:rFonts w:ascii="Times New Roman" w:hAnsi="Times New Roman" w:cs="Times New Roman" w:eastAsia="Times New Roman" w:hint="default"/>
          <w:spacing w:val="-1"/>
        </w:rPr>
        <w:t>CCTV</w:t>
      </w:r>
      <w:r>
        <w:rPr>
          <w:spacing w:val="-1"/>
        </w:rPr>
        <w:t>）新台址、中国国际展览中心、中国银行信息中心、首都机场、禄口机场、昆明机场、虹桥机</w:t>
      </w:r>
      <w:r>
        <w:rPr>
          <w:spacing w:val="-62"/>
        </w:rPr>
        <w:t> </w:t>
      </w:r>
      <w:r>
        <w:rPr>
          <w:spacing w:val="-62"/>
        </w:rPr>
      </w:r>
      <w:r>
        <w:rPr>
          <w:spacing w:val="-2"/>
        </w:rPr>
        <w:t>场、中国建材工业对外经济技术合作公司、北京大学体育馆、马钢股份有限公司、铜陵有色集团公司、奇瑞汽车以及北京地</w:t>
      </w:r>
      <w:r>
        <w:rPr>
          <w:spacing w:val="-66"/>
        </w:rPr>
        <w:t> </w:t>
      </w:r>
      <w:r>
        <w:rPr>
          <w:spacing w:val="-66"/>
        </w:rPr>
      </w:r>
      <w:r>
        <w:rPr>
          <w:spacing w:val="-2"/>
        </w:rPr>
        <w:t>铁（</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10</w:t>
      </w:r>
      <w:r>
        <w:rPr>
          <w:spacing w:val="-2"/>
        </w:rPr>
        <w:t>号线）、大连地铁等</w:t>
      </w:r>
      <w:r>
        <w:rPr>
          <w:rFonts w:ascii="Times New Roman" w:hAnsi="Times New Roman" w:cs="Times New Roman" w:eastAsia="Times New Roman" w:hint="default"/>
          <w:spacing w:val="-2"/>
        </w:rPr>
        <w:t>20</w:t>
      </w:r>
      <w:r>
        <w:rPr>
          <w:spacing w:val="-2"/>
        </w:rPr>
        <w:t>多条高速铁路客运专线。并且公司产品己销售至马来西亚、印尼、巴基斯坦、刚</w:t>
      </w:r>
      <w:r>
        <w:rPr>
          <w:spacing w:val="-63"/>
        </w:rPr>
        <w:t> </w:t>
      </w:r>
      <w:r>
        <w:rPr>
          <w:spacing w:val="-63"/>
        </w:rPr>
      </w:r>
      <w:r>
        <w:rPr/>
        <w:t>果、越南、苏丹、莫桑比克、摩洛哥等十多个国家和地区。</w:t>
      </w:r>
    </w:p>
    <w:p>
      <w:pPr>
        <w:pStyle w:val="BodyText"/>
        <w:spacing w:line="312" w:lineRule="auto" w:before="26"/>
        <w:ind w:right="1128" w:firstLine="360"/>
        <w:jc w:val="both"/>
      </w:pPr>
      <w:r>
        <w:rPr>
          <w:spacing w:val="-2"/>
        </w:rPr>
        <w:t>报告期内，公司产品业务在国企央企项目、机场项目、铁路客运专专线项目得到进一步拓展，主要体现在：烟台潮水机</w:t>
      </w:r>
      <w:r>
        <w:rPr/>
        <w:t> </w:t>
      </w:r>
      <w:r>
        <w:rPr>
          <w:spacing w:val="-2"/>
        </w:rPr>
        <w:t>场工程、南宁东站综合交通枢纽一期工程、中国建设银行股份有限公司安徽省分行、长昆客专湖南段系统、久泰能源科技有</w:t>
      </w:r>
      <w:r>
        <w:rPr>
          <w:spacing w:val="-66"/>
        </w:rPr>
        <w:t> </w:t>
      </w:r>
      <w:r>
        <w:rPr>
          <w:spacing w:val="-66"/>
        </w:rPr>
      </w:r>
      <w:r>
        <w:rPr/>
        <w:t>限公司</w:t>
      </w:r>
      <w:r>
        <w:rPr>
          <w:rFonts w:ascii="Times New Roman" w:hAnsi="Times New Roman" w:cs="Times New Roman" w:eastAsia="Times New Roman" w:hint="default"/>
        </w:rPr>
        <w:t>60</w:t>
      </w:r>
      <w:r>
        <w:rPr/>
        <w:t>万吨</w:t>
      </w:r>
      <w:r>
        <w:rPr>
          <w:rFonts w:ascii="Times New Roman" w:hAnsi="Times New Roman" w:cs="Times New Roman" w:eastAsia="Times New Roman" w:hint="default"/>
        </w:rPr>
        <w:t>/</w:t>
      </w:r>
      <w:r>
        <w:rPr/>
        <w:t>年甲醇技改项目和</w:t>
      </w:r>
      <w:r>
        <w:rPr>
          <w:rFonts w:ascii="Times New Roman" w:hAnsi="Times New Roman" w:cs="Times New Roman" w:eastAsia="Times New Roman" w:hint="default"/>
        </w:rPr>
        <w:t>60</w:t>
      </w:r>
      <w:r>
        <w:rPr/>
        <w:t>万吨甲醇制烯烃项目、新建南宁至黎塘铁路南宁东站、南京军区空军工程建设局</w:t>
      </w:r>
      <w:r>
        <w:rPr>
          <w:rFonts w:ascii="Times New Roman" w:hAnsi="Times New Roman" w:cs="Times New Roman" w:eastAsia="Times New Roman" w:hint="default"/>
        </w:rPr>
        <w:t>0608</w:t>
      </w:r>
      <w:r>
        <w:rPr/>
        <w:t>项</w:t>
      </w:r>
      <w:r>
        <w:rPr>
          <w:spacing w:val="-45"/>
        </w:rPr>
        <w:t> </w:t>
      </w:r>
      <w:r>
        <w:rPr/>
        <w:t>目部、中国空间技术研究院天津基地等项目；并且产品继续销售至国外多个国家和地区。</w:t>
      </w:r>
    </w:p>
    <w:p>
      <w:pPr>
        <w:pStyle w:val="BodyText"/>
        <w:spacing w:line="312" w:lineRule="auto" w:before="22"/>
        <w:ind w:right="1130" w:firstLine="360"/>
        <w:jc w:val="both"/>
      </w:pPr>
      <w:r>
        <w:rPr>
          <w:spacing w:val="-2"/>
        </w:rPr>
        <w:t>报告期内，根据公司的发展战略，认真贯彻和落实董事会进行营销市场整合的思路，充分体现营销整合的长期战略，改</w:t>
      </w:r>
      <w:r>
        <w:rPr/>
        <w:t> </w:t>
      </w:r>
      <w:r>
        <w:rPr>
          <w:spacing w:val="-2"/>
        </w:rPr>
        <w:t>进和完善组织的沟通渠道，以使纵横信息沟通及时准确，做出了对营销组织结构进行变革（转型）的战略规划调整，为了整</w:t>
      </w:r>
      <w:r>
        <w:rPr>
          <w:spacing w:val="-66"/>
        </w:rPr>
        <w:t> </w:t>
      </w:r>
      <w:r>
        <w:rPr>
          <w:spacing w:val="-66"/>
        </w:rPr>
      </w:r>
      <w:r>
        <w:rPr>
          <w:spacing w:val="-1"/>
        </w:rPr>
        <w:t>合公司资源，降低费用，凸显公司优势，形成以配电系统整体解决方案营销为主要业务模式，以</w:t>
      </w:r>
      <w:r>
        <w:rPr>
          <w:rFonts w:ascii="Times New Roman" w:hAnsi="Times New Roman" w:cs="Times New Roman" w:eastAsia="Times New Roman" w:hint="default"/>
          <w:spacing w:val="-1"/>
        </w:rPr>
        <w:t>EPC</w:t>
      </w:r>
      <w:r>
        <w:rPr>
          <w:spacing w:val="-1"/>
        </w:rPr>
        <w:t>总包、安装总包、成套</w:t>
      </w:r>
      <w:r>
        <w:rPr/>
        <w:t> 业务为平台，带动元器件、电力电子等产品销售为目的；充分拓展市场，提升鑫龙品牌，作强作大鑫龙电器。</w:t>
      </w:r>
    </w:p>
    <w:p>
      <w:pPr>
        <w:pStyle w:val="BodyText"/>
        <w:spacing w:line="316" w:lineRule="auto" w:before="22"/>
        <w:ind w:right="1131" w:firstLine="360"/>
        <w:jc w:val="both"/>
      </w:pPr>
      <w:r>
        <w:rPr>
          <w:spacing w:val="-2"/>
        </w:rPr>
        <w:t>报告期内，公司除了整合公司资源，凸显公司优势，形成以配电系统整体解决方案营销为主要业务模式，积极构建和发</w:t>
      </w:r>
      <w:r>
        <w:rPr/>
        <w:t> 展代理商及分销模式等销售渠道，达到销量、利润及品牌目标的平衡发展。</w:t>
      </w:r>
    </w:p>
    <w:p>
      <w:pPr>
        <w:pStyle w:val="BodyText"/>
        <w:spacing w:line="300" w:lineRule="auto" w:before="19"/>
        <w:ind w:left="513" w:right="1123"/>
        <w:jc w:val="left"/>
      </w:pPr>
      <w:r>
        <w:rPr>
          <w:rFonts w:ascii="Times New Roman" w:hAnsi="Times New Roman" w:cs="Times New Roman" w:eastAsia="Times New Roman" w:hint="default"/>
        </w:rPr>
        <w:t>2</w:t>
      </w:r>
      <w:r>
        <w:rPr/>
        <w:t>、技术优势 截止报告期，公司共获得</w:t>
      </w:r>
      <w:r>
        <w:rPr>
          <w:rFonts w:ascii="Times New Roman" w:hAnsi="Times New Roman" w:cs="Times New Roman" w:eastAsia="Times New Roman" w:hint="default"/>
        </w:rPr>
        <w:t>489</w:t>
      </w:r>
      <w:r>
        <w:rPr/>
        <w:t>项专利，其中：</w:t>
      </w:r>
      <w:r>
        <w:rPr>
          <w:rFonts w:ascii="Times New Roman" w:hAnsi="Times New Roman" w:cs="Times New Roman" w:eastAsia="Times New Roman" w:hint="default"/>
        </w:rPr>
        <w:t>33</w:t>
      </w:r>
      <w:r>
        <w:rPr/>
        <w:t>项发明专利、</w:t>
      </w:r>
      <w:r>
        <w:rPr>
          <w:rFonts w:ascii="Times New Roman" w:hAnsi="Times New Roman" w:cs="Times New Roman" w:eastAsia="Times New Roman" w:hint="default"/>
        </w:rPr>
        <w:t>329</w:t>
      </w:r>
      <w:r>
        <w:rPr/>
        <w:t>项实用新型、</w:t>
      </w:r>
      <w:r>
        <w:rPr>
          <w:rFonts w:ascii="Times New Roman" w:hAnsi="Times New Roman" w:cs="Times New Roman" w:eastAsia="Times New Roman" w:hint="default"/>
        </w:rPr>
        <w:t>127</w:t>
      </w:r>
      <w:r>
        <w:rPr/>
        <w:t>件外观设计。公司持续注重专利技术</w:t>
      </w:r>
    </w:p>
    <w:p>
      <w:pPr>
        <w:pStyle w:val="BodyText"/>
        <w:spacing w:line="316" w:lineRule="auto" w:before="13"/>
        <w:ind w:left="154" w:right="1032"/>
        <w:jc w:val="left"/>
      </w:pPr>
      <w:r>
        <w:rPr/>
        <w:t>的开发与获得，并通过专利申请、专利权利维护等构建公司知识产权保护体系。近年来，公司自主研发的多项产品、项目， 达到国际国内先进水平，多次获得国家、省级、市级等荣誉。</w:t>
      </w:r>
    </w:p>
    <w:p>
      <w:pPr>
        <w:pStyle w:val="BodyText"/>
        <w:spacing w:line="300" w:lineRule="auto" w:before="19"/>
        <w:ind w:right="0" w:firstLine="360"/>
        <w:jc w:val="left"/>
      </w:pPr>
      <w:r>
        <w:rPr>
          <w:spacing w:val="-1"/>
        </w:rPr>
        <w:t>公司作为国家火炬计划重点高新技术企业，建有安徽省检测技术与节能装置实验室、安徽省电器设备电磁兼容（</w:t>
      </w:r>
      <w:r>
        <w:rPr>
          <w:rFonts w:ascii="Times New Roman" w:hAnsi="Times New Roman" w:cs="Times New Roman" w:eastAsia="Times New Roman" w:hint="default"/>
          <w:spacing w:val="-1"/>
        </w:rPr>
        <w:t>EMC</w:t>
      </w:r>
      <w:r>
        <w:rPr>
          <w:spacing w:val="-1"/>
        </w:rPr>
        <w:t>）</w:t>
      </w:r>
      <w:r>
        <w:rPr/>
        <w:t> 实验室和博士后科研工作站，</w:t>
      </w:r>
      <w:r>
        <w:rPr>
          <w:rFonts w:ascii="Times New Roman" w:hAnsi="Times New Roman" w:cs="Times New Roman" w:eastAsia="Times New Roman" w:hint="default"/>
        </w:rPr>
        <w:t>2009</w:t>
      </w:r>
      <w:r>
        <w:rPr/>
        <w:t>年被认定为第四批全国知识产权试点单位；</w:t>
      </w:r>
      <w:r>
        <w:rPr>
          <w:rFonts w:ascii="Times New Roman" w:hAnsi="Times New Roman" w:cs="Times New Roman" w:eastAsia="Times New Roman" w:hint="default"/>
        </w:rPr>
        <w:t>2010</w:t>
      </w:r>
      <w:r>
        <w:rPr/>
        <w:t>年被认定为第二批省创新型企业；</w:t>
      </w:r>
      <w:r>
        <w:rPr>
          <w:rFonts w:ascii="Times New Roman" w:hAnsi="Times New Roman" w:cs="Times New Roman" w:eastAsia="Times New Roman" w:hint="default"/>
        </w:rPr>
        <w:t>2011 </w:t>
      </w:r>
      <w:r>
        <w:rPr/>
        <w:t>年被认定为省知识产权优势培育优秀企业；</w:t>
      </w:r>
      <w:r>
        <w:rPr>
          <w:spacing w:val="-66"/>
        </w:rPr>
        <w:t> </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10</w:t>
      </w:r>
      <w:r>
        <w:rPr>
          <w:spacing w:val="-3"/>
        </w:rPr>
        <w:t>月，公司被认定为第十九批享受优惠政策的国家级企业技术中心；</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11</w:t>
      </w:r>
      <w:r>
        <w:rPr/>
        <w:t>月，公司被认定为国家创新型试点企业；公司还荣获</w:t>
      </w:r>
      <w:r>
        <w:rPr>
          <w:rFonts w:ascii="Times New Roman" w:hAnsi="Times New Roman" w:cs="Times New Roman" w:eastAsia="Times New Roman" w:hint="default"/>
        </w:rPr>
        <w:t>“</w:t>
      </w:r>
      <w:r>
        <w:rPr/>
        <w:t>企业科技创新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安徽省知识产权运用示范企业</w:t>
      </w:r>
      <w:r>
        <w:rPr>
          <w:rFonts w:ascii="Times New Roman" w:hAnsi="Times New Roman" w:cs="Times New Roman" w:eastAsia="Times New Roman" w:hint="default"/>
        </w:rPr>
        <w:t>”</w:t>
      </w:r>
      <w:r>
        <w:rPr/>
        <w:t>荣誉称号等。</w:t>
      </w:r>
    </w:p>
    <w:p>
      <w:pPr>
        <w:pStyle w:val="BodyText"/>
        <w:spacing w:line="300" w:lineRule="auto" w:before="13"/>
        <w:ind w:right="1128" w:firstLine="360"/>
        <w:jc w:val="both"/>
      </w:pPr>
      <w:r>
        <w:rPr>
          <w:spacing w:val="-2"/>
        </w:rPr>
        <w:t>报告期内：</w:t>
      </w:r>
      <w:r>
        <w:rPr>
          <w:rFonts w:ascii="Times New Roman" w:hAnsi="Times New Roman" w:cs="Times New Roman" w:eastAsia="Times New Roman" w:hint="default"/>
          <w:spacing w:val="-2"/>
        </w:rPr>
        <w:t>1</w:t>
      </w:r>
      <w:r>
        <w:rPr>
          <w:spacing w:val="-2"/>
        </w:rPr>
        <w:t>、股份公司及自动化、森源电器、低压电器、佑赛科技通过</w:t>
      </w:r>
      <w:r>
        <w:rPr>
          <w:rFonts w:ascii="Times New Roman" w:hAnsi="Times New Roman" w:cs="Times New Roman" w:eastAsia="Times New Roman" w:hint="default"/>
          <w:spacing w:val="-2"/>
        </w:rPr>
        <w:t>2014</w:t>
      </w:r>
      <w:r>
        <w:rPr>
          <w:spacing w:val="-2"/>
        </w:rPr>
        <w:t>年高新技术企业认定工作；</w:t>
      </w:r>
      <w:r>
        <w:rPr>
          <w:rFonts w:ascii="Times New Roman" w:hAnsi="Times New Roman" w:cs="Times New Roman" w:eastAsia="Times New Roman" w:hint="default"/>
          <w:spacing w:val="-2"/>
        </w:rPr>
        <w:t>2</w:t>
      </w:r>
      <w:r>
        <w:rPr>
          <w:spacing w:val="-2"/>
        </w:rPr>
        <w:t>、公司作为安</w:t>
      </w:r>
      <w:r>
        <w:rPr/>
        <w:t> </w:t>
      </w:r>
      <w:r>
        <w:rPr>
          <w:spacing w:val="-2"/>
        </w:rPr>
        <w:t>徽省</w:t>
      </w:r>
      <w:r>
        <w:rPr>
          <w:rFonts w:ascii="Times New Roman" w:hAnsi="Times New Roman" w:cs="Times New Roman" w:eastAsia="Times New Roman" w:hint="default"/>
          <w:spacing w:val="-2"/>
        </w:rPr>
        <w:t>2008</w:t>
      </w:r>
      <w:r>
        <w:rPr>
          <w:spacing w:val="-2"/>
        </w:rPr>
        <w:t>年第一批高新技术企业，</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月通过重新认定，被确立为安徽省</w:t>
      </w:r>
      <w:r>
        <w:rPr>
          <w:rFonts w:ascii="Times New Roman" w:hAnsi="Times New Roman" w:cs="Times New Roman" w:eastAsia="Times New Roman" w:hint="default"/>
          <w:spacing w:val="-2"/>
        </w:rPr>
        <w:t>2014</w:t>
      </w:r>
      <w:r>
        <w:rPr>
          <w:spacing w:val="-2"/>
        </w:rPr>
        <w:t>年第一批高新技术企业；</w:t>
      </w: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w:t>
      </w:r>
      <w:r>
        <w:rPr>
          <w:spacing w:val="-2"/>
        </w:rPr>
        <w:t>安徽省</w:t>
      </w:r>
      <w:r>
        <w:rPr>
          <w:spacing w:val="-39"/>
        </w:rPr>
        <w:t> </w:t>
      </w:r>
      <w:r>
        <w:rPr/>
        <w:t>电器设备电磁兼容（</w:t>
      </w:r>
      <w:r>
        <w:rPr>
          <w:rFonts w:ascii="Times New Roman" w:hAnsi="Times New Roman" w:cs="Times New Roman" w:eastAsia="Times New Roman" w:hint="default"/>
        </w:rPr>
        <w:t>EMC</w:t>
      </w:r>
      <w:r>
        <w:rPr/>
        <w:t>）实验室</w:t>
      </w:r>
      <w:r>
        <w:rPr>
          <w:rFonts w:ascii="Times New Roman" w:hAnsi="Times New Roman" w:cs="Times New Roman" w:eastAsia="Times New Roman" w:hint="default"/>
        </w:rPr>
        <w:t>”</w:t>
      </w:r>
      <w:r>
        <w:rPr/>
        <w:t>被评为优秀省级实验室；</w:t>
      </w:r>
      <w:r>
        <w:rPr>
          <w:rFonts w:ascii="Times New Roman" w:hAnsi="Times New Roman" w:cs="Times New Roman" w:eastAsia="Times New Roman" w:hint="default"/>
        </w:rPr>
        <w:t>4</w:t>
      </w:r>
      <w:r>
        <w:rPr/>
        <w:t>、公司《安徽省中低压输配电设备及元器件产业技术创新战</w:t>
      </w:r>
      <w:r>
        <w:rPr>
          <w:spacing w:val="-25"/>
        </w:rPr>
        <w:t> </w:t>
      </w:r>
      <w:r>
        <w:rPr>
          <w:spacing w:val="-25"/>
        </w:rPr>
      </w:r>
      <w:r>
        <w:rPr>
          <w:spacing w:val="-2"/>
        </w:rPr>
        <w:t>略联盟》，被安徽省科技厅认定为第五批安徽省产业技术创新战略联盟；</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DPX100</w:t>
      </w:r>
      <w:r>
        <w:rPr>
          <w:spacing w:val="-2"/>
        </w:rPr>
        <w:t>综合保护单元》被安徽省科技厅认定</w:t>
      </w:r>
      <w:r>
        <w:rPr>
          <w:spacing w:val="-63"/>
        </w:rPr>
        <w:t> </w:t>
      </w:r>
      <w:r>
        <w:rPr>
          <w:spacing w:val="-63"/>
        </w:rPr>
      </w:r>
      <w:r>
        <w:rPr/>
        <w:t>为省级重点新产品，被国家科技部认定为国家级重点新产品；</w:t>
      </w:r>
      <w:r>
        <w:rPr>
          <w:rFonts w:ascii="Times New Roman" w:hAnsi="Times New Roman" w:cs="Times New Roman" w:eastAsia="Times New Roman" w:hint="default"/>
        </w:rPr>
        <w:t>6</w:t>
      </w:r>
      <w:r>
        <w:rPr/>
        <w:t>、公司《智能化电力供配电微机综合保护装置生产线项目》</w:t>
      </w:r>
      <w:r>
        <w:rPr>
          <w:spacing w:val="-82"/>
        </w:rPr>
        <w:t> </w:t>
      </w:r>
      <w:r>
        <w:rPr>
          <w:spacing w:val="-82"/>
        </w:rPr>
      </w:r>
      <w:r>
        <w:rPr/>
        <w:t>被评为</w:t>
      </w:r>
      <w:r>
        <w:rPr>
          <w:rFonts w:ascii="Times New Roman" w:hAnsi="Times New Roman" w:cs="Times New Roman" w:eastAsia="Times New Roman" w:hint="default"/>
        </w:rPr>
        <w:t>2014</w:t>
      </w:r>
      <w:r>
        <w:rPr/>
        <w:t>年省高技术产业化专项资金项目，并当年完成验收工作；</w:t>
      </w:r>
      <w:r>
        <w:rPr>
          <w:rFonts w:ascii="Times New Roman" w:hAnsi="Times New Roman" w:cs="Times New Roman" w:eastAsia="Times New Roman" w:hint="default"/>
        </w:rPr>
        <w:t>7</w:t>
      </w:r>
      <w:r>
        <w:rPr/>
        <w:t>、</w:t>
      </w:r>
      <w:r>
        <w:rPr>
          <w:rFonts w:ascii="Times New Roman" w:hAnsi="Times New Roman" w:cs="Times New Roman" w:eastAsia="Times New Roman" w:hint="default"/>
        </w:rPr>
        <w:t>“10KV/±5Mvar</w:t>
      </w:r>
      <w:r>
        <w:rPr/>
        <w:t>静止同步补偿器开发与研究</w:t>
      </w:r>
      <w:r>
        <w:rPr>
          <w:rFonts w:ascii="Times New Roman" w:hAnsi="Times New Roman" w:cs="Times New Roman" w:eastAsia="Times New Roman" w:hint="default"/>
        </w:rPr>
        <w:t>”</w:t>
      </w:r>
      <w:r>
        <w:rPr/>
        <w:t>项目被</w:t>
      </w:r>
      <w:r>
        <w:rPr>
          <w:spacing w:val="-55"/>
        </w:rPr>
        <w:t> </w:t>
      </w:r>
      <w:r>
        <w:rPr/>
        <w:t>评为</w:t>
      </w:r>
      <w:r>
        <w:rPr>
          <w:rFonts w:ascii="Times New Roman" w:hAnsi="Times New Roman" w:cs="Times New Roman" w:eastAsia="Times New Roman" w:hint="default"/>
        </w:rPr>
        <w:t>2014</w:t>
      </w:r>
      <w:r>
        <w:rPr/>
        <w:t>年省科技攻关计划项目；</w:t>
      </w:r>
      <w:r>
        <w:rPr>
          <w:rFonts w:ascii="Times New Roman" w:hAnsi="Times New Roman" w:cs="Times New Roman" w:eastAsia="Times New Roman" w:hint="default"/>
        </w:rPr>
        <w:t>8</w:t>
      </w:r>
      <w:r>
        <w:rPr/>
        <w:t>、公司《智能型高分断低压断路器生产线建设项目》被评为</w:t>
      </w:r>
      <w:r>
        <w:rPr>
          <w:rFonts w:ascii="Times New Roman" w:hAnsi="Times New Roman" w:cs="Times New Roman" w:eastAsia="Times New Roman" w:hint="default"/>
        </w:rPr>
        <w:t>2014</w:t>
      </w:r>
      <w:r>
        <w:rPr/>
        <w:t>年省企业发展专项资金</w:t>
      </w:r>
      <w:r>
        <w:rPr>
          <w:spacing w:val="-82"/>
        </w:rPr>
        <w:t> </w:t>
      </w:r>
      <w:r>
        <w:rPr>
          <w:spacing w:val="-82"/>
        </w:rPr>
      </w:r>
      <w:r>
        <w:rPr/>
        <w:t>支持项目；</w:t>
      </w:r>
      <w:r>
        <w:rPr>
          <w:rFonts w:ascii="Times New Roman" w:hAnsi="Times New Roman" w:cs="Times New Roman" w:eastAsia="Times New Roman" w:hint="default"/>
        </w:rPr>
        <w:t>9</w:t>
      </w:r>
      <w:r>
        <w:rPr/>
        <w:t>、《中低压电能质量综合治理装置产业化关键技术研究项目》被评为</w:t>
      </w:r>
      <w:r>
        <w:rPr>
          <w:rFonts w:ascii="Times New Roman" w:hAnsi="Times New Roman" w:cs="Times New Roman" w:eastAsia="Times New Roman" w:hint="default"/>
        </w:rPr>
        <w:t>2014</w:t>
      </w:r>
      <w:r>
        <w:rPr/>
        <w:t>年芜湖市重大科技攻关项目；</w:t>
      </w:r>
      <w:r>
        <w:rPr>
          <w:spacing w:val="86"/>
        </w:rPr>
        <w:t> </w:t>
      </w:r>
      <w:r>
        <w:rPr>
          <w:rFonts w:ascii="Times New Roman" w:hAnsi="Times New Roman" w:cs="Times New Roman" w:eastAsia="Times New Roman" w:hint="default"/>
        </w:rPr>
        <w:t>10</w:t>
      </w:r>
      <w:r>
        <w:rPr/>
        <w:t>、</w:t>
      </w:r>
    </w:p>
    <w:p>
      <w:pPr>
        <w:pStyle w:val="BodyText"/>
        <w:spacing w:line="300" w:lineRule="auto" w:before="13"/>
        <w:ind w:right="1129"/>
        <w:jc w:val="both"/>
      </w:pPr>
      <w:r>
        <w:rPr>
          <w:spacing w:val="-1"/>
        </w:rPr>
        <w:t>《</w:t>
      </w:r>
      <w:r>
        <w:rPr>
          <w:rFonts w:ascii="Times New Roman" w:hAnsi="Times New Roman" w:cs="Times New Roman" w:eastAsia="Times New Roman" w:hint="default"/>
          <w:spacing w:val="-1"/>
        </w:rPr>
        <w:t>DMX300</w:t>
      </w:r>
      <w:r>
        <w:rPr>
          <w:spacing w:val="-1"/>
        </w:rPr>
        <w:t>系列多功能测控装置及其在智能电网中的应用》获得安徽省科学技术奖一等奖；</w:t>
      </w:r>
      <w:r>
        <w:rPr>
          <w:rFonts w:ascii="Times New Roman" w:hAnsi="Times New Roman" w:cs="Times New Roman" w:eastAsia="Times New Roman" w:hint="default"/>
          <w:spacing w:val="-1"/>
        </w:rPr>
        <w:t>11</w:t>
      </w:r>
      <w:r>
        <w:rPr>
          <w:spacing w:val="-1"/>
        </w:rPr>
        <w:t>、公司项目《高效节能数字式</w:t>
      </w:r>
      <w:r>
        <w:rPr>
          <w:w w:val="99"/>
        </w:rPr>
        <w:t> </w:t>
      </w:r>
      <w:r>
        <w:rPr/>
        <w:t>软启动装置》（核心专利</w:t>
      </w:r>
      <w:r>
        <w:rPr>
          <w:rFonts w:ascii="Times New Roman" w:hAnsi="Times New Roman" w:cs="Times New Roman" w:eastAsia="Times New Roman" w:hint="default"/>
        </w:rPr>
        <w:t>“</w:t>
      </w:r>
      <w:r>
        <w:rPr/>
        <w:t>一种软起动器的制动方法</w:t>
      </w:r>
      <w:r>
        <w:rPr>
          <w:rFonts w:ascii="Times New Roman" w:hAnsi="Times New Roman" w:cs="Times New Roman" w:eastAsia="Times New Roman" w:hint="default"/>
        </w:rPr>
        <w:t>”</w:t>
      </w:r>
      <w:r>
        <w:rPr/>
        <w:t>）获第三届安徽省专利奖金奖；</w:t>
      </w:r>
      <w:r>
        <w:rPr>
          <w:spacing w:val="16"/>
        </w:rPr>
        <w:t> </w:t>
      </w:r>
      <w:r>
        <w:rPr>
          <w:rFonts w:ascii="Times New Roman" w:hAnsi="Times New Roman" w:cs="Times New Roman" w:eastAsia="Times New Roman" w:hint="default"/>
        </w:rPr>
        <w:t>12</w:t>
      </w:r>
      <w:r>
        <w:rPr/>
        <w:t>、《电力自动化系统关键技术开发</w:t>
      </w:r>
      <w:r>
        <w:rPr>
          <w:spacing w:val="-84"/>
        </w:rPr>
        <w:t> </w:t>
      </w:r>
      <w:r>
        <w:rPr>
          <w:spacing w:val="-84"/>
        </w:rPr>
      </w:r>
      <w:r>
        <w:rPr>
          <w:spacing w:val="-2"/>
        </w:rPr>
        <w:t>及其在智能电网中的应用》获得芜湖市科学技术奖二等奖；</w:t>
      </w:r>
      <w:r>
        <w:rPr>
          <w:rFonts w:ascii="Times New Roman" w:hAnsi="Times New Roman" w:cs="Times New Roman" w:eastAsia="Times New Roman" w:hint="default"/>
          <w:spacing w:val="-2"/>
        </w:rPr>
        <w:t>13</w:t>
      </w:r>
      <w:r>
        <w:rPr>
          <w:spacing w:val="-2"/>
        </w:rPr>
        <w:t>、成套电器</w:t>
      </w:r>
      <w:r>
        <w:rPr>
          <w:rFonts w:ascii="Times New Roman" w:hAnsi="Times New Roman" w:cs="Times New Roman" w:eastAsia="Times New Roman" w:hint="default"/>
          <w:spacing w:val="-2"/>
        </w:rPr>
        <w:t>“</w:t>
      </w:r>
      <w:r>
        <w:rPr>
          <w:spacing w:val="-2"/>
        </w:rPr>
        <w:t>金属铠装移开式高压开关设备</w:t>
      </w:r>
      <w:r>
        <w:rPr>
          <w:rFonts w:ascii="Times New Roman" w:hAnsi="Times New Roman" w:cs="Times New Roman" w:eastAsia="Times New Roman" w:hint="default"/>
          <w:spacing w:val="-2"/>
        </w:rPr>
        <w:t>”</w:t>
      </w:r>
      <w:r>
        <w:rPr>
          <w:spacing w:val="-2"/>
        </w:rPr>
        <w:t>项目荣获首届芜湖</w:t>
      </w:r>
      <w:r>
        <w:rPr>
          <w:spacing w:val="-40"/>
        </w:rPr>
        <w:t> </w:t>
      </w:r>
      <w:r>
        <w:rPr/>
        <w:t>职工专利创新奖三等奖；</w:t>
      </w:r>
      <w:r>
        <w:rPr>
          <w:rFonts w:ascii="Times New Roman" w:hAnsi="Times New Roman" w:cs="Times New Roman" w:eastAsia="Times New Roman" w:hint="default"/>
        </w:rPr>
        <w:t>14</w:t>
      </w:r>
      <w:r>
        <w:rPr/>
        <w:t>、根据规定，公司享受了</w:t>
      </w:r>
      <w:r>
        <w:rPr>
          <w:rFonts w:ascii="Times New Roman" w:hAnsi="Times New Roman" w:cs="Times New Roman" w:eastAsia="Times New Roman" w:hint="default"/>
        </w:rPr>
        <w:t>2014</w:t>
      </w:r>
      <w:r>
        <w:rPr/>
        <w:t>年单台</w:t>
      </w:r>
      <w:r>
        <w:rPr>
          <w:rFonts w:ascii="Times New Roman" w:hAnsi="Times New Roman" w:cs="Times New Roman" w:eastAsia="Times New Roman" w:hint="default"/>
        </w:rPr>
        <w:t>/</w:t>
      </w:r>
      <w:r>
        <w:rPr/>
        <w:t>套设备</w:t>
      </w:r>
      <w:r>
        <w:rPr>
          <w:rFonts w:ascii="Times New Roman" w:hAnsi="Times New Roman" w:cs="Times New Roman" w:eastAsia="Times New Roman" w:hint="default"/>
        </w:rPr>
        <w:t>10</w:t>
      </w:r>
      <w:r>
        <w:rPr/>
        <w:t>万元以上的研发设备可获得设备原值</w:t>
      </w:r>
      <w:r>
        <w:rPr>
          <w:rFonts w:ascii="Times New Roman" w:hAnsi="Times New Roman" w:cs="Times New Roman" w:eastAsia="Times New Roman" w:hint="default"/>
        </w:rPr>
        <w:t>15%</w:t>
      </w:r>
      <w:r>
        <w:rPr/>
        <w:t>的补助</w:t>
      </w:r>
      <w:r>
        <w:rPr>
          <w:spacing w:val="-19"/>
        </w:rPr>
        <w:t> </w:t>
      </w:r>
      <w:r>
        <w:rPr>
          <w:spacing w:val="-19"/>
        </w:rPr>
      </w:r>
      <w:r>
        <w:rPr/>
        <w:t>额。</w:t>
      </w:r>
    </w:p>
    <w:p>
      <w:pPr>
        <w:pStyle w:val="BodyText"/>
        <w:spacing w:line="300" w:lineRule="auto" w:before="31"/>
        <w:ind w:left="513" w:right="1118"/>
        <w:jc w:val="left"/>
      </w:pPr>
      <w:r>
        <w:rPr>
          <w:rFonts w:ascii="Times New Roman" w:hAnsi="Times New Roman" w:cs="Times New Roman" w:eastAsia="Times New Roman" w:hint="default"/>
        </w:rPr>
        <w:t>3</w:t>
      </w:r>
      <w:r>
        <w:rPr/>
        <w:t>、品牌优势 </w:t>
      </w:r>
      <w:r>
        <w:rPr>
          <w:spacing w:val="-2"/>
        </w:rPr>
        <w:t>通过多年的努力，公司己具备了较为突出的品牌优势，近年来获得了多项荣誉称号，为公司品牌形象的树立与推广起到</w:t>
      </w:r>
    </w:p>
    <w:p>
      <w:pPr>
        <w:pStyle w:val="BodyText"/>
        <w:spacing w:line="304" w:lineRule="auto" w:before="31"/>
        <w:ind w:right="1041"/>
        <w:jc w:val="left"/>
      </w:pPr>
      <w:r>
        <w:rPr>
          <w:spacing w:val="-2"/>
        </w:rPr>
        <w:t>了良好的促进作用。由于输配电及控制设备对电网安全运行至关重要，客户对品牌和质量的认可往往决定了其购买行为，在</w:t>
      </w:r>
      <w:r>
        <w:rPr>
          <w:spacing w:val="-66"/>
        </w:rPr>
        <w:t> </w:t>
      </w:r>
      <w:r>
        <w:rPr>
          <w:spacing w:val="-66"/>
        </w:rPr>
      </w:r>
      <w:r>
        <w:rPr>
          <w:spacing w:val="-3"/>
        </w:rPr>
        <w:t>建立信任关系后不易改变对品牌的忠诚度，因此公司一直将品牌建设列入企业战略目标，实行</w:t>
      </w:r>
      <w:r>
        <w:rPr>
          <w:rFonts w:ascii="Times New Roman" w:hAnsi="Times New Roman" w:cs="Times New Roman" w:eastAsia="Times New Roman" w:hint="default"/>
          <w:spacing w:val="-3"/>
        </w:rPr>
        <w:t>“</w:t>
      </w:r>
      <w:r>
        <w:rPr>
          <w:spacing w:val="-3"/>
        </w:rPr>
        <w:t>重质量、创品牌</w:t>
      </w:r>
      <w:r>
        <w:rPr>
          <w:rFonts w:ascii="Times New Roman" w:hAnsi="Times New Roman" w:cs="Times New Roman" w:eastAsia="Times New Roman" w:hint="default"/>
          <w:spacing w:val="-3"/>
        </w:rPr>
        <w:t>”</w:t>
      </w:r>
      <w:r>
        <w:rPr>
          <w:spacing w:val="-3"/>
        </w:rPr>
        <w:t>的经营方针。</w:t>
      </w:r>
      <w:r>
        <w:rPr>
          <w:spacing w:val="-78"/>
        </w:rPr>
        <w:t> </w:t>
      </w:r>
      <w:r>
        <w:rPr>
          <w:spacing w:val="-78"/>
        </w:rPr>
      </w:r>
      <w:r>
        <w:rPr>
          <w:rFonts w:ascii="Times New Roman" w:hAnsi="Times New Roman" w:cs="Times New Roman" w:eastAsia="Times New Roman" w:hint="default"/>
        </w:rPr>
        <w:t>“</w:t>
      </w:r>
      <w:r>
        <w:rPr/>
        <w:t>鑫龙牌</w:t>
      </w:r>
      <w:r>
        <w:rPr>
          <w:rFonts w:ascii="Times New Roman" w:hAnsi="Times New Roman" w:cs="Times New Roman" w:eastAsia="Times New Roman" w:hint="default"/>
        </w:rPr>
        <w:t>”</w:t>
      </w:r>
      <w:r>
        <w:rPr/>
        <w:t>图形商标被评定为驰名商标，</w:t>
      </w:r>
      <w:r>
        <w:rPr>
          <w:rFonts w:ascii="Times New Roman" w:hAnsi="Times New Roman" w:cs="Times New Roman" w:eastAsia="Times New Roman" w:hint="default"/>
        </w:rPr>
        <w:t>“</w:t>
      </w:r>
      <w:r>
        <w:rPr/>
        <w:t>鑫龙牌</w:t>
      </w:r>
      <w:r>
        <w:rPr>
          <w:rFonts w:ascii="Times New Roman" w:hAnsi="Times New Roman" w:cs="Times New Roman" w:eastAsia="Times New Roman" w:hint="default"/>
        </w:rPr>
        <w:t>”</w:t>
      </w:r>
      <w:r>
        <w:rPr/>
        <w:t>高低压系列开关柜荣获</w:t>
      </w:r>
      <w:r>
        <w:rPr>
          <w:rFonts w:ascii="Times New Roman" w:hAnsi="Times New Roman" w:cs="Times New Roman" w:eastAsia="Times New Roman" w:hint="default"/>
        </w:rPr>
        <w:t>“</w:t>
      </w:r>
      <w:r>
        <w:rPr/>
        <w:t>产品质量国家免检</w:t>
      </w:r>
      <w:r>
        <w:rPr>
          <w:rFonts w:ascii="Times New Roman" w:hAnsi="Times New Roman" w:cs="Times New Roman" w:eastAsia="Times New Roman" w:hint="default"/>
        </w:rPr>
        <w:t>”</w:t>
      </w:r>
      <w:r>
        <w:rPr/>
        <w:t>称号，并连续四届获安徽省名牌 产品称号。公司先后荣获</w:t>
      </w:r>
      <w:r>
        <w:rPr>
          <w:rFonts w:ascii="Times New Roman" w:hAnsi="Times New Roman" w:cs="Times New Roman" w:eastAsia="Times New Roman" w:hint="default"/>
        </w:rPr>
        <w:t>“</w:t>
      </w:r>
      <w:r>
        <w:rPr/>
        <w:t>安徽省劳动保障诚信示范单位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十强企业</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w:t>
      </w:r>
      <w:r>
        <w:rPr/>
        <w:t>优秀民营企业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AAA</w:t>
      </w:r>
      <w:r>
        <w:rPr/>
        <w:t>级纳税企业、国家级</w:t>
      </w:r>
      <w:r>
        <w:rPr>
          <w:rFonts w:ascii="Times New Roman" w:hAnsi="Times New Roman" w:cs="Times New Roman" w:eastAsia="Times New Roman" w:hint="default"/>
        </w:rPr>
        <w:t>“</w:t>
      </w:r>
      <w:r>
        <w:rPr/>
        <w:t>守</w:t>
      </w:r>
      <w:r>
        <w:rPr>
          <w:spacing w:val="-53"/>
        </w:rPr>
        <w:t> </w:t>
      </w:r>
      <w:r>
        <w:rPr/>
        <w:t>合同、重信用企业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w:t>
      </w:r>
      <w:r>
        <w:rPr>
          <w:rFonts w:ascii="Times New Roman" w:hAnsi="Times New Roman" w:cs="Times New Roman" w:eastAsia="Times New Roman" w:hint="default"/>
        </w:rPr>
        <w:t>3937651</w:t>
      </w:r>
      <w:r>
        <w:rPr/>
        <w:t>号图形商标为驰名商标</w:t>
      </w:r>
      <w:r>
        <w:rPr>
          <w:rFonts w:ascii="Times New Roman" w:hAnsi="Times New Roman" w:cs="Times New Roman" w:eastAsia="Times New Roman" w:hint="default"/>
        </w:rPr>
        <w:t>”</w:t>
      </w:r>
      <w:r>
        <w:rPr/>
        <w:t>等荣誉。</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group style="position:absolute;margin-left:375.880005pt;margin-top:656.440002pt;width:159.1pt;height:97.6pt;mso-position-horizontal-relative:page;mso-position-vertical-relative:page;z-index:-852904" coordorigin="7518,13129" coordsize="3182,1952">
            <v:group style="position:absolute;left:7518;top:13129;width:3182;height:780" coordorigin="7518,13129" coordsize="3182,780">
              <v:shape style="position:absolute;left:7518;top:13129;width:3182;height:780" coordorigin="7518,13129" coordsize="3182,780" path="m7518,13909l10699,13909,10699,13129,7518,13129,7518,13909xe" filled="true" fillcolor="#ffffff" stroked="false">
                <v:path arrowok="t"/>
                <v:fill type="solid"/>
              </v:shape>
            </v:group>
            <v:group style="position:absolute;left:7529;top:13909;width:2;height:392" coordorigin="7529,13909" coordsize="2,392">
              <v:shape style="position:absolute;left:7529;top:13909;width:2;height:392" coordorigin="7529,13909" coordsize="0,392" path="m7529,13909l7529,14300e" filled="false" stroked="true" strokeweight="1.140pt" strokecolor="#ffffff">
                <v:path arrowok="t"/>
              </v:shape>
            </v:group>
            <v:group style="position:absolute;left:7518;top:14300;width:3182;height:780" coordorigin="7518,14300" coordsize="3182,780">
              <v:shape style="position:absolute;left:7518;top:14300;width:3182;height:780" coordorigin="7518,14300" coordsize="3182,780" path="m7518,15080l10699,15080,10699,14300,7518,14300,7518,15080xe" filled="true" fillcolor="#ffffff" stroked="false">
                <v:path arrowok="t"/>
                <v:fill type="solid"/>
              </v:shape>
            </v:group>
            <v:group style="position:absolute;left:7540;top:13909;width:3136;height:392" coordorigin="7540,13909" coordsize="3136,392">
              <v:shape style="position:absolute;left:7540;top:13909;width:3136;height:392" coordorigin="7540,13909" coordsize="3136,392" path="m7540,14300l10676,14300,10676,13909,7540,13909,7540,14300xe" filled="true" fillcolor="#ffffff" stroked="false">
                <v:path arrowok="t"/>
                <v:fill type="solid"/>
              </v:shape>
            </v:group>
            <w10:wrap type="none"/>
          </v:group>
        </w:pict>
      </w:r>
    </w:p>
    <w:p>
      <w:pPr>
        <w:pStyle w:val="BodyText"/>
        <w:spacing w:line="316" w:lineRule="auto" w:before="44"/>
        <w:ind w:right="1131" w:firstLine="360"/>
        <w:jc w:val="both"/>
      </w:pPr>
      <w:r>
        <w:rPr>
          <w:spacing w:val="-2"/>
        </w:rPr>
        <w:t>报告期内，公司将品牌规划融入到企业战略规划中去。即：公司在做战略规划时，将企业的品牌与企业宗旨有效有结合</w:t>
      </w:r>
      <w:r>
        <w:rPr/>
        <w:t> </w:t>
      </w:r>
      <w:r>
        <w:rPr>
          <w:spacing w:val="-2"/>
        </w:rPr>
        <w:t>起来。同时，公司打造诚信品牌，注重品牌管理和维护，在产品不断推陈出新的过程中，始终保持产品的理念和风格的一致</w:t>
      </w:r>
      <w:r>
        <w:rPr>
          <w:spacing w:val="-66"/>
        </w:rPr>
        <w:t> </w:t>
      </w:r>
      <w:r>
        <w:rPr>
          <w:spacing w:val="-66"/>
        </w:rPr>
      </w:r>
      <w:r>
        <w:rPr>
          <w:spacing w:val="-2"/>
        </w:rPr>
        <w:t>性，不偏离轨道。在售后服务、销售现场、服务态度、企业公关等产品运做的过程中，各个环节始终传递出一致性，保持和</w:t>
      </w:r>
      <w:r>
        <w:rPr>
          <w:spacing w:val="-72"/>
        </w:rPr>
        <w:t> </w:t>
      </w:r>
      <w:r>
        <w:rPr>
          <w:spacing w:val="-72"/>
        </w:rPr>
      </w:r>
      <w:r>
        <w:rPr/>
        <w:t>维护品牌的完整。</w:t>
      </w:r>
    </w:p>
    <w:p>
      <w:pPr>
        <w:pStyle w:val="BodyText"/>
        <w:spacing w:line="300" w:lineRule="auto" w:before="19"/>
        <w:ind w:left="513" w:right="1118"/>
        <w:jc w:val="left"/>
      </w:pPr>
      <w:r>
        <w:rPr>
          <w:rFonts w:ascii="Times New Roman" w:hAnsi="Times New Roman" w:cs="Times New Roman" w:eastAsia="Times New Roman" w:hint="default"/>
        </w:rPr>
        <w:t>4</w:t>
      </w:r>
      <w:r>
        <w:rPr/>
        <w:t>、人才优势 </w:t>
      </w:r>
      <w:r>
        <w:rPr>
          <w:spacing w:val="-2"/>
        </w:rPr>
        <w:t>公司自成立以来，一直注重技术人才、管理人才和营销人才的选拔、培养和重用，坚持知识化、年轻化、科技化。公司</w:t>
      </w:r>
    </w:p>
    <w:p>
      <w:pPr>
        <w:pStyle w:val="BodyText"/>
        <w:spacing w:line="309" w:lineRule="auto" w:before="31"/>
        <w:ind w:right="1033"/>
        <w:jc w:val="left"/>
      </w:pPr>
      <w:r>
        <w:rPr/>
        <w:t>在长期从事高低压成套开关设备及元器件的生产过程中，积累了丰富的科研和实践经验，形成了以</w:t>
      </w:r>
      <w:r>
        <w:rPr>
          <w:rFonts w:ascii="Times New Roman" w:hAnsi="Times New Roman" w:cs="Times New Roman" w:eastAsia="Times New Roman" w:hint="default"/>
        </w:rPr>
        <w:t>1</w:t>
      </w:r>
      <w:r>
        <w:rPr/>
        <w:t>名享受国务院津贴的专</w:t>
      </w:r>
      <w:r>
        <w:rPr>
          <w:spacing w:val="-81"/>
        </w:rPr>
        <w:t> </w:t>
      </w:r>
      <w:r>
        <w:rPr>
          <w:spacing w:val="-81"/>
        </w:rPr>
      </w:r>
      <w:r>
        <w:rPr/>
        <w:t>家、</w:t>
      </w:r>
      <w:r>
        <w:rPr>
          <w:rFonts w:ascii="Times New Roman" w:hAnsi="Times New Roman" w:cs="Times New Roman" w:eastAsia="Times New Roman" w:hint="default"/>
        </w:rPr>
        <w:t>1</w:t>
      </w:r>
      <w:r>
        <w:rPr/>
        <w:t>名机械工业青年科技专家和</w:t>
      </w:r>
      <w:r>
        <w:rPr>
          <w:rFonts w:ascii="Times New Roman" w:hAnsi="Times New Roman" w:cs="Times New Roman" w:eastAsia="Times New Roman" w:hint="default"/>
        </w:rPr>
        <w:t>21</w:t>
      </w:r>
      <w:r>
        <w:rPr/>
        <w:t>位高级职称专家以及</w:t>
      </w:r>
      <w:r>
        <w:rPr>
          <w:rFonts w:ascii="Times New Roman" w:hAnsi="Times New Roman" w:cs="Times New Roman" w:eastAsia="Times New Roman" w:hint="default"/>
        </w:rPr>
        <w:t>66</w:t>
      </w:r>
      <w:r>
        <w:rPr/>
        <w:t>位中级职称专家为核心的科研队伍，同时还聘请了行业知名专家</w:t>
      </w:r>
      <w:r>
        <w:rPr>
          <w:spacing w:val="-83"/>
        </w:rPr>
        <w:t> </w:t>
      </w:r>
      <w:r>
        <w:rPr>
          <w:spacing w:val="-83"/>
        </w:rPr>
      </w:r>
      <w:r>
        <w:rPr/>
        <w:t>作为公司技术委员会成员。公司还一直吸引优秀的管理人才和营销人才加盟，管理层人员的行业经验和企业管理经验丰富， </w:t>
      </w:r>
      <w:r>
        <w:rPr>
          <w:spacing w:val="-4"/>
        </w:rPr>
        <w:t>营销人员市场开拓意识较强。目前，公司已经形成了一支精通管理、熟悉行业、技术全面、结构合理、素质优秀的人才队伍，</w:t>
      </w:r>
      <w:r>
        <w:rPr>
          <w:spacing w:val="-44"/>
        </w:rPr>
        <w:t> </w:t>
      </w:r>
      <w:r>
        <w:rPr>
          <w:spacing w:val="-44"/>
        </w:rPr>
      </w:r>
      <w:r>
        <w:rPr/>
        <w:t>为公司迅速成长做出了突出的贡献。</w:t>
      </w:r>
    </w:p>
    <w:p>
      <w:pPr>
        <w:pStyle w:val="BodyText"/>
        <w:spacing w:line="240" w:lineRule="auto" w:before="24"/>
        <w:ind w:left="514" w:right="0"/>
        <w:jc w:val="left"/>
      </w:pPr>
      <w:r>
        <w:rPr/>
        <w:t>报告期内，</w:t>
      </w:r>
      <w:r>
        <w:rPr>
          <w:rFonts w:ascii="Times New Roman" w:hAnsi="Times New Roman" w:cs="Times New Roman" w:eastAsia="Times New Roman" w:hint="default"/>
        </w:rPr>
        <w:t>1</w:t>
      </w:r>
      <w:r>
        <w:rPr/>
        <w:t>、公司员工徐成、陈蒋红、徐怀斌、桂召凡、付强入围</w:t>
      </w:r>
      <w:r>
        <w:rPr>
          <w:rFonts w:ascii="Times New Roman" w:hAnsi="Times New Roman" w:cs="Times New Roman" w:eastAsia="Times New Roman" w:hint="default"/>
        </w:rPr>
        <w:t>2013</w:t>
      </w:r>
      <w:r>
        <w:rPr/>
        <w:t>年度芜湖市产业振兴</w:t>
      </w:r>
      <w:r>
        <w:rPr>
          <w:rFonts w:ascii="Times New Roman" w:hAnsi="Times New Roman" w:cs="Times New Roman" w:eastAsia="Times New Roman" w:hint="default"/>
        </w:rPr>
        <w:t>“</w:t>
      </w:r>
      <w:r>
        <w:rPr/>
        <w:t>千名人才计划</w:t>
      </w:r>
      <w:r>
        <w:rPr>
          <w:rFonts w:ascii="Times New Roman" w:hAnsi="Times New Roman" w:cs="Times New Roman" w:eastAsia="Times New Roman" w:hint="default"/>
        </w:rPr>
        <w:t>”</w:t>
      </w:r>
      <w:r>
        <w:rPr/>
        <w:t>；</w:t>
      </w:r>
      <w:r>
        <w:rPr>
          <w:rFonts w:ascii="Times New Roman" w:hAnsi="Times New Roman" w:cs="Times New Roman" w:eastAsia="Times New Roman" w:hint="default"/>
        </w:rPr>
        <w:t>2</w:t>
      </w:r>
      <w:r>
        <w:rPr/>
        <w:t>、公司</w:t>
      </w:r>
    </w:p>
    <w:p>
      <w:pPr>
        <w:pStyle w:val="BodyText"/>
        <w:spacing w:line="240" w:lineRule="auto" w:before="63"/>
        <w:ind w:right="0"/>
        <w:jc w:val="left"/>
      </w:pPr>
      <w:r>
        <w:rPr/>
        <w:t>《智能型电力电子元器件创新团队》被评为</w:t>
      </w:r>
      <w:r>
        <w:rPr>
          <w:rFonts w:ascii="Times New Roman" w:hAnsi="Times New Roman" w:cs="Times New Roman" w:eastAsia="Times New Roman" w:hint="default"/>
        </w:rPr>
        <w:t>2013</w:t>
      </w:r>
      <w:r>
        <w:rPr/>
        <w:t>年芜湖市</w:t>
      </w:r>
      <w:r>
        <w:rPr>
          <w:rFonts w:ascii="Times New Roman" w:hAnsi="Times New Roman" w:cs="Times New Roman" w:eastAsia="Times New Roman" w:hint="default"/>
        </w:rPr>
        <w:t>“5111”</w:t>
      </w:r>
      <w:r>
        <w:rPr/>
        <w:t>产业创新团队；</w:t>
      </w:r>
    </w:p>
    <w:p>
      <w:pPr>
        <w:pStyle w:val="BodyText"/>
        <w:spacing w:line="300" w:lineRule="auto" w:before="63"/>
        <w:ind w:left="513" w:right="1118"/>
        <w:jc w:val="left"/>
      </w:pPr>
      <w:r>
        <w:rPr>
          <w:rFonts w:ascii="Times New Roman" w:hAnsi="Times New Roman" w:cs="Times New Roman" w:eastAsia="Times New Roman" w:hint="default"/>
        </w:rPr>
        <w:t>5</w:t>
      </w:r>
      <w:r>
        <w:rPr/>
        <w:t>、产业链优势 </w:t>
      </w:r>
      <w:r>
        <w:rPr>
          <w:spacing w:val="-2"/>
        </w:rPr>
        <w:t>在增强公司核心竞争力的前提下，进一步满足公司做大做强的战略目标，寻找潜在市场机会，实施一定程度的横向一体</w:t>
      </w:r>
    </w:p>
    <w:p>
      <w:pPr>
        <w:pStyle w:val="BodyText"/>
        <w:spacing w:line="316" w:lineRule="auto" w:before="31"/>
        <w:ind w:left="513" w:right="0" w:hanging="360"/>
        <w:jc w:val="left"/>
      </w:pPr>
      <w:r>
        <w:rPr/>
        <w:t>化和纵向一体化战略，完成公司产业链的延伸。 </w:t>
      </w:r>
      <w:r>
        <w:rPr>
          <w:spacing w:val="-2"/>
        </w:rPr>
        <w:t>报告期内，公司紧紧抓住国家京津冀都市圈和环渤海经济圈区域规划的战略发展机遇，成功收购了天津市泰达工程设计</w:t>
      </w:r>
    </w:p>
    <w:p>
      <w:pPr>
        <w:pStyle w:val="BodyText"/>
        <w:spacing w:line="316" w:lineRule="auto" w:before="19"/>
        <w:ind w:right="1130"/>
        <w:jc w:val="both"/>
      </w:pPr>
      <w:r>
        <w:rPr>
          <w:spacing w:val="-2"/>
        </w:rPr>
        <w:t>公司，将有利于公司产业链向行业上游延伸，同时公司也将协助建立以天津泰达设计总院为核心，在安徽、北京等其他省市</w:t>
      </w:r>
      <w:r>
        <w:rPr>
          <w:spacing w:val="-66"/>
        </w:rPr>
        <w:t> </w:t>
      </w:r>
      <w:r>
        <w:rPr>
          <w:spacing w:val="-66"/>
        </w:rPr>
      </w:r>
      <w:r>
        <w:rPr>
          <w:spacing w:val="-2"/>
        </w:rPr>
        <w:t>设立分院，逐步形成辐射全国的电力设计服务网络，将鑫龙电器和泰达设计的市场做大做强，使公司形成以高低压成套产品</w:t>
      </w:r>
      <w:r>
        <w:rPr>
          <w:spacing w:val="-66"/>
        </w:rPr>
        <w:t> </w:t>
      </w:r>
      <w:r>
        <w:rPr>
          <w:spacing w:val="-66"/>
        </w:rPr>
      </w:r>
      <w:r>
        <w:rPr>
          <w:spacing w:val="-2"/>
        </w:rPr>
        <w:t>为平台，实现以高、低压元器件、自动化元器件、电力电子和电力设计为核心，以新能源和电力安装为两翼，形成以提供设</w:t>
      </w:r>
      <w:r>
        <w:rPr>
          <w:spacing w:val="-70"/>
        </w:rPr>
        <w:t> </w:t>
      </w:r>
      <w:r>
        <w:rPr>
          <w:spacing w:val="-70"/>
        </w:rPr>
      </w:r>
      <w:r>
        <w:rPr/>
        <w:t>计、输配电设备制造、元器件、安装等电力服务一揽子解决方案的服务商。</w:t>
      </w:r>
    </w:p>
    <w:p>
      <w:pPr>
        <w:pStyle w:val="BodyText"/>
        <w:spacing w:line="319" w:lineRule="auto" w:before="19"/>
        <w:ind w:right="1133" w:firstLine="360"/>
        <w:jc w:val="both"/>
      </w:pPr>
      <w:r>
        <w:rPr>
          <w:spacing w:val="-2"/>
        </w:rPr>
        <w:t>报告期内，公司进一步加大并购、重组的步伐，截止报告期末，公司已经中国证监会和深交所审核同意，正对外实施重</w:t>
      </w:r>
      <w:r>
        <w:rPr/>
        <w:t> 大资产重组事项，目前项目进展正稳步推进中。</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六、投资状况分析" w:id="30"/>
      <w:bookmarkEnd w:id="30"/>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对外股权投资情况" w:id="31"/>
      <w:bookmarkEnd w:id="31"/>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对外投资情况" w:id="32"/>
      <w:bookmarkEnd w:id="32"/>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6" w:right="0"/>
              <w:jc w:val="left"/>
              <w:rPr>
                <w:rFonts w:ascii="Times New Roman" w:hAnsi="Times New Roman" w:cs="Times New Roman" w:eastAsia="Times New Roman" w:hint="default"/>
                <w:sz w:val="18"/>
                <w:szCs w:val="18"/>
              </w:rPr>
            </w:pPr>
            <w:r>
              <w:rPr>
                <w:rFonts w:ascii="Times New Roman"/>
                <w:sz w:val="18"/>
              </w:rPr>
              <w:t>112,860,000.00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122.38%</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196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天津市泰达工程设计有限公司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城市给水、排水、燃气、热力、电力、 道路、桥隧、环境工程、建筑、装饰工 程设计；土木工程建筑承包；技术咨询 服务；计算机软件开发；工程造价咨询 招投标代理、工程咨询。国家有专营、 专项规定的按专营专项规定办理。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1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42" w:lineRule="exact"/>
              <w:ind w:right="19"/>
              <w:jc w:val="right"/>
              <w:rPr>
                <w:rFonts w:ascii="Times New Roman" w:hAnsi="Times New Roman" w:cs="Times New Roman" w:eastAsia="Times New Roman" w:hint="default"/>
                <w:sz w:val="18"/>
                <w:szCs w:val="18"/>
              </w:rPr>
            </w:pPr>
            <w:r>
              <w:rPr>
                <w:rFonts w:ascii="Times New Roman"/>
                <w:sz w:val="18"/>
              </w:rPr>
              <w:t>65.74%</w:t>
            </w:r>
          </w:p>
          <w:p>
            <w:pPr>
              <w:pStyle w:val="TableParagraph"/>
              <w:spacing w:line="190"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190"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持有金融企业股权情况" w:id="33"/>
      <w:bookmarkEnd w:id="33"/>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76"/>
        <w:gridCol w:w="880"/>
        <w:gridCol w:w="870"/>
        <w:gridCol w:w="870"/>
        <w:gridCol w:w="870"/>
        <w:gridCol w:w="869"/>
        <w:gridCol w:w="869"/>
        <w:gridCol w:w="869"/>
        <w:gridCol w:w="869"/>
        <w:gridCol w:w="869"/>
        <w:gridCol w:w="856"/>
      </w:tblGrid>
      <w:tr>
        <w:trPr>
          <w:trHeight w:val="714"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 w:right="-34"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 w:right="67" w:firstLine="46"/>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7"/>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68"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7"/>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338"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both"/>
              <w:rPr>
                <w:rFonts w:ascii="宋体" w:hAnsi="宋体" w:cs="宋体" w:eastAsia="宋体" w:hint="default"/>
                <w:sz w:val="18"/>
                <w:szCs w:val="18"/>
              </w:rPr>
            </w:pPr>
            <w:r>
              <w:rPr>
                <w:rFonts w:ascii="宋体" w:hAnsi="宋体" w:cs="宋体" w:eastAsia="宋体" w:hint="default"/>
                <w:sz w:val="18"/>
                <w:szCs w:val="18"/>
              </w:rPr>
              <w:t>芜湖扬子 农村商业 银行股份 有限公司</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1,460,000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292,897,11</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4"/>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现金购买</w:t>
            </w:r>
          </w:p>
        </w:tc>
      </w:tr>
      <w:tr>
        <w:trPr>
          <w:trHeight w:val="715"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1,460,000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292,897,11</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8.17</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证券投资情况" w:id="34"/>
      <w:bookmarkEnd w:id="34"/>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4）持有其他上市公司股权情况的说明" w:id="35"/>
      <w:bookmarkEnd w:id="35"/>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bookmarkStart w:name="2、委托理财、衍生品投资和委托贷款情况" w:id="36"/>
      <w:bookmarkEnd w:id="36"/>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委托理财情况" w:id="37"/>
      <w:bookmarkEnd w:id="3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2）衍生品投资情况" w:id="38"/>
      <w:bookmarkEnd w:id="38"/>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委托贷款情况" w:id="39"/>
      <w:bookmarkEnd w:id="39"/>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募集资金使用情况" w:id="40"/>
      <w:bookmarkEnd w:id="40"/>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募集资金总体使用情况" w:id="41"/>
      <w:bookmarkEnd w:id="4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44"/>
        <w:ind w:left="0" w:right="1138"/>
        <w:jc w:val="right"/>
      </w:pPr>
      <w:r>
        <w:rPr/>
        <w:pict>
          <v:shape style="position:absolute;margin-left:56.459999pt;margin-top:-157.108307pt;width:479.2pt;height:239.3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51,551.06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4,320.42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13,521.55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29,984.56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29,984.56</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58.16%</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firstLine="180"/>
                          <w:jc w:val="left"/>
                          <w:rPr>
                            <w:rFonts w:ascii="宋体" w:hAnsi="宋体" w:cs="宋体" w:eastAsia="宋体" w:hint="default"/>
                            <w:sz w:val="18"/>
                            <w:szCs w:val="18"/>
                          </w:rPr>
                        </w:pPr>
                        <w:r>
                          <w:rPr>
                            <w:rFonts w:ascii="宋体" w:hAnsi="宋体" w:cs="宋体" w:eastAsia="宋体" w:hint="default"/>
                            <w:sz w:val="18"/>
                            <w:szCs w:val="18"/>
                          </w:rPr>
                          <w:t>非公开发行募集资金分别使用于</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万台</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VA-12 </w:t>
                        </w:r>
                        <w:r>
                          <w:rPr>
                            <w:rFonts w:ascii="宋体" w:hAnsi="宋体" w:cs="宋体" w:eastAsia="宋体" w:hint="default"/>
                            <w:sz w:val="18"/>
                            <w:szCs w:val="18"/>
                          </w:rPr>
                          <w:t>智能化固封极柱式高压真空断路器项目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万台智能型电力 </w:t>
                        </w:r>
                        <w:r>
                          <w:rPr>
                            <w:rFonts w:ascii="宋体" w:hAnsi="宋体" w:cs="宋体" w:eastAsia="宋体" w:hint="default"/>
                            <w:spacing w:val="-3"/>
                            <w:w w:val="100"/>
                            <w:sz w:val="18"/>
                            <w:szCs w:val="18"/>
                          </w:rPr>
                          <w:t>电器元件产品生产线项目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智能型高分断低压断路器生产线建设项目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高、低压开关柜及元件技术研究中心建设项目</w:t>
                        </w:r>
                        <w:r>
                          <w:rPr>
                            <w:rFonts w:ascii="Times New Roman" w:hAnsi="Times New Roman" w:cs="Times New Roman" w:eastAsia="Times New Roman" w:hint="default"/>
                            <w:spacing w:val="-3"/>
                            <w:w w:val="100"/>
                            <w:sz w:val="18"/>
                            <w:szCs w:val="18"/>
                          </w:rPr>
                          <w:t>”</w:t>
                        </w:r>
                        <w:r>
                          <w:rPr>
                            <w:rFonts w:ascii="Times New Roman" w:hAnsi="Times New Roman" w:cs="Times New Roman" w:eastAsia="Times New Roman" w:hint="default"/>
                            <w:spacing w:val="-38"/>
                            <w:w w:val="100"/>
                            <w:sz w:val="18"/>
                            <w:szCs w:val="18"/>
                          </w:rPr>
                          <w:t> </w:t>
                        </w:r>
                        <w:r>
                          <w:rPr>
                            <w:rFonts w:ascii="宋体" w:hAnsi="宋体" w:cs="宋体" w:eastAsia="宋体" w:hint="default"/>
                            <w:sz w:val="18"/>
                            <w:szCs w:val="18"/>
                          </w:rPr>
                          <w:t>报告期内，己终止实施</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万台</w:t>
                        </w:r>
                        <w:r>
                          <w:rPr>
                            <w:rFonts w:ascii="宋体" w:hAnsi="宋体" w:cs="宋体" w:eastAsia="宋体" w:hint="default"/>
                            <w:spacing w:val="-56"/>
                            <w:sz w:val="18"/>
                            <w:szCs w:val="18"/>
                          </w:rPr>
                          <w:t> </w:t>
                        </w:r>
                        <w:r>
                          <w:rPr>
                            <w:rFonts w:ascii="Times New Roman" w:hAnsi="Times New Roman" w:cs="Times New Roman" w:eastAsia="Times New Roman" w:hint="default"/>
                            <w:spacing w:val="-5"/>
                            <w:sz w:val="18"/>
                            <w:szCs w:val="18"/>
                          </w:rPr>
                          <w:t>VA-12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智能化固封极柱式高压真空断路器项目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并使用剩余募集资金（含利息）永久补</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万台智能型电力电器元件产品生产线项目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的部分募集资金变更为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收购天津市泰达工程设计有限公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  其它</w:t>
                        </w:r>
                        <w:r>
                          <w:rPr>
                            <w:rFonts w:ascii="Times New Roman" w:hAnsi="Times New Roman" w:cs="Times New Roman" w:eastAsia="Times New Roman" w:hint="default"/>
                            <w:sz w:val="18"/>
                            <w:szCs w:val="18"/>
                          </w:rPr>
                          <w:t>“</w:t>
                        </w:r>
                        <w:r>
                          <w:rPr>
                            <w:rFonts w:ascii="宋体" w:hAnsi="宋体" w:cs="宋体" w:eastAsia="宋体" w:hint="default"/>
                            <w:sz w:val="18"/>
                            <w:szCs w:val="18"/>
                          </w:rPr>
                          <w:t>智能型高分断低压断路器生产线建设项目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月份正式投入生产；</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术研究中心建设项目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月份正式投入使用。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5"/>
        <w:spacing w:line="240" w:lineRule="auto" w:before="35"/>
        <w:ind w:left="154" w:right="0"/>
        <w:jc w:val="left"/>
        <w:rPr>
          <w:b w:val="0"/>
          <w:bCs w:val="0"/>
        </w:rPr>
      </w:pPr>
      <w:bookmarkStart w:name="（2）募集资金承诺项目情况" w:id="42"/>
      <w:bookmarkEnd w:id="4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VA-12</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智能化固封极柱式高</w:t>
            </w:r>
            <w:r>
              <w:rPr>
                <w:rFonts w:ascii="宋体" w:hAnsi="宋体" w:cs="宋体" w:eastAsia="宋体" w:hint="default"/>
                <w:w w:val="99"/>
                <w:sz w:val="18"/>
                <w:szCs w:val="18"/>
              </w:rPr>
              <w:t> </w:t>
            </w:r>
            <w:r>
              <w:rPr>
                <w:rFonts w:ascii="宋体" w:hAnsi="宋体" w:cs="宋体" w:eastAsia="宋体" w:hint="default"/>
                <w:sz w:val="18"/>
                <w:szCs w:val="18"/>
              </w:rPr>
              <w:t>压真空断路器项目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万台智能 型电力电器元件产品 生产线项目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1,196.46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2,186.99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43.74%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、智能型高分断低压 断路器生产线建设项 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1,744.41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6,461.55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64.62%</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101.32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、高、低压开关柜及 元件技术研究中心建 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1,322.88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4,218.61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65.92%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64"/>
        <w:gridCol w:w="763"/>
        <w:gridCol w:w="788"/>
        <w:gridCol w:w="776"/>
        <w:gridCol w:w="781"/>
        <w:gridCol w:w="794"/>
        <w:gridCol w:w="770"/>
        <w:gridCol w:w="770"/>
        <w:gridCol w:w="805"/>
        <w:gridCol w:w="770"/>
        <w:gridCol w:w="787"/>
      </w:tblGrid>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22,054.41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4,320.42</w:t>
            </w:r>
          </w:p>
        </w:tc>
        <w:tc>
          <w:tcPr>
            <w:tcW w:w="7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13,521.56</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3" w:right="0"/>
              <w:jc w:val="left"/>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101.32</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51,400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22,054.41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4,320.42</w:t>
            </w:r>
          </w:p>
        </w:tc>
        <w:tc>
          <w:tcPr>
            <w:tcW w:w="7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z w:val="18"/>
              </w:rPr>
              <w:t>13,521.56</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13" w:right="0"/>
              <w:jc w:val="left"/>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101.32</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1"/>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2189"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07" w:lineRule="auto" w:before="51"/>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智能型电力电器元件产品生产线项目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延期的原因：</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月该项目的实施地 点发生变更，使得该项目基础建设的开工时间晚于预期；</w:t>
            </w:r>
            <w:r>
              <w:rPr>
                <w:rFonts w:ascii="Times New Roman" w:hAnsi="Times New Roman" w:cs="Times New Roman" w:eastAsia="Times New Roman" w:hint="default"/>
                <w:sz w:val="18"/>
                <w:szCs w:val="18"/>
              </w:rPr>
              <w:t>B</w:t>
            </w:r>
            <w:r>
              <w:rPr>
                <w:rFonts w:ascii="宋体" w:hAnsi="宋体" w:cs="宋体" w:eastAsia="宋体" w:hint="default"/>
                <w:sz w:val="18"/>
                <w:szCs w:val="18"/>
              </w:rPr>
              <w:t>、由于位置相邻，公司聘请同一家建筑 施工单位负责该项目和</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高、低压开关柜及元件技术研究中心建设项目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的基础建设。基于施工便利 等方面的考虑，该单位在施工顺序上优先建设</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高、低压开关柜及元件技术研究中心建设项目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，造 成该项目的建设进度较原计划有所延迟；</w:t>
            </w:r>
            <w:r>
              <w:rPr>
                <w:rFonts w:ascii="Times New Roman" w:hAnsi="Times New Roman" w:cs="Times New Roman" w:eastAsia="Times New Roman" w:hint="default"/>
                <w:sz w:val="18"/>
                <w:szCs w:val="18"/>
              </w:rPr>
              <w:t>C</w:t>
            </w:r>
            <w:r>
              <w:rPr>
                <w:rFonts w:ascii="宋体" w:hAnsi="宋体" w:cs="宋体" w:eastAsia="宋体" w:hint="default"/>
                <w:sz w:val="18"/>
                <w:szCs w:val="18"/>
              </w:rPr>
              <w:t>、受宏观经济形势的影响，工业客户的投资需求有所减 缓，使得公司电力自动化产品销售增速未达预期，现有产能短期内利用率水平不高。虽然公司管理 层判断随着电网智能化改革的持续推进，电力自动化市场存在较大的业务拓展空间，但是如果目前 加快投入资金迅速扩大生产规模，会造成该项目的前阶段产能过剩、资金浪费，且后续产生的折旧 </w:t>
            </w:r>
            <w:r>
              <w:rPr>
                <w:rFonts w:ascii="宋体" w:hAnsi="宋体" w:cs="宋体" w:eastAsia="宋体" w:hint="default"/>
                <w:spacing w:val="-3"/>
                <w:sz w:val="18"/>
                <w:szCs w:val="18"/>
              </w:rPr>
              <w:t>费用、管理费用等会对公司的经营产生较大的影响，故而公司对该项目的建设进度有所放缓。</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、募</w:t>
            </w:r>
            <w:r>
              <w:rPr>
                <w:rFonts w:ascii="宋体" w:hAnsi="宋体" w:cs="宋体" w:eastAsia="宋体" w:hint="default"/>
                <w:spacing w:val="-63"/>
                <w:sz w:val="18"/>
                <w:szCs w:val="18"/>
              </w:rPr>
              <w:t> </w:t>
            </w:r>
            <w:r>
              <w:rPr>
                <w:rFonts w:ascii="宋体" w:hAnsi="宋体" w:cs="宋体" w:eastAsia="宋体" w:hint="default"/>
                <w:sz w:val="18"/>
                <w:szCs w:val="18"/>
              </w:rPr>
              <w:t>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高、低压开关柜及元件技术研究中心建设项目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延期的原因：</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月该项目的实 施地点发生变更，使得项目基础建设的破土动工时间推迟；</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月公司获得</w:t>
            </w:r>
            <w:r>
              <w:rPr>
                <w:rFonts w:ascii="Times New Roman" w:hAnsi="Times New Roman" w:cs="Times New Roman" w:eastAsia="Times New Roman" w:hint="default"/>
                <w:sz w:val="18"/>
                <w:szCs w:val="18"/>
              </w:rPr>
              <w:t>“</w:t>
            </w:r>
            <w:r>
              <w:rPr>
                <w:rFonts w:ascii="宋体" w:hAnsi="宋体" w:cs="宋体" w:eastAsia="宋体" w:hint="default"/>
                <w:sz w:val="18"/>
                <w:szCs w:val="18"/>
              </w:rPr>
              <w:t>国家级</w:t>
            </w:r>
            <w:r>
              <w:rPr>
                <w:rFonts w:ascii="Times New Roman" w:hAnsi="Times New Roman" w:cs="Times New Roman" w:eastAsia="Times New Roman" w:hint="default"/>
                <w:sz w:val="18"/>
                <w:szCs w:val="18"/>
              </w:rPr>
              <w:t>”</w:t>
            </w:r>
            <w:r>
              <w:rPr>
                <w:rFonts w:ascii="宋体" w:hAnsi="宋体" w:cs="宋体" w:eastAsia="宋体" w:hint="default"/>
                <w:sz w:val="18"/>
                <w:szCs w:val="18"/>
              </w:rPr>
              <w:t>企 业技术中心的认定，管理层在原投资规划框架内对该项目建设提出了更细致的要求，包括选择玻璃 幕墙作为外墙材料，从而增加了基建工期；</w:t>
            </w:r>
            <w:r>
              <w:rPr>
                <w:rFonts w:ascii="Times New Roman" w:hAnsi="Times New Roman" w:cs="Times New Roman" w:eastAsia="Times New Roman" w:hint="default"/>
                <w:sz w:val="18"/>
                <w:szCs w:val="18"/>
              </w:rPr>
              <w:t>C</w:t>
            </w:r>
            <w:r>
              <w:rPr>
                <w:rFonts w:ascii="宋体" w:hAnsi="宋体" w:cs="宋体" w:eastAsia="宋体" w:hint="default"/>
                <w:sz w:val="18"/>
                <w:szCs w:val="18"/>
              </w:rPr>
              <w:t>、由于输配电及控制设备制造面临电网智能化革新， 技术升级较快，公司需要结合不断发展的行业技术环境考虑购置相关试验、检测设备，否则容易产 生设备淘汰率高，投资效益低下的情况，因此也会延长达到预定效果所需时间；</w:t>
            </w:r>
            <w:r>
              <w:rPr>
                <w:rFonts w:ascii="Times New Roman" w:hAnsi="Times New Roman" w:cs="Times New Roman" w:eastAsia="Times New Roman" w:hint="default"/>
                <w:sz w:val="18"/>
                <w:szCs w:val="18"/>
              </w:rPr>
              <w:t>D</w:t>
            </w:r>
            <w:r>
              <w:rPr>
                <w:rFonts w:ascii="宋体" w:hAnsi="宋体" w:cs="宋体" w:eastAsia="宋体" w:hint="default"/>
                <w:sz w:val="18"/>
                <w:szCs w:val="18"/>
              </w:rPr>
              <w:t>、公司多次对其 他公司的研发中心进行实地考察，如奇瑞研发中心等，取长补短，对外部装饰、内部结构装潢等进 行了多次评优、修改、调整，造成该项目的进度较原计划有所延迟。</w:t>
            </w:r>
          </w:p>
        </w:tc>
      </w:tr>
      <w:tr>
        <w:trPr>
          <w:trHeight w:val="1016"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vMerge/>
            <w:tcBorders>
              <w:left w:val="single" w:sz="9" w:space="0" w:color="D2D2D2"/>
              <w:right w:val="single" w:sz="4" w:space="0" w:color="000000"/>
            </w:tcBorders>
          </w:tcPr>
          <w:p>
            <w:pPr/>
          </w:p>
        </w:tc>
      </w:tr>
      <w:tr>
        <w:trPr>
          <w:trHeight w:val="2189"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161"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02"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经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日召开的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年第一次临时股东大会审议决定，终止实施募投项目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万台 </w:t>
            </w:r>
            <w:r>
              <w:rPr>
                <w:rFonts w:ascii="Times New Roman" w:hAnsi="Times New Roman" w:cs="Times New Roman" w:eastAsia="Times New Roman" w:hint="default"/>
                <w:spacing w:val="-5"/>
                <w:sz w:val="18"/>
                <w:szCs w:val="18"/>
              </w:rPr>
              <w:t>VA-12 </w:t>
            </w:r>
            <w:r>
              <w:rPr>
                <w:rFonts w:ascii="宋体" w:hAnsi="宋体" w:cs="宋体" w:eastAsia="宋体" w:hint="default"/>
                <w:sz w:val="18"/>
                <w:szCs w:val="18"/>
              </w:rPr>
              <w:t>智能化固封极柱式高压真空断路器项目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并使用剩余募集资金（含利息）永久补充流动 资金。</w:t>
            </w:r>
          </w:p>
        </w:tc>
      </w:tr>
      <w:tr>
        <w:trPr>
          <w:trHeight w:val="705"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vMerge/>
            <w:tcBorders>
              <w:left w:val="single" w:sz="9" w:space="0" w:color="D2D2D2"/>
              <w:right w:val="single" w:sz="4" w:space="0" w:color="000000"/>
            </w:tcBorders>
          </w:tcPr>
          <w:p>
            <w:pPr/>
          </w:p>
        </w:tc>
      </w:tr>
      <w:tr>
        <w:trPr>
          <w:trHeight w:val="16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27"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3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万台智能型电力电器元件产品生产线项目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的实施地点，原实施地点为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安徽省 芜湖市经济技术开发区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，变更后该项目的实施地点为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芜湖市鸠江经济开发区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 型高分断低压断路器生产线建设项目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的实施地点，原实施地点为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安徽省芜湖市经济技术开发区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 变更后该项目的实施地点为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芜湖市鸠江经济开发区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高、低压开关柜及元件技术研 </w:t>
            </w:r>
            <w:r>
              <w:rPr>
                <w:rFonts w:ascii="宋体" w:hAnsi="宋体" w:cs="宋体" w:eastAsia="宋体" w:hint="default"/>
                <w:spacing w:val="-2"/>
                <w:sz w:val="18"/>
                <w:szCs w:val="18"/>
              </w:rPr>
              <w:t>究中心建设项目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的实施地点，原实施地点为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安徽省芜湖市经济技术开发区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，变更后该项目的实施</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芜湖市鸠江经济开发区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04"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vMerge/>
            <w:tcBorders>
              <w:left w:val="single" w:sz="9" w:space="0" w:color="D2D2D2"/>
              <w:right w:val="single" w:sz="4" w:space="0" w:color="000000"/>
            </w:tcBorders>
          </w:tcPr>
          <w:p>
            <w:pPr/>
          </w:p>
        </w:tc>
      </w:tr>
      <w:tr>
        <w:trPr>
          <w:trHeight w:val="103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7"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40"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86"/>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04" w:lineRule="auto" w:before="16"/>
              <w:ind w:left="16" w:right="2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年第二次临时股东大会审议通过《关于部分变更募集资金投向</w:t>
            </w:r>
            <w:r>
              <w:rPr>
                <w:rFonts w:ascii="宋体" w:hAnsi="宋体" w:cs="宋体" w:eastAsia="宋体" w:hint="default"/>
                <w:sz w:val="18"/>
                <w:szCs w:val="18"/>
              </w:rPr>
              <w:t> </w:t>
            </w:r>
            <w:r>
              <w:rPr>
                <w:rFonts w:ascii="宋体" w:hAnsi="宋体" w:cs="宋体" w:eastAsia="宋体" w:hint="default"/>
                <w:spacing w:val="-11"/>
                <w:sz w:val="18"/>
                <w:szCs w:val="18"/>
              </w:rPr>
              <w:t>暨收购资产的议案》，公司将</w:t>
            </w:r>
            <w:r>
              <w:rPr>
                <w:rFonts w:ascii="宋体" w:hAnsi="宋体" w:cs="宋体" w:eastAsia="宋体" w:hint="default"/>
                <w:spacing w:val="25"/>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智能型电力电器元件产品生产线项目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的部分募集资金变更为</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收购天</w:t>
            </w:r>
            <w:r>
              <w:rPr>
                <w:rFonts w:ascii="宋体" w:hAnsi="宋体" w:cs="宋体" w:eastAsia="宋体" w:hint="default"/>
                <w:spacing w:val="-84"/>
                <w:w w:val="100"/>
                <w:sz w:val="18"/>
                <w:szCs w:val="18"/>
              </w:rPr>
              <w:t> </w:t>
            </w:r>
            <w:r>
              <w:rPr>
                <w:rFonts w:ascii="宋体" w:hAnsi="宋体" w:cs="宋体" w:eastAsia="宋体" w:hint="default"/>
                <w:sz w:val="18"/>
                <w:szCs w:val="18"/>
              </w:rPr>
              <w:t>津市泰达工程设计有限公司项目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，拟改变投向的募集资金总额为人民币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亿元，用于收购股权的价</w:t>
            </w:r>
            <w:r>
              <w:rPr>
                <w:rFonts w:ascii="宋体" w:hAnsi="宋体" w:cs="宋体" w:eastAsia="宋体" w:hint="default"/>
                <w:sz w:val="18"/>
                <w:szCs w:val="18"/>
              </w:rPr>
              <w:t> 款支付。本次变更后，剩余的募集资金将继续实施原有项目，需要额外资金时，公司将以自有资金 继续投入完成。</w:t>
            </w:r>
          </w:p>
        </w:tc>
      </w:tr>
      <w:tr>
        <w:trPr>
          <w:trHeight w:val="875"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日己将用于暂时补充流动资金的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万元闲置募集资金全部归还募集资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金专用账户。</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年第一次临时股东大会审议通过，同意公司使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用总额不超过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万元人民币的闲置募集资金暂时补充流动资金，使用期限不超过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公司股东大会批准之日起计算</w:t>
            </w:r>
            <w:r>
              <w:rPr>
                <w:rFonts w:ascii="宋体" w:hAnsi="宋体" w:cs="宋体" w:eastAsia="宋体" w:hint="default"/>
                <w:spacing w:val="-90"/>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己将暂借</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万台智能型电力电器元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件产品生产线项目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用于暂时补充流动资金的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万元闲置募集资金归还到募集资金专用账户。剩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余暂借</w:t>
            </w:r>
            <w:r>
              <w:rPr>
                <w:rFonts w:ascii="Times New Roman" w:hAnsi="Times New Roman" w:cs="Times New Roman" w:eastAsia="Times New Roman" w:hint="default"/>
                <w:sz w:val="18"/>
                <w:szCs w:val="18"/>
              </w:rPr>
              <w:t>“</w:t>
            </w:r>
            <w:r>
              <w:rPr>
                <w:rFonts w:ascii="宋体" w:hAnsi="宋体" w:cs="宋体" w:eastAsia="宋体" w:hint="default"/>
                <w:sz w:val="18"/>
                <w:szCs w:val="18"/>
              </w:rPr>
              <w:t>智能型高分断低压断路器生产线建设项目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万元，以及</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高、低压开关柜及元件技术</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研究中心建设项目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万元将继续暂时补充流动资金，并将于到期前按时归还到募集资金专用 账户。</w:t>
            </w: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22,832,831.22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元、募集资金定期存单余额为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38,666,838.62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3）募集资金变更项目情况" w:id="43"/>
      <w:bookmarkEnd w:id="4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62"/>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4"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22"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7"/>
              <w:jc w:val="both"/>
              <w:rPr>
                <w:rFonts w:ascii="宋体" w:hAnsi="宋体" w:cs="宋体" w:eastAsia="宋体" w:hint="default"/>
                <w:sz w:val="18"/>
                <w:szCs w:val="18"/>
              </w:rPr>
            </w:pPr>
            <w:r>
              <w:rPr>
                <w:rFonts w:ascii="宋体" w:hAnsi="宋体" w:cs="宋体" w:eastAsia="宋体" w:hint="default"/>
                <w:sz w:val="18"/>
                <w:szCs w:val="18"/>
              </w:rPr>
              <w:t>天津市泰达 工程设计有 限公司项目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台智能型电 力电器元件 产品生产线 项目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655.29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VA-12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w:t>
            </w:r>
          </w:p>
          <w:p>
            <w:pPr>
              <w:pStyle w:val="TableParagraph"/>
              <w:spacing w:line="31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化固封极柱 式高压真空 断路器项目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19,984.56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19,984.56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19,984.56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29,984.56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29,984.56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29,984.56</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655.29</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300" w:lineRule="auto" w:before="71"/>
              <w:ind w:left="1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年第二次临时股东大会审议通过《关于部分变 </w:t>
            </w:r>
            <w:r>
              <w:rPr>
                <w:rFonts w:ascii="宋体" w:hAnsi="宋体" w:cs="宋体" w:eastAsia="宋体" w:hint="default"/>
                <w:spacing w:val="-3"/>
                <w:sz w:val="18"/>
                <w:szCs w:val="18"/>
              </w:rPr>
              <w:t>更募集资金投向暨收购资产的议案》，根据公司发展战略及市场需求状况，公司经过</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44"/>
        <w:ind w:left="0" w:right="1150"/>
        <w:jc w:val="right"/>
      </w:pPr>
      <w:r>
        <w:rPr/>
        <w:pict>
          <v:shape style="position:absolute;margin-left:56.459999pt;margin-top:-30.008268pt;width:479.3pt;height:261.650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9"/>
                  </w:tblGrid>
                  <w:tr>
                    <w:trPr>
                      <w:trHeight w:val="3795"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审慎考虑，拟将 </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万台智能型电力电器元件产品生产线项目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的部分募集资金 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收购天津市泰达工程设计有限公司项目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，拟改变投向的募集资金总额为人民 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亿元，用于支付收购天津市泰达工程设计有限公司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65.7380%</w:t>
                        </w:r>
                        <w:r>
                          <w:rPr>
                            <w:rFonts w:ascii="宋体" w:hAnsi="宋体" w:cs="宋体" w:eastAsia="宋体" w:hint="default"/>
                            <w:sz w:val="18"/>
                            <w:szCs w:val="18"/>
                          </w:rPr>
                          <w:t>股权的交易对价款 变更后的</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万台智能型电力电器元件产品生产线项目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仍由公司继续负责实施</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剩余的募集资金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3,445.88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万元将继续实施原有项目，需要额外资金时，公司将以自有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资金继续投入完成。</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w:t>
                        </w:r>
                      </w:p>
                      <w:p>
                        <w:pPr>
                          <w:pStyle w:val="TableParagraph"/>
                          <w:spacing w:line="307"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议通过《关于终止实施</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万台</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VA-12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智能化固封极柱式高压真空断路器项目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 </w:t>
                        </w:r>
                        <w:r>
                          <w:rPr>
                            <w:rFonts w:ascii="宋体" w:hAnsi="宋体" w:cs="宋体" w:eastAsia="宋体" w:hint="default"/>
                            <w:spacing w:val="-3"/>
                            <w:sz w:val="18"/>
                            <w:szCs w:val="18"/>
                          </w:rPr>
                          <w:t>使用剩余募集资金（含利息）永久补充流动资金的议案》，鉴于国内经济宏观环境发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生变化，真空断路器市场发生结构性调整，公司认为：继续投资</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VA-12</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智能化固封极柱式高压真空断路器项目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已经很难取得预期的投资回报，存在一定的 </w:t>
                        </w:r>
                        <w:r>
                          <w:rPr>
                            <w:rFonts w:ascii="宋体" w:hAnsi="宋体" w:cs="宋体" w:eastAsia="宋体" w:hint="default"/>
                            <w:spacing w:val="-1"/>
                            <w:sz w:val="18"/>
                            <w:szCs w:val="18"/>
                          </w:rPr>
                          <w:t>风险。公司经过慎重考虑，拟终止该募集资金投资项目的后续实施，将项目剩余募集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资金（含利息）永久补充流动资金。</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pStyle w:val="BodyText"/>
        <w:spacing w:line="240" w:lineRule="auto" w:before="76"/>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5"/>
        <w:spacing w:line="240" w:lineRule="auto" w:before="35"/>
        <w:ind w:left="154" w:right="0"/>
        <w:jc w:val="left"/>
        <w:rPr>
          <w:b w:val="0"/>
          <w:bCs w:val="0"/>
        </w:rPr>
      </w:pPr>
      <w:bookmarkStart w:name="4、主要子公司、参股公司分析" w:id="44"/>
      <w:bookmarkEnd w:id="44"/>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13"/>
        <w:rPr>
          <w:rFonts w:ascii="宋体" w:hAnsi="宋体" w:cs="宋体" w:eastAsia="宋体" w:hint="default"/>
          <w:sz w:val="7"/>
          <w:szCs w:val="7"/>
        </w:rPr>
      </w:pPr>
      <w:r>
        <w:rPr/>
        <w:pict>
          <v:group style="position:absolute;margin-left:248.5pt;margin-top:591.820007pt;width:47.35pt;height:41pt;mso-position-horizontal-relative:page;mso-position-vertical-relative:page;z-index:-852856" coordorigin="4970,11836" coordsize="947,820">
            <v:group style="position:absolute;left:4970;top:12188;width:947;height:468" coordorigin="4970,12188" coordsize="947,468">
              <v:shape style="position:absolute;left:4970;top:12188;width:947;height:468" coordorigin="4970,12188" coordsize="947,468" path="m4970,12656l5917,12656,5917,12188,4970,12188,4970,12656xe" filled="true" fillcolor="#ffffff" stroked="false">
                <v:path arrowok="t"/>
                <v:fill type="solid"/>
              </v:shape>
            </v:group>
            <v:group style="position:absolute;left:4993;top:11836;width:902;height:352" coordorigin="4993,11836" coordsize="902,352">
              <v:shape style="position:absolute;left:4993;top:11836;width:902;height:352" coordorigin="4993,11836" coordsize="902,352" path="m4993,12188l5894,12188,5894,11836,4993,11836,4993,1218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安徽森源电 器有限公司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输配电及控 制设备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主营高、低 压电器元器 件，开关配 件设计、制 造、销售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275,600,000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429,993,492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334,833,754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85,674,729.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2,494,116.6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2,856,574.4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7"/>
              <w:jc w:val="both"/>
              <w:rPr>
                <w:rFonts w:ascii="宋体" w:hAnsi="宋体" w:cs="宋体" w:eastAsia="宋体" w:hint="default"/>
                <w:sz w:val="18"/>
                <w:szCs w:val="18"/>
              </w:rPr>
            </w:pPr>
            <w:r>
              <w:rPr>
                <w:rFonts w:ascii="宋体" w:hAnsi="宋体" w:cs="宋体" w:eastAsia="宋体" w:hint="default"/>
                <w:sz w:val="18"/>
                <w:szCs w:val="18"/>
              </w:rPr>
              <w:t>安徽鑫龙低 压电器有限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输配电及控 制设备</w:t>
            </w:r>
          </w:p>
        </w:tc>
        <w:tc>
          <w:tcPr>
            <w:tcW w:w="95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主营低压电 器设备，元 件及附件的 </w:t>
            </w:r>
            <w:r>
              <w:rPr>
                <w:rFonts w:ascii="宋体" w:hAnsi="宋体" w:cs="宋体" w:eastAsia="宋体" w:hint="default"/>
                <w:spacing w:val="-18"/>
                <w:sz w:val="18"/>
                <w:szCs w:val="18"/>
              </w:rPr>
              <w:t>设计、制造</w:t>
            </w:r>
            <w:r>
              <w:rPr>
                <w:rFonts w:ascii="宋体" w:hAnsi="宋体" w:cs="宋体" w:eastAsia="宋体" w:hint="default"/>
                <w:sz w:val="18"/>
                <w:szCs w:val="18"/>
              </w:rPr>
              <w:t> 销售</w:t>
            </w:r>
          </w:p>
        </w:tc>
        <w:tc>
          <w:tcPr>
            <w:tcW w:w="95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161" w:lineRule="exact" w:before="106"/>
              <w:ind w:left="11"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190"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124,616,051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116,607,228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38,332,231.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1,121,658.7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1,013,236.0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254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安徽鑫龙自 动化有限公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输配电及控 制设备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主营变电站 微机综合自 动化系统， 数控直流电 源柜及部 件，全数字 软启动器及 装置，智能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97,068,172.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67,253,944.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65,002,759.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1,795,477.9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1,977,905.0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06.302994pt;margin-top:500.73999pt;width:89.55pt;height:116pt;mso-position-horizontal-relative:page;mso-position-vertical-relative:page;z-index:-852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（含发电、</w:t>
                  </w:r>
                </w:p>
                <w:p>
                  <w:pPr>
                    <w:pStyle w:val="BodyText"/>
                    <w:spacing w:line="240" w:lineRule="auto" w:before="76"/>
                    <w:ind w:left="360" w:right="0"/>
                    <w:jc w:val="left"/>
                  </w:pPr>
                  <w:r>
                    <w:rPr/>
                    <w:t>配电、</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5043"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型全数字晶 闸调功器， 全数字交直 流供调速系 统及装置， 工业生产过 程自动化控 制系统， </w:t>
            </w:r>
            <w:r>
              <w:rPr>
                <w:rFonts w:ascii="Times New Roman" w:hAnsi="Times New Roman" w:cs="Times New Roman" w:eastAsia="Times New Roman" w:hint="default"/>
                <w:sz w:val="18"/>
                <w:szCs w:val="18"/>
              </w:rPr>
              <w:t>DCS</w:t>
            </w:r>
            <w:r>
              <w:rPr>
                <w:rFonts w:ascii="宋体" w:hAnsi="宋体" w:cs="宋体" w:eastAsia="宋体" w:hint="default"/>
                <w:sz w:val="18"/>
                <w:szCs w:val="18"/>
              </w:rPr>
              <w:t>、</w:t>
            </w:r>
            <w:r>
              <w:rPr>
                <w:rFonts w:ascii="Times New Roman" w:hAnsi="Times New Roman" w:cs="Times New Roman" w:eastAsia="Times New Roman" w:hint="default"/>
                <w:sz w:val="18"/>
                <w:szCs w:val="18"/>
              </w:rPr>
              <w:t>PLC</w:t>
            </w: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控，智能化 数字仪表设 计、生产， 安全防范技 术工程设 计、施工、 维修</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安徽鑫龙变 压器有限公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输配电及控 制设备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主营油浸式 变压器和干 式变压器生 产、销售和 维修（涉及 国家有关审 批项目，按 国家有关规 </w:t>
            </w:r>
            <w:r>
              <w:rPr>
                <w:rFonts w:ascii="宋体" w:hAnsi="宋体" w:cs="宋体" w:eastAsia="宋体" w:hint="default"/>
                <w:spacing w:val="-30"/>
                <w:sz w:val="18"/>
                <w:szCs w:val="18"/>
              </w:rPr>
              <w:t>定办理），预</w:t>
            </w:r>
            <w:r>
              <w:rPr>
                <w:rFonts w:ascii="宋体" w:hAnsi="宋体" w:cs="宋体" w:eastAsia="宋体" w:hint="default"/>
                <w:sz w:val="18"/>
                <w:szCs w:val="18"/>
              </w:rPr>
              <w:t> 装式变电站 的设计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8,109,543.3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6,789,424.2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2,888,150.5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-317,523.86</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-238,413.19</w:t>
            </w:r>
          </w:p>
        </w:tc>
      </w:tr>
      <w:tr>
        <w:trPr>
          <w:trHeight w:val="53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25"/>
              <w:jc w:val="both"/>
              <w:rPr>
                <w:rFonts w:ascii="宋体" w:hAnsi="宋体" w:cs="宋体" w:eastAsia="宋体" w:hint="default"/>
                <w:sz w:val="18"/>
                <w:szCs w:val="18"/>
              </w:rPr>
            </w:pPr>
            <w:r>
              <w:rPr>
                <w:rFonts w:ascii="宋体" w:hAnsi="宋体" w:cs="宋体" w:eastAsia="宋体" w:hint="default"/>
                <w:sz w:val="18"/>
                <w:szCs w:val="18"/>
              </w:rPr>
              <w:t>安徽鑫龙电 力工程安装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输配电及控 制设备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主营电气设 备</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输电、 电气传动、 自动化仪 表、通讯工 </w:t>
            </w:r>
            <w:r>
              <w:rPr>
                <w:rFonts w:ascii="宋体" w:hAnsi="宋体" w:cs="宋体" w:eastAsia="宋体" w:hint="default"/>
                <w:spacing w:val="-30"/>
                <w:sz w:val="18"/>
                <w:szCs w:val="18"/>
              </w:rPr>
              <w:t>业电视），工</w:t>
            </w:r>
            <w:r>
              <w:rPr>
                <w:rFonts w:ascii="宋体" w:hAnsi="宋体" w:cs="宋体" w:eastAsia="宋体" w:hint="default"/>
                <w:sz w:val="18"/>
                <w:szCs w:val="18"/>
              </w:rPr>
              <w:t> 业过程控制 及监控系 统，计算机 应用服务与 综合信息网 络工程，电 子声像工 程，职能化 系统和技术 防范工程安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1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47.35pt;height:116pt;mso-position-horizontal-relative:char;mso-position-vertical-relative:line" coordorigin="0,0" coordsize="947,2320">
                  <v:group style="position:absolute;left:0;top:0;width:947;height:2320" coordorigin="0,0" coordsize="947,2320">
                    <v:shape style="position:absolute;left:0;top:0;width:947;height:2320" coordorigin="0,0" coordsize="947,2320" path="m0,2320l947,2320,947,0,0,0,0,2320xe" filled="true" fillcolor="#ffffff" stroked="false">
                      <v:path arrowok="t"/>
                      <v:fill type="solid"/>
                    </v:shape>
                  </v:group>
                </v:group>
              </w:pict>
            </w:r>
            <w:r>
              <w:rPr>
                <w:rFonts w:ascii="Times New Roman" w:hAnsi="Times New Roman" w:cs="Times New Roman" w:eastAsia="Times New Roman" w:hint="default"/>
                <w:position w:val="-45"/>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pacing w:val="-1"/>
                <w:sz w:val="18"/>
              </w:rPr>
              <w:t>32,215,594.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30,365,263.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3,046,614.3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86,635.54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81" w:right="0"/>
              <w:jc w:val="center"/>
              <w:rPr>
                <w:rFonts w:ascii="Times New Roman" w:hAnsi="Times New Roman" w:cs="Times New Roman" w:eastAsia="Times New Roman" w:hint="default"/>
                <w:sz w:val="18"/>
                <w:szCs w:val="18"/>
              </w:rPr>
            </w:pPr>
            <w:r>
              <w:rPr>
                <w:rFonts w:ascii="Times New Roman"/>
                <w:sz w:val="18"/>
              </w:rPr>
              <w:t>37,724.50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4.302994pt;margin-top:525.339966pt;width:71.55pt;height:100.4pt;mso-position-horizontal-relative:page;mso-position-vertical-relative:page;z-index:-852736" type="#_x0000_t202" filled="false" stroked="false">
            <v:textbox inset="0,0,0,0">
              <w:txbxContent>
                <w:p>
                  <w:pPr>
                    <w:pStyle w:val="BodyText"/>
                    <w:spacing w:line="240" w:lineRule="auto" w:before="51"/>
                    <w:ind w:left="0" w:right="0"/>
                    <w:jc w:val="left"/>
                  </w:pPr>
                  <w:r>
                    <w:rPr/>
                    <w:t>制造、</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1611"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装、调试、 维护（凡涉 及专项审批 的凭许可证 经营）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安徽鑫龙电 器元件销售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输配电及控 制设备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主营高低压 元器元件、 工控元器 件、智能化 仪器仪表、 变压器、电 线电缆销售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10,505,896.</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7,057,932.1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-2,733.75</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-2,733.75</w:t>
            </w:r>
            <w:r>
              <w:rPr>
                <w:rFonts w:ascii="Times New Roman"/>
                <w:sz w:val="18"/>
              </w:rPr>
            </w:r>
          </w:p>
        </w:tc>
      </w:tr>
      <w:tr>
        <w:trPr>
          <w:trHeight w:val="414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7"/>
              <w:jc w:val="left"/>
              <w:rPr>
                <w:rFonts w:ascii="宋体" w:hAnsi="宋体" w:cs="宋体" w:eastAsia="宋体" w:hint="default"/>
                <w:sz w:val="18"/>
                <w:szCs w:val="18"/>
              </w:rPr>
            </w:pPr>
            <w:r>
              <w:rPr>
                <w:rFonts w:ascii="宋体" w:hAnsi="宋体" w:cs="宋体" w:eastAsia="宋体" w:hint="default"/>
                <w:sz w:val="18"/>
                <w:szCs w:val="18"/>
              </w:rPr>
              <w:t>安徽佑赛科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0"/>
              <w:jc w:val="left"/>
              <w:rPr>
                <w:rFonts w:ascii="宋体" w:hAnsi="宋体" w:cs="宋体" w:eastAsia="宋体" w:hint="default"/>
                <w:sz w:val="18"/>
                <w:szCs w:val="18"/>
              </w:rPr>
            </w:pPr>
            <w:r>
              <w:rPr>
                <w:rFonts w:ascii="宋体" w:hAnsi="宋体" w:cs="宋体" w:eastAsia="宋体" w:hint="default"/>
                <w:sz w:val="18"/>
                <w:szCs w:val="18"/>
              </w:rPr>
              <w:t>输配电及控 制设备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电能质量治 理设备、电 力节能设 备、电网监 测系统、新 能源系统和 装置的研 发、制造和 销售（上述 经营范围涉 及许可资质 的，凭许可 资质经营）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41,841,520.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32,149,414.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36,500,317.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47,524.92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216,849.78</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安徽鑫东投 资管理有限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科技项目投 资及实业投 资、管理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26,534,905.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26,534,780.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-6,844,294.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-6,854,735.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473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安徽美能储 能系统有限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储能和电源 控制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设计、 销售先进的 储能和电源 控制技术系 列产品；将 先进的储能 和电源控制 技术系列产 品与其他技 术整合；产 品的开发、 维修与服务</w:t>
            </w:r>
          </w:p>
          <w:p>
            <w:pPr>
              <w:pStyle w:val="TableParagraph"/>
              <w:spacing w:line="316"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（上述经营 范围涉及国 家限制、禁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0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pict>
                <v:group style="width:47.35pt;height:100.4pt;mso-position-horizontal-relative:char;mso-position-vertical-relative:line" coordorigin="0,0" coordsize="947,2008">
                  <v:group style="position:absolute;left:0;top:0;width:947;height:2008" coordorigin="0,0" coordsize="947,2008">
                    <v:shape style="position:absolute;left:0;top:0;width:947;height:2008" coordorigin="0,0" coordsize="947,2008" path="m0,2008l947,2008,947,0,0,0,0,2008xe" filled="true" fillcolor="#ffffff" stroked="false">
                      <v:path arrowok="t"/>
                      <v:fill type="solid"/>
                    </v:shape>
                  </v:group>
                </v:group>
              </w:pict>
            </w:r>
            <w:r>
              <w:rPr>
                <w:rFonts w:ascii="Times New Roman" w:hAnsi="Times New Roman" w:cs="Times New Roman" w:eastAsia="Times New Roman" w:hint="default"/>
                <w:position w:val="-39"/>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1362.58520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64,554,801.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62,035,205.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3,304,825.7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-16,816,387</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-15,789,458</w:t>
            </w:r>
            <w:r>
              <w:rPr>
                <w:rFonts w:ascii="Times New Roman"/>
                <w:sz w:val="18"/>
              </w:rPr>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302994pt;margin-top:324.619995pt;width:80.55pt;height:201.8pt;mso-position-horizontal-relative:page;mso-position-vertical-relative:page;z-index:-852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pStyle w:val="BodyText"/>
                    <w:spacing w:line="240" w:lineRule="auto"/>
                    <w:ind w:left="0" w:right="0"/>
                    <w:jc w:val="left"/>
                  </w:pPr>
                  <w:r>
                    <w:rPr/>
                    <w:t>新能源、</w:t>
                  </w:r>
                </w:p>
              </w:txbxContent>
            </v:textbox>
            <w10:wrap type="none"/>
          </v:shape>
        </w:pict>
      </w:r>
      <w:r>
        <w:rPr/>
        <w:pict>
          <v:shape style="position:absolute;margin-left:224.302994pt;margin-top:561.639954pt;width:71.55pt;height:201.8pt;mso-position-horizontal-relative:page;mso-position-vertical-relative:page;z-index:-852640" type="#_x0000_t202" filled="false" stroked="false">
            <v:textbox inset="0,0,0,0">
              <w:txbxContent>
                <w:p>
                  <w:pPr>
                    <w:pStyle w:val="BodyText"/>
                    <w:spacing w:line="316" w:lineRule="auto"/>
                    <w:ind w:left="0" w:right="888"/>
                    <w:jc w:val="left"/>
                  </w:pPr>
                  <w:r>
                    <w:rPr/>
                    <w:t>安装、 调试、</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5043"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止类项目除 外，涉及生 物能源中生 物燃料等须 经安全生产 监督管理部 门审批后开 展经营，涉 及供电经营 的须经电力 管理部门审 批后开展经 营，涉及专 项许可的凭 许可证经 </w:t>
            </w:r>
            <w:r>
              <w:rPr>
                <w:rFonts w:ascii="宋体" w:hAnsi="宋体" w:cs="宋体" w:eastAsia="宋体" w:hint="default"/>
                <w:spacing w:val="-30"/>
                <w:sz w:val="18"/>
                <w:szCs w:val="18"/>
              </w:rPr>
              <w:t>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25"/>
              <w:jc w:val="left"/>
              <w:rPr>
                <w:rFonts w:ascii="宋体" w:hAnsi="宋体" w:cs="宋体" w:eastAsia="宋体" w:hint="default"/>
                <w:sz w:val="18"/>
                <w:szCs w:val="18"/>
              </w:rPr>
            </w:pPr>
            <w:r>
              <w:rPr>
                <w:rFonts w:ascii="宋体" w:hAnsi="宋体" w:cs="宋体" w:eastAsia="宋体" w:hint="default"/>
                <w:sz w:val="18"/>
                <w:szCs w:val="18"/>
              </w:rPr>
              <w:t>亳州鑫龙电 气有限公司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20"/>
              <w:jc w:val="left"/>
              <w:rPr>
                <w:rFonts w:ascii="宋体" w:hAnsi="宋体" w:cs="宋体" w:eastAsia="宋体" w:hint="default"/>
                <w:sz w:val="18"/>
                <w:szCs w:val="18"/>
              </w:rPr>
            </w:pPr>
            <w:r>
              <w:rPr>
                <w:rFonts w:ascii="宋体" w:hAnsi="宋体" w:cs="宋体" w:eastAsia="宋体" w:hint="default"/>
                <w:sz w:val="18"/>
                <w:szCs w:val="18"/>
              </w:rPr>
              <w:t>输配电及控 制设备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电气机械及 器材制造、 工业过程控 制及监控系 统、计算机 应用服务与 综合信息网 络工程、电 子声像工 程、电力电 子、 各种智能化 系统和技术 防范工程设 计、制造、 施工、 维修、 销售及技术 服务；经营 本企业自产 产品及相关 技术的出口 和科研所需 的原辅材 料、仪器仪 表、机械设 备、零配件 及相关技术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40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pict>
                <v:group style="width:47.35pt;height:201.8pt;mso-position-horizontal-relative:char;mso-position-vertical-relative:line" coordorigin="0,0" coordsize="947,4036">
                  <v:group style="position:absolute;left:0;top:0;width:947;height:4036" coordorigin="0,0" coordsize="947,4036">
                    <v:shape style="position:absolute;left:0;top:0;width:947;height:4036" coordorigin="0,0" coordsize="947,4036" path="m0,4036l947,4036,947,0,0,0,0,4036xe" filled="true" fillcolor="#ffffff" stroked="false">
                      <v:path arrowok="t"/>
                      <v:fill type="solid"/>
                    </v:shape>
                  </v:group>
                </v:group>
              </w:pict>
            </w:r>
            <w:r>
              <w:rPr>
                <w:rFonts w:ascii="Times New Roman" w:hAnsi="Times New Roman" w:cs="Times New Roman" w:eastAsia="Times New Roman" w:hint="default"/>
                <w:position w:val="-80"/>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40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pict>
                <v:group style="width:47.35pt;height:201.8pt;mso-position-horizontal-relative:char;mso-position-vertical-relative:line" coordorigin="0,0" coordsize="947,4036">
                  <v:group style="position:absolute;left:0;top:0;width:947;height:4036" coordorigin="0,0" coordsize="947,4036">
                    <v:shape style="position:absolute;left:0;top:0;width:947;height:4036" coordorigin="0,0" coordsize="947,4036" path="m0,4036l947,4036,947,0,0,0,0,4036xe" filled="true" fillcolor="#ffffff" stroked="false">
                      <v:path arrowok="t"/>
                      <v:fill type="solid"/>
                    </v:shape>
                  </v:group>
                </v:group>
              </w:pict>
            </w:r>
            <w:r>
              <w:rPr>
                <w:rFonts w:ascii="Times New Roman" w:hAnsi="Times New Roman" w:cs="Times New Roman" w:eastAsia="Times New Roman" w:hint="default"/>
                <w:position w:val="-80"/>
                <w:sz w:val="20"/>
                <w:szCs w:val="20"/>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49,941,907.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49,939,419.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143" w:right="0"/>
              <w:jc w:val="left"/>
              <w:rPr>
                <w:rFonts w:ascii="Times New Roman" w:hAnsi="Times New Roman" w:cs="Times New Roman" w:eastAsia="Times New Roman" w:hint="default"/>
                <w:sz w:val="18"/>
                <w:szCs w:val="18"/>
              </w:rPr>
            </w:pPr>
            <w:r>
              <w:rPr>
                <w:rFonts w:ascii="Times New Roman"/>
                <w:sz w:val="18"/>
              </w:rPr>
              <w:t>-35,580.78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143" w:right="0"/>
              <w:jc w:val="left"/>
              <w:rPr>
                <w:rFonts w:ascii="Times New Roman" w:hAnsi="Times New Roman" w:cs="Times New Roman" w:eastAsia="Times New Roman" w:hint="default"/>
                <w:sz w:val="18"/>
                <w:szCs w:val="18"/>
              </w:rPr>
            </w:pPr>
            <w:r>
              <w:rPr>
                <w:rFonts w:ascii="Times New Roman"/>
                <w:sz w:val="18"/>
              </w:rPr>
              <w:t>-35,580.78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4.302994pt;margin-top:184.219986pt;width:71.55pt;height:148.2pt;mso-position-horizontal-relative:page;mso-position-vertical-relative:page;z-index:-85261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316" w:lineRule="auto" w:before="126"/>
                    <w:ind w:left="0" w:right="888"/>
                    <w:jc w:val="both"/>
                  </w:pPr>
                  <w:r>
                    <w:rPr/>
                    <w:t>燃气、 电力、 桥隧、</w:t>
                  </w:r>
                </w:p>
              </w:txbxContent>
            </v:textbox>
            <w10:wrap type="none"/>
          </v:shape>
        </w:pict>
      </w:r>
      <w:r>
        <w:rPr/>
        <w:pict>
          <v:group style="position:absolute;margin-left:248.5pt;margin-top:72.47998pt;width:47.35pt;height:259.95pt;mso-position-horizontal-relative:page;mso-position-vertical-relative:page;z-index:-852592" coordorigin="4970,1450" coordsize="947,5199">
            <v:group style="position:absolute;left:4970;top:1450;width:947;height:2226" coordorigin="4970,1450" coordsize="947,2226">
              <v:shape style="position:absolute;left:4970;top:1450;width:947;height:2226" coordorigin="4970,1450" coordsize="947,2226" path="m4970,3675l5917,3675,5917,1450,4970,1450,4970,3675xe" filled="true" fillcolor="#ffffff" stroked="false">
                <v:path arrowok="t"/>
                <v:fill type="solid"/>
              </v:shape>
            </v:group>
            <v:group style="position:absolute;left:4970;top:3684;width:947;height:2964" coordorigin="4970,3684" coordsize="947,2964">
              <v:shape style="position:absolute;left:4970;top:3684;width:947;height:2964" coordorigin="4970,3684" coordsize="947,2964" path="m4970,6648l5917,6648,5917,3684,4970,3684,4970,664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2235"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的进出口</w:t>
            </w:r>
          </w:p>
          <w:p>
            <w:pPr>
              <w:pStyle w:val="TableParagraph"/>
              <w:spacing w:line="314" w:lineRule="auto" w:before="76"/>
              <w:ind w:left="22" w:right="-48"/>
              <w:jc w:val="left"/>
              <w:rPr>
                <w:rFonts w:ascii="宋体" w:hAnsi="宋体" w:cs="宋体" w:eastAsia="宋体" w:hint="default"/>
                <w:sz w:val="18"/>
                <w:szCs w:val="18"/>
              </w:rPr>
            </w:pPr>
            <w:r>
              <w:rPr>
                <w:rFonts w:ascii="宋体" w:hAnsi="宋体" w:cs="宋体" w:eastAsia="宋体" w:hint="default"/>
                <w:sz w:val="18"/>
                <w:szCs w:val="18"/>
              </w:rPr>
              <w:t>（国家限定 经营或禁止 进出口的商 </w:t>
            </w:r>
            <w:r>
              <w:rPr>
                <w:rFonts w:ascii="宋体" w:hAnsi="宋体" w:cs="宋体" w:eastAsia="宋体" w:hint="default"/>
                <w:spacing w:val="-30"/>
                <w:sz w:val="18"/>
                <w:szCs w:val="18"/>
              </w:rPr>
              <w:t>品除外），进</w:t>
            </w:r>
            <w:r>
              <w:rPr>
                <w:rFonts w:ascii="宋体" w:hAnsi="宋体" w:cs="宋体" w:eastAsia="宋体" w:hint="default"/>
                <w:sz w:val="18"/>
                <w:szCs w:val="18"/>
              </w:rPr>
              <w:t> 料加工和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三来一补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天津市泰达 工程设计有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设计服务、 工程咨询等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城市给水、 排水、 热力、 道路、 环境工程、 建筑、装饰 工程设计； 土木工程建 筑承包；技 术咨询、服 务；计算机 软件开发； 工程造价咨 询、招投标 代理、工程 咨询。国家 有专营、专 项规定的按 专营专项规 定办理。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sz w:val="18"/>
              </w:rPr>
              <w:t>6,000,000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83,312,271.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68,537,259.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40,187,265.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8,771,114.8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6,552,882.2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54" w:right="8052"/>
        <w:jc w:val="left"/>
      </w:pPr>
      <w:r>
        <w:rPr/>
        <w:t>主要子公司、参股公司情况说明 报告期内取得和处置子公司的情况</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33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97"/>
              <w:jc w:val="left"/>
              <w:rPr>
                <w:rFonts w:ascii="宋体" w:hAnsi="宋体" w:cs="宋体" w:eastAsia="宋体" w:hint="default"/>
                <w:sz w:val="18"/>
                <w:szCs w:val="18"/>
              </w:rPr>
            </w:pPr>
            <w:r>
              <w:rPr>
                <w:rFonts w:ascii="宋体" w:hAnsi="宋体" w:cs="宋体" w:eastAsia="宋体" w:hint="default"/>
                <w:sz w:val="18"/>
                <w:szCs w:val="18"/>
              </w:rPr>
              <w:t>天津市泰达工程设计有限公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拓宽公司产业链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变更部分募集资金项目投向 </w:t>
            </w:r>
            <w:r>
              <w:rPr>
                <w:rFonts w:ascii="宋体" w:hAnsi="宋体" w:cs="宋体" w:eastAsia="宋体" w:hint="default"/>
                <w:spacing w:val="-6"/>
                <w:sz w:val="18"/>
                <w:szCs w:val="18"/>
              </w:rPr>
              <w:t>暨收购资产，以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11,286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万元收 购天津市泰达工程设计有限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65.7380%</w:t>
            </w:r>
            <w:r>
              <w:rPr>
                <w:rFonts w:ascii="宋体" w:hAnsi="宋体" w:cs="宋体" w:eastAsia="宋体" w:hint="default"/>
                <w:sz w:val="18"/>
                <w:szCs w:val="18"/>
              </w:rPr>
              <w:t>的股权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公司将形成提供以设计、输配 电设备制造、元器件、安装等 电力服务一揽子解决方案的 服务商</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非募集资金投资的重大项目情况" w:id="45"/>
      <w:bookmarkEnd w:id="45"/>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七、公司控制的特殊目的主体情况" w:id="46"/>
      <w:bookmarkEnd w:id="46"/>
      <w:r>
        <w:rPr>
          <w:b w:val="0"/>
          <w:bCs w:val="0"/>
        </w:rPr>
      </w:r>
      <w:r>
        <w:rPr/>
        <w:t>七、公司控制的特殊目的主体情况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八、公司未来发展的展望" w:id="47"/>
      <w:bookmarkEnd w:id="47"/>
      <w:r>
        <w:rPr>
          <w:b w:val="0"/>
          <w:bCs w:val="0"/>
        </w:rPr>
      </w:r>
      <w:r>
        <w:rPr/>
        <w:t>八、公司未来发展的展望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573"/>
        <w:jc w:val="left"/>
      </w:pPr>
      <w:r>
        <w:rPr/>
        <w:t>（一）公司行业面临的竞争格局 面对国际环境影响、投资放缓、</w:t>
      </w:r>
      <w:r>
        <w:rPr>
          <w:rFonts w:ascii="Times New Roman" w:hAnsi="Times New Roman" w:cs="Times New Roman" w:eastAsia="Times New Roman" w:hint="default"/>
        </w:rPr>
        <w:t>GDP</w:t>
      </w:r>
      <w:r>
        <w:rPr/>
        <w:t>增长下调、市场需求下降等因素，使得市场竞争激烈，将面对更多的挑战。</w:t>
      </w:r>
    </w:p>
    <w:p>
      <w:pPr>
        <w:pStyle w:val="BodyText"/>
        <w:spacing w:line="316" w:lineRule="auto"/>
        <w:ind w:left="371" w:right="0" w:firstLine="142"/>
        <w:jc w:val="left"/>
      </w:pPr>
      <w:r>
        <w:rPr/>
        <w:t>（二）公司发展及规划 在国民经济发展中，输配电及控制设备作为电力工业发展的重要性不言而喻。公司通过调整总体发展思路，努力把握市</w:t>
      </w:r>
    </w:p>
    <w:p>
      <w:pPr>
        <w:pStyle w:val="BodyText"/>
        <w:spacing w:line="316" w:lineRule="auto" w:before="19"/>
        <w:ind w:right="1130"/>
        <w:jc w:val="both"/>
      </w:pPr>
      <w:r>
        <w:rPr>
          <w:spacing w:val="-2"/>
        </w:rPr>
        <w:t>场，以科技创新为基础，调整产品结构，适应市场需求，深挖企业内部潜能和市场潜力，并优化公司的产业链，实现以高低</w:t>
      </w:r>
      <w:r>
        <w:rPr>
          <w:spacing w:val="-68"/>
        </w:rPr>
        <w:t> </w:t>
      </w:r>
      <w:r>
        <w:rPr>
          <w:spacing w:val="-68"/>
        </w:rPr>
      </w:r>
      <w:r>
        <w:rPr>
          <w:spacing w:val="-2"/>
        </w:rPr>
        <w:t>压成套电气为平台，以高、低压元器件、自动化元器件、电力电子和电力设计为核心，以新能源和电力安装为两翼，形成以</w:t>
      </w:r>
      <w:r>
        <w:rPr>
          <w:spacing w:val="-67"/>
        </w:rPr>
        <w:t> </w:t>
      </w:r>
      <w:r>
        <w:rPr>
          <w:spacing w:val="-67"/>
        </w:rPr>
      </w:r>
      <w:r>
        <w:rPr>
          <w:spacing w:val="-2"/>
        </w:rPr>
        <w:t>提供设计、输配电设备制造、元器件、安装等电力服务一揽子解决方案的服务商，努力改善公司经营，为公司未来发展奠定</w:t>
      </w:r>
      <w:r>
        <w:rPr>
          <w:spacing w:val="-66"/>
        </w:rPr>
        <w:t> </w:t>
      </w:r>
      <w:r>
        <w:rPr>
          <w:spacing w:val="-66"/>
        </w:rPr>
      </w:r>
      <w:r>
        <w:rPr/>
        <w:t>良好的基础。</w:t>
      </w:r>
    </w:p>
    <w:p>
      <w:pPr>
        <w:pStyle w:val="BodyText"/>
        <w:spacing w:line="240" w:lineRule="auto" w:before="19"/>
        <w:ind w:left="513" w:right="0"/>
        <w:jc w:val="left"/>
      </w:pPr>
      <w:r>
        <w:rPr/>
        <w:t>（三）</w:t>
      </w:r>
      <w:r>
        <w:rPr>
          <w:rFonts w:ascii="Times New Roman" w:hAnsi="Times New Roman" w:cs="Times New Roman" w:eastAsia="Times New Roman" w:hint="default"/>
        </w:rPr>
        <w:t>2015</w:t>
      </w:r>
      <w:r>
        <w:rPr/>
        <w:t>年公司经营计划</w:t>
      </w:r>
    </w:p>
    <w:p>
      <w:pPr>
        <w:pStyle w:val="BodyText"/>
        <w:spacing w:line="300" w:lineRule="auto" w:before="63"/>
        <w:ind w:right="1132" w:firstLine="360"/>
        <w:jc w:val="both"/>
      </w:pPr>
      <w:r>
        <w:rPr>
          <w:rFonts w:ascii="Times New Roman" w:hAnsi="Times New Roman" w:cs="Times New Roman" w:eastAsia="Times New Roman" w:hint="default"/>
          <w:spacing w:val="-2"/>
        </w:rPr>
        <w:t>2015</w:t>
      </w:r>
      <w:r>
        <w:rPr>
          <w:spacing w:val="-2"/>
        </w:rPr>
        <w:t>年，公司将围绕电力行业的改革和发展的机遇，充分借助公司的品牌和资本效应，通过内涵式增长与外延式扩张相</w:t>
      </w:r>
      <w:r>
        <w:rPr/>
        <w:t> 结合的发展，实现生产和经营规模的迅速扩大，成为国内一流的电力设备制造商。</w:t>
      </w:r>
    </w:p>
    <w:p>
      <w:pPr>
        <w:pStyle w:val="BodyText"/>
        <w:spacing w:line="314" w:lineRule="auto" w:before="31"/>
        <w:ind w:left="154" w:right="0" w:firstLine="360"/>
        <w:jc w:val="left"/>
      </w:pPr>
      <w:r>
        <w:rPr>
          <w:rFonts w:ascii="Times New Roman" w:hAnsi="Times New Roman" w:cs="Times New Roman" w:eastAsia="Times New Roman" w:hint="default"/>
        </w:rPr>
        <w:t>1</w:t>
      </w:r>
      <w:r>
        <w:rPr/>
        <w:t>、继续加大研发投入，提升公司研发创新水平。公司将继续以技术持续创新为基础，以技术适宜应用为重点，优化研 </w:t>
      </w:r>
      <w:r>
        <w:rPr>
          <w:spacing w:val="-2"/>
        </w:rPr>
        <w:t>发资源配置，进一步实行资源管理制与项目管理制相结合的管理模式，加快各种研发项目的推进速度；完善研发人员的考核</w:t>
      </w:r>
      <w:r>
        <w:rPr>
          <w:spacing w:val="-65"/>
        </w:rPr>
        <w:t> </w:t>
      </w:r>
      <w:r>
        <w:rPr>
          <w:spacing w:val="-65"/>
        </w:rPr>
      </w:r>
      <w:r>
        <w:rPr>
          <w:spacing w:val="-2"/>
        </w:rPr>
        <w:t>机制，调整研发团队的梯队结构，激发研发人员的创新活力；进一步提升新产品的质量，提高开发产品的一次成功率，通过</w:t>
      </w:r>
      <w:r>
        <w:rPr>
          <w:spacing w:val="-66"/>
        </w:rPr>
        <w:t> </w:t>
      </w:r>
      <w:r>
        <w:rPr>
          <w:spacing w:val="-66"/>
        </w:rPr>
      </w:r>
      <w:r>
        <w:rPr>
          <w:spacing w:val="-4"/>
        </w:rPr>
        <w:t>研发和设计的深化实现现有产品的升级换代，加强可靠性和降低成本工作，建立梯次化的产品体系，形成差异化的竞争优势，</w:t>
      </w:r>
      <w:r>
        <w:rPr>
          <w:spacing w:val="-44"/>
        </w:rPr>
        <w:t> </w:t>
      </w:r>
      <w:r>
        <w:rPr>
          <w:spacing w:val="-44"/>
        </w:rPr>
      </w:r>
      <w:r>
        <w:rPr/>
        <w:t>为发展其他延伸产品打下坚实的基础。</w:t>
      </w:r>
    </w:p>
    <w:p>
      <w:pPr>
        <w:pStyle w:val="BodyText"/>
        <w:spacing w:line="309" w:lineRule="auto" w:before="21"/>
        <w:ind w:left="154" w:right="1131" w:firstLine="360"/>
        <w:jc w:val="both"/>
      </w:pPr>
      <w:r>
        <w:rPr>
          <w:rFonts w:ascii="Times New Roman" w:hAnsi="Times New Roman" w:cs="Times New Roman" w:eastAsia="Times New Roman" w:hint="default"/>
        </w:rPr>
        <w:t>2</w:t>
      </w:r>
      <w:r>
        <w:rPr/>
        <w:t>、加强内控建设管理，公司继续完善治理结构和内控管理体系，提高公司规范运作水平，加强生产经营、财务、人力 </w:t>
      </w:r>
      <w:r>
        <w:rPr>
          <w:spacing w:val="-2"/>
        </w:rPr>
        <w:t>资源等多方面有效的监督管理，提高企业综合管理水平，控制企业决策风险，提升企业运作效率和管理水平，实现可持续的</w:t>
      </w:r>
      <w:r>
        <w:rPr>
          <w:spacing w:val="-66"/>
        </w:rPr>
        <w:t> </w:t>
      </w:r>
      <w:r>
        <w:rPr>
          <w:spacing w:val="-66"/>
        </w:rPr>
      </w:r>
      <w:r>
        <w:rPr/>
        <w:t>全体股东利益最大化。</w:t>
      </w:r>
    </w:p>
    <w:p>
      <w:pPr>
        <w:pStyle w:val="BodyText"/>
        <w:spacing w:line="240" w:lineRule="auto" w:before="24"/>
        <w:ind w:left="514" w:right="0"/>
        <w:jc w:val="left"/>
      </w:pPr>
      <w:r>
        <w:rPr>
          <w:rFonts w:ascii="Times New Roman" w:hAnsi="Times New Roman" w:cs="Times New Roman" w:eastAsia="Times New Roman" w:hint="default"/>
        </w:rPr>
        <w:t>3</w:t>
      </w:r>
      <w:r>
        <w:rPr/>
        <w:t>、切实加强募集资金项目管理。公司将积极推动募投项目的进展，加强募集资金项目的管理工作。</w:t>
      </w:r>
    </w:p>
    <w:p>
      <w:pPr>
        <w:pStyle w:val="BodyText"/>
        <w:spacing w:line="309" w:lineRule="auto" w:before="63"/>
        <w:ind w:left="154" w:right="1133" w:firstLine="360"/>
        <w:jc w:val="both"/>
      </w:pPr>
      <w:r>
        <w:rPr>
          <w:rFonts w:ascii="Times New Roman" w:hAnsi="Times New Roman" w:cs="Times New Roman" w:eastAsia="Times New Roman" w:hint="default"/>
        </w:rPr>
        <w:t>4</w:t>
      </w:r>
      <w:r>
        <w:rPr/>
        <w:t>、加强对各全资、控股等子公司的管理。由于受宏观经济的影响，行业整体竞争激烈。公司为发适应市场，对部分子 </w:t>
      </w:r>
      <w:r>
        <w:rPr>
          <w:spacing w:val="-2"/>
        </w:rPr>
        <w:t>公司的产能扩充将有所减缓，对见效缓慢的公司，将缓步投资及实施，避免固定资产投资过大，减少利润及占用资金，对一</w:t>
      </w:r>
      <w:r>
        <w:rPr>
          <w:spacing w:val="-66"/>
        </w:rPr>
        <w:t> </w:t>
      </w:r>
      <w:r>
        <w:rPr>
          <w:spacing w:val="-66"/>
        </w:rPr>
      </w:r>
      <w:r>
        <w:rPr/>
        <w:t>些不能产生实质效益的资产将进行剥离。</w:t>
      </w:r>
    </w:p>
    <w:p>
      <w:pPr>
        <w:pStyle w:val="BodyText"/>
        <w:spacing w:line="300" w:lineRule="auto" w:before="24"/>
        <w:ind w:left="154" w:right="1131" w:firstLine="360"/>
        <w:jc w:val="both"/>
      </w:pPr>
      <w:r>
        <w:rPr>
          <w:rFonts w:ascii="Times New Roman" w:hAnsi="Times New Roman" w:cs="Times New Roman" w:eastAsia="Times New Roman" w:hint="default"/>
        </w:rPr>
        <w:t>5</w:t>
      </w:r>
      <w:r>
        <w:rPr/>
        <w:t>、市场开发规划。公司继续加大市场开拓及品牌推广力度，建立符合公司长期发展、技术营销和品牌品牌推广策略的 销售管理制度和激励机制，打造高素质的稳定的销售团队。</w:t>
      </w:r>
    </w:p>
    <w:p>
      <w:pPr>
        <w:pStyle w:val="BodyText"/>
        <w:spacing w:line="309" w:lineRule="auto" w:before="31"/>
        <w:ind w:left="154" w:right="1131" w:firstLine="433"/>
        <w:jc w:val="both"/>
      </w:pPr>
      <w:r>
        <w:rPr>
          <w:rFonts w:ascii="Times New Roman" w:hAnsi="Times New Roman" w:cs="Times New Roman" w:eastAsia="Times New Roman" w:hint="default"/>
          <w:spacing w:val="-2"/>
        </w:rPr>
        <w:t>6</w:t>
      </w:r>
      <w:r>
        <w:rPr>
          <w:spacing w:val="-2"/>
        </w:rPr>
        <w:t>、人力资源发展计划。员工是企业的核心竞争力，公司岗位设立明确，高级人才的选聘通过外部引用及内部培养，建</w:t>
      </w:r>
      <w:r>
        <w:rPr/>
        <w:t> </w:t>
      </w:r>
      <w:r>
        <w:rPr>
          <w:spacing w:val="-2"/>
        </w:rPr>
        <w:t>立内部人才竞选上岗制，内部员工推荐制度。同时，公司推出内部核心人员和销售骨干在内的股权激励计划，通过强化员工</w:t>
      </w:r>
      <w:r>
        <w:rPr>
          <w:spacing w:val="-66"/>
        </w:rPr>
        <w:t> </w:t>
      </w:r>
      <w:r>
        <w:rPr>
          <w:spacing w:val="-66"/>
        </w:rPr>
      </w:r>
      <w:r>
        <w:rPr/>
        <w:t>的培训与提升，形成有效的内部人才培养机制。</w:t>
      </w:r>
    </w:p>
    <w:p>
      <w:pPr>
        <w:pStyle w:val="BodyText"/>
        <w:spacing w:line="300" w:lineRule="auto" w:before="24"/>
        <w:ind w:left="154" w:right="1131" w:firstLine="360"/>
        <w:jc w:val="both"/>
      </w:pPr>
      <w:r>
        <w:rPr>
          <w:rFonts w:ascii="Times New Roman" w:hAnsi="Times New Roman" w:cs="Times New Roman" w:eastAsia="Times New Roman" w:hint="default"/>
        </w:rPr>
        <w:t>7</w:t>
      </w:r>
      <w:r>
        <w:rPr/>
        <w:t>、加强财务管理核心地位。公司制定增收节支、提高效率、降低成本的目标，合理规划资金的使用，加强回款管理， 充分提高企业闲置资金流的使用效率。</w:t>
      </w:r>
    </w:p>
    <w:p>
      <w:pPr>
        <w:pStyle w:val="BodyText"/>
        <w:spacing w:line="312" w:lineRule="auto" w:before="31"/>
        <w:ind w:left="154" w:right="1131" w:firstLine="360"/>
        <w:jc w:val="both"/>
      </w:pPr>
      <w:r>
        <w:rPr>
          <w:rFonts w:ascii="Times New Roman" w:hAnsi="Times New Roman" w:cs="Times New Roman" w:eastAsia="Times New Roman" w:hint="default"/>
        </w:rPr>
        <w:t>8</w:t>
      </w:r>
      <w:r>
        <w:rPr/>
        <w:t>、加强对外并购。公司于</w:t>
      </w:r>
      <w:r>
        <w:rPr>
          <w:rFonts w:ascii="Times New Roman" w:hAnsi="Times New Roman" w:cs="Times New Roman" w:eastAsia="Times New Roman" w:hint="default"/>
        </w:rPr>
        <w:t>2014</w:t>
      </w:r>
      <w:r>
        <w:rPr/>
        <w:t>年通过资本运作，收购天津市泰达工程设计有限公司，向上下游产业链延伸，藉此进入 </w:t>
      </w:r>
      <w:r>
        <w:rPr>
          <w:spacing w:val="-2"/>
        </w:rPr>
        <w:t>行业上游电力设计领域，符合公司一贯的发展战略，能够拓宽公司产业链，增强公司的核心竞争力。未来公司将继续围绕现</w:t>
      </w:r>
      <w:r>
        <w:rPr>
          <w:spacing w:val="-66"/>
        </w:rPr>
        <w:t> </w:t>
      </w:r>
      <w:r>
        <w:rPr>
          <w:spacing w:val="-66"/>
        </w:rPr>
      </w:r>
      <w:r>
        <w:rPr>
          <w:spacing w:val="-2"/>
        </w:rPr>
        <w:t>在所居行业的上下游，或其他新兴行业、信息软件等，通过收购或参股以及其他合作方式，继续扩大公司在行业的地位及产</w:t>
      </w:r>
      <w:r>
        <w:rPr>
          <w:spacing w:val="-66"/>
        </w:rPr>
        <w:t> </w:t>
      </w:r>
      <w:r>
        <w:rPr>
          <w:spacing w:val="-66"/>
        </w:rPr>
      </w:r>
      <w:r>
        <w:rPr/>
        <w:t>业链的延伸。</w:t>
      </w:r>
    </w:p>
    <w:p>
      <w:pPr>
        <w:pStyle w:val="BodyText"/>
        <w:spacing w:line="240" w:lineRule="auto" w:before="63"/>
        <w:ind w:left="514" w:right="0"/>
        <w:jc w:val="left"/>
      </w:pPr>
      <w:r>
        <w:rPr/>
        <w:t>（四）可能面对的风险因素</w:t>
      </w:r>
    </w:p>
    <w:p>
      <w:pPr>
        <w:pStyle w:val="BodyText"/>
        <w:spacing w:line="338" w:lineRule="auto" w:before="117"/>
        <w:ind w:left="514" w:right="0"/>
        <w:jc w:val="left"/>
      </w:pPr>
      <w:r>
        <w:rPr>
          <w:rFonts w:ascii="Times New Roman" w:hAnsi="Times New Roman" w:cs="Times New Roman" w:eastAsia="Times New Roman" w:hint="default"/>
        </w:rPr>
        <w:t>1</w:t>
      </w:r>
      <w:r>
        <w:rPr/>
        <w:t>、行业竞争风险及其对策 </w:t>
      </w:r>
      <w:r>
        <w:rPr>
          <w:spacing w:val="-2"/>
        </w:rPr>
        <w:t>经过多年发展，我国输配电及控制设备制造业已形成了国有企业、民营企业和外资企业并存的市场竞争格局。在高低压</w:t>
      </w:r>
    </w:p>
    <w:p>
      <w:pPr>
        <w:pStyle w:val="BodyText"/>
        <w:spacing w:line="240" w:lineRule="auto" w:before="2"/>
        <w:ind w:left="154" w:right="0"/>
        <w:jc w:val="both"/>
      </w:pPr>
      <w:r>
        <w:rPr/>
        <w:t>领域，输配电及控制设备产品的生产厂家众多，行业集中度较低，市场竞争激烈，产品的价格、质量、技术含量和售后服务</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0"/>
        <w:jc w:val="left"/>
      </w:pPr>
      <w:r>
        <w:rPr>
          <w:spacing w:val="-2"/>
        </w:rPr>
        <w:t>受到越来越多的关注。虽然公司主导产品已在</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40.5kV</w:t>
      </w:r>
      <w:r>
        <w:rPr>
          <w:spacing w:val="-2"/>
        </w:rPr>
        <w:t>高低压成套开关设备及元器件市场初步建立了自己的竞争优势，但</w:t>
      </w:r>
      <w:r>
        <w:rPr>
          <w:spacing w:val="-53"/>
        </w:rPr>
        <w:t> </w:t>
      </w:r>
      <w:r>
        <w:rPr>
          <w:spacing w:val="-53"/>
        </w:rPr>
      </w:r>
      <w:r>
        <w:rPr/>
        <w:t>公司仍将在各产品线面临着来自国内外知名企业持续的市场竞争。</w:t>
      </w:r>
    </w:p>
    <w:p>
      <w:pPr>
        <w:pStyle w:val="BodyText"/>
        <w:spacing w:line="319" w:lineRule="auto" w:before="68"/>
        <w:ind w:left="154" w:right="1133" w:firstLine="360"/>
        <w:jc w:val="both"/>
      </w:pPr>
      <w:r>
        <w:rPr>
          <w:spacing w:val="-2"/>
        </w:rPr>
        <w:t>加快规划项目的建设，占领行业规模制高点；稳定并大力开拓终端客户，保证市场的稳定；进一步加强精细化管理，有</w:t>
      </w:r>
      <w:r>
        <w:rPr/>
        <w:t> 效降低采购成本、物料消耗和期间费用等。</w:t>
      </w:r>
    </w:p>
    <w:p>
      <w:pPr>
        <w:pStyle w:val="BodyText"/>
        <w:spacing w:line="338" w:lineRule="auto" w:before="58"/>
        <w:ind w:left="514" w:right="0"/>
        <w:jc w:val="left"/>
      </w:pPr>
      <w:r>
        <w:rPr>
          <w:rFonts w:ascii="Times New Roman" w:hAnsi="Times New Roman" w:cs="Times New Roman" w:eastAsia="Times New Roman" w:hint="default"/>
        </w:rPr>
        <w:t>2</w:t>
      </w:r>
      <w:r>
        <w:rPr/>
        <w:t>、产品质量风险及其对策 </w:t>
      </w:r>
      <w:r>
        <w:rPr>
          <w:spacing w:val="-2"/>
        </w:rPr>
        <w:t>公司的产品主要应用于输配电及控制系统，产品质量相当关键，一旦出现故障，有可能造成用户电力系统严重事故，甚</w:t>
      </w:r>
    </w:p>
    <w:p>
      <w:pPr>
        <w:pStyle w:val="BodyText"/>
        <w:spacing w:line="319" w:lineRule="auto" w:before="2"/>
        <w:ind w:left="154" w:right="0"/>
        <w:jc w:val="left"/>
      </w:pPr>
      <w:r>
        <w:rPr>
          <w:spacing w:val="-2"/>
        </w:rPr>
        <w:t>至危及电网的安全，给公司信誉带来重大损害，影响公司产品的销售；同时，公司产品出厂后，如果在用户安装检验过程中</w:t>
      </w:r>
      <w:r>
        <w:rPr>
          <w:spacing w:val="-66"/>
        </w:rPr>
        <w:t> </w:t>
      </w:r>
      <w:r>
        <w:rPr>
          <w:spacing w:val="-66"/>
        </w:rPr>
      </w:r>
      <w:r>
        <w:rPr/>
        <w:t>发现质量问题，不能达到设计要求，无论返工或退货，都将会直接影响公司的经济效益。</w:t>
      </w:r>
    </w:p>
    <w:p>
      <w:pPr>
        <w:pStyle w:val="BodyText"/>
        <w:spacing w:line="309" w:lineRule="auto" w:before="55"/>
        <w:ind w:left="154" w:right="1131" w:firstLine="360"/>
        <w:jc w:val="both"/>
      </w:pPr>
      <w:r>
        <w:rPr>
          <w:spacing w:val="-2"/>
        </w:rPr>
        <w:t>公司继续坚持</w:t>
      </w:r>
      <w:r>
        <w:rPr>
          <w:rFonts w:ascii="Times New Roman" w:hAnsi="Times New Roman" w:cs="Times New Roman" w:eastAsia="Times New Roman" w:hint="default"/>
          <w:spacing w:val="-2"/>
        </w:rPr>
        <w:t>“</w:t>
      </w:r>
      <w:r>
        <w:rPr>
          <w:spacing w:val="-2"/>
        </w:rPr>
        <w:t>以质取胜</w:t>
      </w:r>
      <w:r>
        <w:rPr>
          <w:rFonts w:ascii="Times New Roman" w:hAnsi="Times New Roman" w:cs="Times New Roman" w:eastAsia="Times New Roman" w:hint="default"/>
          <w:spacing w:val="-2"/>
        </w:rPr>
        <w:t>”</w:t>
      </w:r>
      <w:r>
        <w:rPr>
          <w:spacing w:val="-2"/>
        </w:rPr>
        <w:t>，在保证质量的前提下完成及时交付。公司积极提倡合理资源调配，合理安排原材料供应及采</w:t>
      </w:r>
      <w:r>
        <w:rPr/>
        <w:t> </w:t>
      </w:r>
      <w:r>
        <w:rPr>
          <w:spacing w:val="-2"/>
        </w:rPr>
        <w:t>购成本管理，在保障材料成本及供应及时性的前提下，着重关注品质，在降低成本的条件下有效的保证原材料的供给。质量</w:t>
      </w:r>
      <w:r>
        <w:rPr>
          <w:spacing w:val="-66"/>
        </w:rPr>
        <w:t> </w:t>
      </w:r>
      <w:r>
        <w:rPr>
          <w:spacing w:val="-66"/>
        </w:rPr>
      </w:r>
      <w:r>
        <w:rPr/>
        <w:t>管理部门严格按照</w:t>
      </w:r>
      <w:r>
        <w:rPr>
          <w:rFonts w:ascii="Times New Roman" w:hAnsi="Times New Roman" w:cs="Times New Roman" w:eastAsia="Times New Roman" w:hint="default"/>
        </w:rPr>
        <w:t>ISO</w:t>
      </w:r>
      <w:r>
        <w:rPr/>
        <w:t>质量管理体系的标准对产品进行把关，保证所有出厂产品的合格率。</w:t>
      </w:r>
    </w:p>
    <w:p>
      <w:pPr>
        <w:pStyle w:val="BodyText"/>
        <w:spacing w:line="338" w:lineRule="auto" w:before="46"/>
        <w:ind w:left="514" w:right="0"/>
        <w:jc w:val="left"/>
      </w:pPr>
      <w:r>
        <w:rPr>
          <w:rFonts w:ascii="Times New Roman" w:hAnsi="Times New Roman" w:cs="Times New Roman" w:eastAsia="Times New Roman" w:hint="default"/>
        </w:rPr>
        <w:t>3</w:t>
      </w:r>
      <w:r>
        <w:rPr/>
        <w:t>、募集资金投资项目无法产生预期收益的风险及其对策 </w:t>
      </w:r>
      <w:r>
        <w:rPr>
          <w:spacing w:val="-2"/>
        </w:rPr>
        <w:t>公司本次发行募集资金投资项目的可行性分析是基于当前市场环境、技术发展趋势等因素做出的，投资项目虽然经过了</w:t>
      </w:r>
    </w:p>
    <w:p>
      <w:pPr>
        <w:pStyle w:val="BodyText"/>
        <w:spacing w:line="357" w:lineRule="auto" w:before="4"/>
        <w:ind w:left="514" w:right="1032" w:hanging="360"/>
        <w:jc w:val="left"/>
      </w:pPr>
      <w:r>
        <w:rPr/>
        <w:t>慎重、充分的可行性研究论证，但仍可能存在无法产生预期收益。 公司将积极推动募投项目的进展，加强募集资金项目的管理工作。继续加强销售网络建设，提高市场推广和服务能力。</w:t>
      </w:r>
    </w:p>
    <w:p>
      <w:pPr>
        <w:pStyle w:val="BodyText"/>
        <w:spacing w:line="225" w:lineRule="exact"/>
        <w:ind w:left="154" w:right="0"/>
        <w:jc w:val="left"/>
      </w:pPr>
      <w:r>
        <w:rPr/>
        <w:t>如遇国家或行业发展等特殊原因，但仍存在无法产生预期收益。</w:t>
      </w:r>
    </w:p>
    <w:p>
      <w:pPr>
        <w:pStyle w:val="BodyText"/>
        <w:spacing w:line="338" w:lineRule="auto" w:before="117"/>
        <w:ind w:left="514" w:right="1032"/>
        <w:jc w:val="left"/>
      </w:pPr>
      <w:r>
        <w:rPr>
          <w:rFonts w:ascii="Times New Roman" w:hAnsi="Times New Roman" w:cs="Times New Roman" w:eastAsia="Times New Roman" w:hint="default"/>
        </w:rPr>
        <w:t>4</w:t>
      </w:r>
      <w:r>
        <w:rPr/>
        <w:t>、并购整合风险 由于市场定位、市场策略、销售策略、品牌的差异带来的影响以及并购后新的企业在经营管理、组织设置、团队磨合、</w:t>
      </w:r>
    </w:p>
    <w:p>
      <w:pPr>
        <w:pStyle w:val="BodyText"/>
        <w:spacing w:line="240" w:lineRule="auto" w:before="4"/>
        <w:ind w:left="154" w:right="0"/>
        <w:jc w:val="left"/>
      </w:pPr>
      <w:r>
        <w:rPr/>
        <w:t>内部控制、人才引进等方面存在一定的风险和挑战。</w:t>
      </w:r>
    </w:p>
    <w:p>
      <w:pPr>
        <w:spacing w:line="240" w:lineRule="auto" w:before="13"/>
        <w:rPr>
          <w:rFonts w:ascii="宋体" w:hAnsi="宋体" w:cs="宋体" w:eastAsia="宋体" w:hint="default"/>
          <w:sz w:val="24"/>
          <w:szCs w:val="24"/>
        </w:rPr>
      </w:pPr>
    </w:p>
    <w:p>
      <w:pPr>
        <w:pStyle w:val="Heading3"/>
        <w:spacing w:line="240" w:lineRule="auto"/>
        <w:ind w:left="154" w:right="0"/>
        <w:jc w:val="left"/>
        <w:rPr>
          <w:b w:val="0"/>
          <w:bCs w:val="0"/>
        </w:rPr>
      </w:pPr>
      <w:bookmarkStart w:name="九、董事会、监事会对会计师事务所本报告期“非标准审计报告”的说明" w:id="48"/>
      <w:bookmarkEnd w:id="48"/>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与上年度财务报告相比，会计政策、会计估计和核算方法发生变化的情况说明" w:id="49"/>
      <w:bookmarkEnd w:id="49"/>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75"/>
        <w:ind w:right="0"/>
        <w:jc w:val="left"/>
        <w:rPr>
          <w:b w:val="0"/>
          <w:bCs w:val="0"/>
        </w:rPr>
      </w:pPr>
      <w:r>
        <w:rPr>
          <w:rFonts w:ascii="Times New Roman" w:hAnsi="Times New Roman" w:cs="Times New Roman" w:eastAsia="Times New Roman" w:hint="default"/>
        </w:rPr>
        <w:t>1</w:t>
      </w:r>
      <w:r>
        <w:rPr/>
        <w:t>、会计政策变更</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3998"/>
        <w:gridCol w:w="2977"/>
        <w:gridCol w:w="1393"/>
      </w:tblGrid>
      <w:tr>
        <w:trPr>
          <w:trHeight w:val="348" w:hRule="exact"/>
        </w:trPr>
        <w:tc>
          <w:tcPr>
            <w:tcW w:w="3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31" w:right="0"/>
              <w:jc w:val="left"/>
              <w:rPr>
                <w:rFonts w:ascii="宋体" w:hAnsi="宋体" w:cs="宋体" w:eastAsia="宋体" w:hint="default"/>
                <w:sz w:val="16"/>
                <w:szCs w:val="16"/>
              </w:rPr>
            </w:pPr>
            <w:r>
              <w:rPr>
                <w:rFonts w:ascii="宋体" w:hAnsi="宋体" w:cs="宋体" w:eastAsia="宋体" w:hint="default"/>
                <w:sz w:val="16"/>
                <w:szCs w:val="16"/>
              </w:rPr>
              <w:t>会计政策变更的内容和原因</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审批程序</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备注</w:t>
            </w:r>
          </w:p>
        </w:tc>
      </w:tr>
      <w:tr>
        <w:trPr>
          <w:trHeight w:val="1571" w:hRule="exact"/>
        </w:trPr>
        <w:tc>
          <w:tcPr>
            <w:tcW w:w="3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338" w:lineRule="auto" w:before="125"/>
              <w:ind w:left="2" w:right="0"/>
              <w:jc w:val="both"/>
              <w:rPr>
                <w:rFonts w:ascii="宋体" w:hAnsi="宋体" w:cs="宋体" w:eastAsia="宋体" w:hint="default"/>
                <w:sz w:val="16"/>
                <w:szCs w:val="16"/>
              </w:rPr>
            </w:pPr>
            <w:r>
              <w:rPr>
                <w:rFonts w:ascii="宋体" w:hAnsi="宋体" w:cs="宋体" w:eastAsia="宋体" w:hint="default"/>
                <w:spacing w:val="4"/>
                <w:sz w:val="16"/>
                <w:szCs w:val="16"/>
              </w:rPr>
              <w:t>本公司自</w:t>
            </w:r>
            <w:r>
              <w:rPr>
                <w:rFonts w:ascii="Times New Roman" w:hAnsi="Times New Roman" w:cs="Times New Roman" w:eastAsia="Times New Roman" w:hint="default"/>
                <w:spacing w:val="4"/>
                <w:sz w:val="16"/>
                <w:szCs w:val="16"/>
              </w:rPr>
              <w:t>2014</w:t>
            </w:r>
            <w:r>
              <w:rPr>
                <w:rFonts w:ascii="宋体" w:hAnsi="宋体" w:cs="宋体" w:eastAsia="宋体" w:hint="default"/>
                <w:spacing w:val="4"/>
                <w:sz w:val="16"/>
                <w:szCs w:val="16"/>
              </w:rPr>
              <w:t>年</w:t>
            </w:r>
            <w:r>
              <w:rPr>
                <w:rFonts w:ascii="Times New Roman" w:hAnsi="Times New Roman" w:cs="Times New Roman" w:eastAsia="Times New Roman" w:hint="default"/>
                <w:spacing w:val="4"/>
                <w:sz w:val="16"/>
                <w:szCs w:val="16"/>
              </w:rPr>
              <w:t>7</w:t>
            </w:r>
            <w:r>
              <w:rPr>
                <w:rFonts w:ascii="宋体" w:hAnsi="宋体" w:cs="宋体" w:eastAsia="宋体" w:hint="default"/>
                <w:spacing w:val="4"/>
                <w:sz w:val="16"/>
                <w:szCs w:val="16"/>
              </w:rPr>
              <w:t>月</w:t>
            </w:r>
            <w:r>
              <w:rPr>
                <w:rFonts w:ascii="Times New Roman" w:hAnsi="Times New Roman" w:cs="Times New Roman" w:eastAsia="Times New Roman" w:hint="default"/>
                <w:spacing w:val="4"/>
                <w:sz w:val="16"/>
                <w:szCs w:val="16"/>
              </w:rPr>
              <w:t>1</w:t>
            </w:r>
            <w:r>
              <w:rPr>
                <w:rFonts w:ascii="宋体" w:hAnsi="宋体" w:cs="宋体" w:eastAsia="宋体" w:hint="default"/>
                <w:spacing w:val="4"/>
                <w:sz w:val="16"/>
                <w:szCs w:val="16"/>
              </w:rPr>
              <w:t>日起执行财政部于</w:t>
            </w:r>
            <w:r>
              <w:rPr>
                <w:rFonts w:ascii="Times New Roman" w:hAnsi="Times New Roman" w:cs="Times New Roman" w:eastAsia="Times New Roman" w:hint="default"/>
                <w:spacing w:val="4"/>
                <w:sz w:val="16"/>
                <w:szCs w:val="16"/>
              </w:rPr>
              <w:t>2014</w:t>
            </w:r>
            <w:r>
              <w:rPr>
                <w:rFonts w:ascii="宋体" w:hAnsi="宋体" w:cs="宋体" w:eastAsia="宋体" w:hint="default"/>
                <w:spacing w:val="4"/>
                <w:sz w:val="16"/>
                <w:szCs w:val="16"/>
              </w:rPr>
              <w:t>年修订或新</w:t>
            </w:r>
            <w:r>
              <w:rPr>
                <w:rFonts w:ascii="宋体" w:hAnsi="宋体" w:cs="宋体" w:eastAsia="宋体" w:hint="default"/>
                <w:spacing w:val="-67"/>
                <w:sz w:val="16"/>
                <w:szCs w:val="16"/>
              </w:rPr>
              <w:t> </w:t>
            </w:r>
            <w:r>
              <w:rPr>
                <w:rFonts w:ascii="宋体" w:hAnsi="宋体" w:cs="宋体" w:eastAsia="宋体" w:hint="default"/>
                <w:sz w:val="16"/>
                <w:szCs w:val="16"/>
              </w:rPr>
              <w:t>制定发布的《企业会计准则第</w:t>
            </w:r>
            <w:r>
              <w:rPr>
                <w:rFonts w:ascii="Times New Roman" w:hAnsi="Times New Roman" w:cs="Times New Roman" w:eastAsia="Times New Roman" w:hint="default"/>
                <w:sz w:val="16"/>
                <w:szCs w:val="16"/>
              </w:rPr>
              <w:t>9</w:t>
            </w:r>
            <w:r>
              <w:rPr>
                <w:rFonts w:ascii="宋体" w:hAnsi="宋体" w:cs="宋体" w:eastAsia="宋体" w:hint="default"/>
                <w:sz w:val="16"/>
                <w:szCs w:val="16"/>
              </w:rPr>
              <w:t>号</w:t>
            </w:r>
            <w:r>
              <w:rPr>
                <w:rFonts w:ascii="Times New Roman" w:hAnsi="Times New Roman" w:cs="Times New Roman" w:eastAsia="Times New Roman" w:hint="default"/>
                <w:sz w:val="16"/>
                <w:szCs w:val="16"/>
              </w:rPr>
              <w:t>-</w:t>
            </w:r>
            <w:r>
              <w:rPr>
                <w:rFonts w:ascii="宋体" w:hAnsi="宋体" w:cs="宋体" w:eastAsia="宋体" w:hint="default"/>
                <w:sz w:val="16"/>
                <w:szCs w:val="16"/>
              </w:rPr>
              <w:t>职工薪酬》等八项具体</w:t>
            </w:r>
            <w:r>
              <w:rPr>
                <w:rFonts w:ascii="宋体" w:hAnsi="宋体" w:cs="宋体" w:eastAsia="宋体" w:hint="default"/>
                <w:w w:val="99"/>
                <w:sz w:val="16"/>
                <w:szCs w:val="16"/>
              </w:rPr>
              <w:t> </w:t>
            </w:r>
            <w:r>
              <w:rPr>
                <w:rFonts w:ascii="宋体" w:hAnsi="宋体" w:cs="宋体" w:eastAsia="宋体" w:hint="default"/>
                <w:sz w:val="16"/>
                <w:szCs w:val="16"/>
              </w:rPr>
              <w:t>会计准则</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35"/>
              <w:ind w:left="2" w:right="81"/>
              <w:jc w:val="left"/>
              <w:rPr>
                <w:rFonts w:ascii="宋体" w:hAnsi="宋体" w:cs="宋体" w:eastAsia="宋体" w:hint="default"/>
                <w:sz w:val="16"/>
                <w:szCs w:val="16"/>
              </w:rPr>
            </w:pPr>
            <w:r>
              <w:rPr>
                <w:rFonts w:ascii="宋体" w:hAnsi="宋体" w:cs="宋体" w:eastAsia="宋体" w:hint="default"/>
                <w:sz w:val="16"/>
                <w:szCs w:val="16"/>
              </w:rPr>
              <w:t>本次变更经公司第六届董事会第十二次会</w:t>
            </w:r>
            <w:r>
              <w:rPr>
                <w:rFonts w:ascii="宋体" w:hAnsi="宋体" w:cs="宋体" w:eastAsia="宋体" w:hint="default"/>
                <w:w w:val="99"/>
                <w:sz w:val="16"/>
                <w:szCs w:val="16"/>
              </w:rPr>
              <w:t> </w:t>
            </w:r>
            <w:r>
              <w:rPr>
                <w:rFonts w:ascii="宋体" w:hAnsi="宋体" w:cs="宋体" w:eastAsia="宋体" w:hint="default"/>
                <w:sz w:val="16"/>
                <w:szCs w:val="16"/>
              </w:rPr>
              <w:t>议审议通过</w:t>
            </w:r>
          </w:p>
        </w:tc>
        <w:tc>
          <w:tcPr>
            <w:tcW w:w="139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6" w:lineRule="auto" w:before="10"/>
        <w:ind w:left="573" w:right="1030" w:hanging="347"/>
        <w:jc w:val="left"/>
      </w:pPr>
      <w:r>
        <w:rPr/>
        <w:t>会计政策变更说明： </w:t>
      </w:r>
      <w:r>
        <w:rPr>
          <w:spacing w:val="-1"/>
        </w:rPr>
        <w:t>财政部于</w:t>
      </w:r>
      <w:r>
        <w:rPr>
          <w:rFonts w:ascii="Times New Roman" w:hAnsi="Times New Roman" w:cs="Times New Roman" w:eastAsia="Times New Roman" w:hint="default"/>
          <w:spacing w:val="-1"/>
        </w:rPr>
        <w:t>2014</w:t>
      </w:r>
      <w:r>
        <w:rPr>
          <w:spacing w:val="-1"/>
        </w:rPr>
        <w:t>年陆续颁布或修订了一系列企业会计准则，本公司已按要求于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日执行新的该等企业会计准则，</w:t>
      </w:r>
    </w:p>
    <w:p>
      <w:pPr>
        <w:pStyle w:val="BodyText"/>
        <w:spacing w:line="235" w:lineRule="exact"/>
        <w:ind w:right="0"/>
        <w:jc w:val="left"/>
      </w:pPr>
      <w:r>
        <w:rPr/>
        <w:t>并按照新准则的衔接规定对比较财务报表进行调整。执行新准则对比较财务报表影响说明如下：</w:t>
      </w:r>
    </w:p>
    <w:p>
      <w:pPr>
        <w:pStyle w:val="BodyText"/>
        <w:spacing w:line="300" w:lineRule="auto" w:before="76"/>
        <w:ind w:left="573" w:right="1153" w:hanging="420"/>
        <w:jc w:val="left"/>
      </w:pPr>
      <w:r>
        <w:rPr/>
        <w:t>（</w:t>
      </w:r>
      <w:r>
        <w:rPr>
          <w:rFonts w:ascii="Times New Roman" w:hAnsi="Times New Roman" w:cs="Times New Roman" w:eastAsia="Times New Roman" w:hint="default"/>
        </w:rPr>
        <w:t>1</w:t>
      </w:r>
      <w:r>
        <w:rPr/>
        <w:t>）长期股权投资 本公司根据新修订的《长期股权投资准则》，将原成本法核算的对被投资单位不具有控制、共同控制或重大影响的权</w:t>
      </w:r>
    </w:p>
    <w:p>
      <w:pPr>
        <w:pStyle w:val="BodyText"/>
        <w:spacing w:line="316" w:lineRule="auto" w:before="32"/>
        <w:ind w:right="0"/>
        <w:jc w:val="left"/>
      </w:pPr>
      <w:r>
        <w:rPr>
          <w:spacing w:val="-2"/>
        </w:rPr>
        <w:t>益性投资纳入可供出售金融资产核算，其中：在活跃市场中没有报价、公允价值不能可靠计量的权益工具按照成本进行后续</w:t>
      </w:r>
      <w:r>
        <w:rPr>
          <w:spacing w:val="-66"/>
        </w:rPr>
        <w:t> </w:t>
      </w:r>
      <w:r>
        <w:rPr>
          <w:spacing w:val="-66"/>
        </w:rPr>
      </w:r>
      <w:r>
        <w:rPr/>
        <w:t>计量，其他权益工具按公允价值进行后续计量。上述会计政策变更追溯调整影响如下：</w:t>
      </w:r>
    </w:p>
    <w:tbl>
      <w:tblPr>
        <w:tblW w:w="0" w:type="auto"/>
        <w:jc w:val="left"/>
        <w:tblInd w:w="160" w:type="dxa"/>
        <w:tblLayout w:type="fixed"/>
        <w:tblCellMar>
          <w:top w:w="0" w:type="dxa"/>
          <w:left w:w="0" w:type="dxa"/>
          <w:bottom w:w="0" w:type="dxa"/>
          <w:right w:w="0" w:type="dxa"/>
        </w:tblCellMar>
        <w:tblLook w:val="01E0"/>
      </w:tblPr>
      <w:tblGrid>
        <w:gridCol w:w="2256"/>
        <w:gridCol w:w="714"/>
        <w:gridCol w:w="1396"/>
        <w:gridCol w:w="1370"/>
        <w:gridCol w:w="1371"/>
        <w:gridCol w:w="1370"/>
      </w:tblGrid>
      <w:tr>
        <w:trPr>
          <w:trHeight w:val="347" w:hRule="exact"/>
        </w:trPr>
        <w:tc>
          <w:tcPr>
            <w:tcW w:w="2256" w:type="dxa"/>
            <w:vMerge w:val="restart"/>
            <w:tcBorders>
              <w:top w:val="single" w:sz="6" w:space="0" w:color="000000"/>
              <w:left w:val="single" w:sz="6" w:space="0" w:color="000000"/>
              <w:right w:val="single" w:sz="6" w:space="0" w:color="000000"/>
            </w:tcBorders>
          </w:tcPr>
          <w:p>
            <w:pPr>
              <w:pStyle w:val="TableParagraph"/>
              <w:spacing w:line="240" w:lineRule="auto" w:before="36"/>
              <w:ind w:left="720" w:right="0"/>
              <w:jc w:val="left"/>
              <w:rPr>
                <w:rFonts w:ascii="宋体" w:hAnsi="宋体" w:cs="宋体" w:eastAsia="宋体" w:hint="default"/>
                <w:sz w:val="16"/>
                <w:szCs w:val="16"/>
              </w:rPr>
            </w:pPr>
            <w:r>
              <w:rPr>
                <w:rFonts w:ascii="宋体" w:hAnsi="宋体" w:cs="宋体" w:eastAsia="宋体" w:hint="default"/>
                <w:sz w:val="16"/>
                <w:szCs w:val="16"/>
              </w:rPr>
              <w:t>被投资单位</w:t>
            </w:r>
          </w:p>
        </w:tc>
        <w:tc>
          <w:tcPr>
            <w:tcW w:w="714" w:type="dxa"/>
            <w:vMerge w:val="restart"/>
            <w:tcBorders>
              <w:top w:val="single" w:sz="6" w:space="0" w:color="000000"/>
              <w:left w:val="single" w:sz="6" w:space="0" w:color="000000"/>
              <w:right w:val="single" w:sz="6" w:space="0" w:color="000000"/>
            </w:tcBorders>
          </w:tcPr>
          <w:p>
            <w:pPr>
              <w:pStyle w:val="TableParagraph"/>
              <w:spacing w:line="357" w:lineRule="auto" w:before="36"/>
              <w:ind w:left="68" w:right="69" w:firstLine="120"/>
              <w:jc w:val="left"/>
              <w:rPr>
                <w:rFonts w:ascii="Times New Roman" w:hAnsi="Times New Roman" w:cs="Times New Roman" w:eastAsia="Times New Roman" w:hint="default"/>
                <w:sz w:val="16"/>
                <w:szCs w:val="16"/>
              </w:rPr>
            </w:pPr>
            <w:r>
              <w:rPr>
                <w:rFonts w:ascii="宋体" w:hAnsi="宋体" w:cs="宋体" w:eastAsia="宋体" w:hint="default"/>
                <w:sz w:val="16"/>
                <w:szCs w:val="16"/>
              </w:rPr>
              <w:t>持股</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396" w:type="dxa"/>
            <w:vMerge w:val="restart"/>
            <w:tcBorders>
              <w:top w:val="single" w:sz="6" w:space="0" w:color="000000"/>
              <w:left w:val="single" w:sz="6" w:space="0" w:color="000000"/>
              <w:right w:val="single" w:sz="6" w:space="0" w:color="000000"/>
            </w:tcBorders>
          </w:tcPr>
          <w:p>
            <w:pPr>
              <w:pStyle w:val="TableParagraph"/>
              <w:spacing w:line="338" w:lineRule="auto" w:before="36"/>
              <w:ind w:left="50" w:right="49"/>
              <w:jc w:val="left"/>
              <w:rPr>
                <w:rFonts w:ascii="宋体" w:hAnsi="宋体" w:cs="宋体" w:eastAsia="宋体" w:hint="default"/>
                <w:sz w:val="16"/>
                <w:szCs w:val="16"/>
              </w:rPr>
            </w:pPr>
            <w:r>
              <w:rPr>
                <w:rFonts w:ascii="Times New Roman" w:hAnsi="Times New Roman" w:cs="Times New Roman" w:eastAsia="Times New Roman" w:hint="default"/>
                <w:sz w:val="16"/>
                <w:szCs w:val="16"/>
              </w:rPr>
              <w:t>2013</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宋体" w:hAnsi="宋体" w:cs="宋体" w:eastAsia="宋体" w:hint="default"/>
                <w:sz w:val="16"/>
                <w:szCs w:val="16"/>
              </w:rPr>
              <w:t>日归属</w:t>
            </w:r>
            <w:r>
              <w:rPr>
                <w:rFonts w:ascii="宋体" w:hAnsi="宋体" w:cs="宋体" w:eastAsia="宋体" w:hint="default"/>
                <w:w w:val="99"/>
                <w:sz w:val="16"/>
                <w:szCs w:val="16"/>
              </w:rPr>
              <w:t> </w:t>
            </w:r>
            <w:r>
              <w:rPr>
                <w:rFonts w:ascii="宋体" w:hAnsi="宋体" w:cs="宋体" w:eastAsia="宋体" w:hint="default"/>
                <w:sz w:val="16"/>
                <w:szCs w:val="16"/>
              </w:rPr>
              <w:t>于母公司股东权益</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2013</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r>
      <w:tr>
        <w:trPr>
          <w:trHeight w:val="348" w:hRule="exact"/>
        </w:trPr>
        <w:tc>
          <w:tcPr>
            <w:tcW w:w="2256" w:type="dxa"/>
            <w:vMerge/>
            <w:tcBorders>
              <w:left w:val="single" w:sz="6" w:space="0" w:color="000000"/>
              <w:bottom w:val="single" w:sz="6" w:space="0" w:color="000000"/>
              <w:right w:val="single" w:sz="6" w:space="0" w:color="000000"/>
            </w:tcBorders>
          </w:tcPr>
          <w:p>
            <w:pPr/>
          </w:p>
        </w:tc>
        <w:tc>
          <w:tcPr>
            <w:tcW w:w="714" w:type="dxa"/>
            <w:vMerge/>
            <w:tcBorders>
              <w:left w:val="single" w:sz="6" w:space="0" w:color="000000"/>
              <w:bottom w:val="single" w:sz="6" w:space="0" w:color="000000"/>
              <w:right w:val="single" w:sz="6" w:space="0" w:color="000000"/>
            </w:tcBorders>
          </w:tcPr>
          <w:p>
            <w:pPr/>
          </w:p>
        </w:tc>
        <w:tc>
          <w:tcPr>
            <w:tcW w:w="1396" w:type="dxa"/>
            <w:vMerge/>
            <w:tcBorders>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96"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7"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97" w:right="0"/>
              <w:jc w:val="left"/>
              <w:rPr>
                <w:rFonts w:ascii="宋体" w:hAnsi="宋体" w:cs="宋体" w:eastAsia="宋体" w:hint="default"/>
                <w:sz w:val="16"/>
                <w:szCs w:val="16"/>
              </w:rPr>
            </w:pPr>
            <w:r>
              <w:rPr>
                <w:rFonts w:ascii="宋体" w:hAnsi="宋体" w:cs="宋体" w:eastAsia="宋体" w:hint="default"/>
                <w:sz w:val="16"/>
                <w:szCs w:val="16"/>
              </w:rPr>
              <w:t>归属于母公司</w:t>
            </w:r>
          </w:p>
        </w:tc>
      </w:tr>
    </w:tbl>
    <w:p>
      <w:pPr>
        <w:spacing w:after="0" w:line="240" w:lineRule="auto"/>
        <w:jc w:val="left"/>
        <w:rPr>
          <w:rFonts w:ascii="宋体" w:hAnsi="宋体" w:cs="宋体" w:eastAsia="宋体" w:hint="default"/>
          <w:sz w:val="16"/>
          <w:szCs w:val="16"/>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56"/>
        <w:gridCol w:w="714"/>
        <w:gridCol w:w="1396"/>
        <w:gridCol w:w="1370"/>
        <w:gridCol w:w="1371"/>
        <w:gridCol w:w="1370"/>
      </w:tblGrid>
      <w:tr>
        <w:trPr>
          <w:trHeight w:val="347" w:hRule="exact"/>
        </w:trPr>
        <w:tc>
          <w:tcPr>
            <w:tcW w:w="2256"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57" w:right="0"/>
              <w:jc w:val="left"/>
              <w:rPr>
                <w:rFonts w:ascii="宋体" w:hAnsi="宋体" w:cs="宋体" w:eastAsia="宋体" w:hint="default"/>
                <w:sz w:val="16"/>
                <w:szCs w:val="16"/>
              </w:rPr>
            </w:pPr>
            <w:r>
              <w:rPr>
                <w:rFonts w:ascii="宋体" w:hAnsi="宋体" w:cs="宋体" w:eastAsia="宋体" w:hint="default"/>
                <w:sz w:val="16"/>
                <w:szCs w:val="16"/>
              </w:rPr>
              <w:t>股东权益</w:t>
            </w:r>
          </w:p>
        </w:tc>
      </w:tr>
      <w:tr>
        <w:trPr>
          <w:trHeight w:val="659"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36"/>
              <w:ind w:left="2" w:right="158"/>
              <w:jc w:val="left"/>
              <w:rPr>
                <w:rFonts w:ascii="宋体" w:hAnsi="宋体" w:cs="宋体" w:eastAsia="宋体" w:hint="default"/>
                <w:sz w:val="16"/>
                <w:szCs w:val="16"/>
              </w:rPr>
            </w:pPr>
            <w:r>
              <w:rPr>
                <w:rFonts w:ascii="宋体" w:hAnsi="宋体" w:cs="宋体" w:eastAsia="宋体" w:hint="default"/>
                <w:sz w:val="16"/>
                <w:szCs w:val="16"/>
              </w:rPr>
              <w:t>芜湖市中小企业信用担保有限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39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5,000,000.00</w:t>
            </w:r>
            <w:r>
              <w:rPr>
                <w:rFonts w:ascii="Times New Roman"/>
                <w:sz w:val="16"/>
              </w:rPr>
            </w:r>
          </w:p>
        </w:tc>
        <w:tc>
          <w:tcPr>
            <w:tcW w:w="137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36"/>
              <w:ind w:left="2" w:right="159"/>
              <w:jc w:val="left"/>
              <w:rPr>
                <w:rFonts w:ascii="宋体" w:hAnsi="宋体" w:cs="宋体" w:eastAsia="宋体" w:hint="default"/>
                <w:sz w:val="16"/>
                <w:szCs w:val="16"/>
              </w:rPr>
            </w:pPr>
            <w:r>
              <w:rPr>
                <w:rFonts w:ascii="宋体" w:hAnsi="宋体" w:cs="宋体" w:eastAsia="宋体" w:hint="default"/>
                <w:sz w:val="16"/>
                <w:szCs w:val="16"/>
              </w:rPr>
              <w:t>芜湖扬子农村商业银行股份有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0.15</w:t>
            </w:r>
            <w:r>
              <w:rPr>
                <w:rFonts w:ascii="Times New Roman"/>
                <w:sz w:val="16"/>
              </w:rPr>
            </w:r>
          </w:p>
        </w:tc>
        <w:tc>
          <w:tcPr>
            <w:tcW w:w="139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-1,000,000.00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137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-6,000,000.00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6,000,000.00</w:t>
            </w:r>
            <w:r>
              <w:rPr>
                <w:rFonts w:ascii="Times New Roman"/>
                <w:sz w:val="16"/>
              </w:rPr>
            </w:r>
          </w:p>
        </w:tc>
        <w:tc>
          <w:tcPr>
            <w:tcW w:w="137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154" w:right="0"/>
        <w:jc w:val="left"/>
      </w:pPr>
      <w:r>
        <w:rPr/>
        <w:t>（</w:t>
      </w:r>
      <w:r>
        <w:rPr>
          <w:rFonts w:ascii="Times New Roman" w:hAnsi="Times New Roman" w:cs="Times New Roman" w:eastAsia="Times New Roman" w:hint="default"/>
        </w:rPr>
        <w:t>2</w:t>
      </w:r>
      <w:r>
        <w:rPr/>
        <w:t>）职工薪酬</w:t>
      </w:r>
    </w:p>
    <w:p>
      <w:pPr>
        <w:pStyle w:val="BodyText"/>
        <w:spacing w:line="300" w:lineRule="auto" w:before="63"/>
        <w:ind w:left="574" w:right="1182"/>
        <w:jc w:val="left"/>
      </w:pPr>
      <w:r>
        <w:rPr/>
        <w:t>本公司根据财政部《企业会计准则第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年修订）的规定，对基本养老保险及失业保险单独分类至 离职后福利明细项目核算。</w:t>
      </w:r>
    </w:p>
    <w:p>
      <w:pPr>
        <w:pStyle w:val="BodyText"/>
        <w:spacing w:line="300" w:lineRule="auto" w:before="31"/>
        <w:ind w:left="574" w:right="1152" w:hanging="420"/>
        <w:jc w:val="left"/>
      </w:pPr>
      <w:r>
        <w:rPr/>
        <w:t>（</w:t>
      </w:r>
      <w:r>
        <w:rPr>
          <w:rFonts w:ascii="Times New Roman" w:hAnsi="Times New Roman" w:cs="Times New Roman" w:eastAsia="Times New Roman" w:hint="default"/>
        </w:rPr>
        <w:t>3</w:t>
      </w:r>
      <w:r>
        <w:rPr/>
        <w:t>）财务报表列报准则变动对于合并财务报表的影响 本公司根据修订后的《企业会计准则第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财务报表列报》，根据列报要求将递延收益单独列报，并对年初数采用</w:t>
      </w:r>
    </w:p>
    <w:p>
      <w:pPr>
        <w:pStyle w:val="BodyText"/>
        <w:spacing w:line="240" w:lineRule="auto" w:before="13"/>
        <w:ind w:left="154" w:right="0"/>
        <w:jc w:val="left"/>
      </w:pPr>
      <w:r>
        <w:rPr/>
        <w:t>追溯调整法进行调整列报，追溯调整影响如下：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86"/>
        <w:gridCol w:w="1536"/>
        <w:gridCol w:w="1536"/>
        <w:gridCol w:w="1536"/>
        <w:gridCol w:w="1535"/>
      </w:tblGrid>
      <w:tr>
        <w:trPr>
          <w:trHeight w:val="347" w:hRule="exact"/>
        </w:trPr>
        <w:tc>
          <w:tcPr>
            <w:tcW w:w="2386" w:type="dxa"/>
            <w:vMerge w:val="restart"/>
            <w:tcBorders>
              <w:top w:val="single" w:sz="6" w:space="0" w:color="000000"/>
              <w:left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3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2013</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宋体" w:hAnsi="宋体" w:cs="宋体" w:eastAsia="宋体" w:hint="default"/>
                <w:sz w:val="16"/>
                <w:szCs w:val="16"/>
              </w:rPr>
              <w:t>日</w:t>
            </w:r>
          </w:p>
        </w:tc>
        <w:tc>
          <w:tcPr>
            <w:tcW w:w="30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6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2013</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r>
      <w:tr>
        <w:trPr>
          <w:trHeight w:val="347" w:hRule="exact"/>
        </w:trPr>
        <w:tc>
          <w:tcPr>
            <w:tcW w:w="2386" w:type="dxa"/>
            <w:vMerge/>
            <w:tcBorders>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调整前</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调整后</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20" w:right="0"/>
              <w:jc w:val="left"/>
              <w:rPr>
                <w:rFonts w:ascii="宋体" w:hAnsi="宋体" w:cs="宋体" w:eastAsia="宋体" w:hint="default"/>
                <w:sz w:val="16"/>
                <w:szCs w:val="16"/>
              </w:rPr>
            </w:pPr>
            <w:r>
              <w:rPr>
                <w:rFonts w:ascii="宋体" w:hAnsi="宋体" w:cs="宋体" w:eastAsia="宋体" w:hint="default"/>
                <w:sz w:val="16"/>
                <w:szCs w:val="16"/>
              </w:rPr>
              <w:t>调整前</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调整后</w:t>
            </w:r>
          </w:p>
        </w:tc>
      </w:tr>
      <w:tr>
        <w:trPr>
          <w:trHeight w:val="348"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递延收益</w:t>
            </w:r>
          </w:p>
        </w:tc>
        <w:tc>
          <w:tcPr>
            <w:tcW w:w="153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20,887,713.22</w:t>
            </w:r>
          </w:p>
        </w:tc>
      </w:tr>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其他非流动负债</w:t>
            </w:r>
          </w:p>
        </w:tc>
        <w:tc>
          <w:tcPr>
            <w:tcW w:w="153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598" w:right="0"/>
              <w:jc w:val="left"/>
              <w:rPr>
                <w:rFonts w:ascii="Times New Roman" w:hAnsi="Times New Roman" w:cs="Times New Roman" w:eastAsia="Times New Roman" w:hint="default"/>
                <w:sz w:val="16"/>
                <w:szCs w:val="16"/>
              </w:rPr>
            </w:pPr>
            <w:r>
              <w:rPr>
                <w:rFonts w:ascii="Times New Roman"/>
                <w:sz w:val="16"/>
              </w:rPr>
              <w:t>20,887,713.22</w:t>
            </w:r>
          </w:p>
        </w:tc>
        <w:tc>
          <w:tcPr>
            <w:tcW w:w="153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53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98" w:right="0"/>
              <w:jc w:val="left"/>
              <w:rPr>
                <w:rFonts w:ascii="Times New Roman" w:hAnsi="Times New Roman" w:cs="Times New Roman" w:eastAsia="Times New Roman" w:hint="default"/>
                <w:sz w:val="16"/>
                <w:szCs w:val="16"/>
              </w:rPr>
            </w:pPr>
            <w:r>
              <w:rPr>
                <w:rFonts w:ascii="Times New Roman"/>
                <w:sz w:val="16"/>
              </w:rPr>
              <w:t>20,887,713.22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20,887,713.22</w:t>
            </w:r>
          </w:p>
        </w:tc>
      </w:tr>
    </w:tbl>
    <w:p>
      <w:pPr>
        <w:pStyle w:val="Heading5"/>
        <w:spacing w:line="276" w:lineRule="exact"/>
        <w:ind w:left="154" w:right="0"/>
        <w:jc w:val="left"/>
        <w:rPr>
          <w:b w:val="0"/>
          <w:bCs w:val="0"/>
        </w:rPr>
      </w:pPr>
      <w:r>
        <w:rPr>
          <w:rFonts w:ascii="Times New Roman" w:hAnsi="Times New Roman" w:cs="Times New Roman" w:eastAsia="Times New Roman" w:hint="default"/>
        </w:rPr>
        <w:t>2</w:t>
      </w:r>
      <w:r>
        <w:rPr/>
        <w:t>、会计估计变更</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left="154" w:right="0"/>
        <w:jc w:val="left"/>
        <w:rPr>
          <w:b w:val="0"/>
          <w:bCs w:val="0"/>
        </w:rPr>
      </w:pPr>
      <w:bookmarkStart w:name="十一、报告期内发生重大会计差错更正需追溯重述的情况说明" w:id="50"/>
      <w:bookmarkEnd w:id="50"/>
      <w:r>
        <w:rPr>
          <w:b w:val="0"/>
          <w:bCs w:val="0"/>
        </w:rPr>
      </w:r>
      <w:r>
        <w:rPr/>
        <w:t>十一、报告期内发生重大会计差错更正需追溯重述的情况说明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3"/>
        <w:spacing w:line="240" w:lineRule="auto"/>
        <w:ind w:left="154" w:right="0"/>
        <w:jc w:val="left"/>
        <w:rPr>
          <w:b w:val="0"/>
          <w:bCs w:val="0"/>
        </w:rPr>
      </w:pPr>
      <w:bookmarkStart w:name="十二、与上年度财务报告相比，合并报表范围发生变化的情况说明" w:id="51"/>
      <w:bookmarkEnd w:id="51"/>
      <w:r>
        <w:rPr>
          <w:b w:val="0"/>
          <w:bCs w:val="0"/>
        </w:rPr>
      </w:r>
      <w:r>
        <w:rPr/>
        <w:t>十二、与上年度财务报告相比，合并报表范围发生变化的情况说明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3"/>
          <w:szCs w:val="23"/>
        </w:rPr>
      </w:pPr>
    </w:p>
    <w:p>
      <w:pPr>
        <w:pStyle w:val="BodyText"/>
        <w:spacing w:line="300" w:lineRule="auto"/>
        <w:ind w:left="573" w:right="2593"/>
        <w:jc w:val="left"/>
      </w:pPr>
      <w:r>
        <w:rPr/>
        <w:t>本期纳入合并财务报表范围的主体较上期相比，增加</w:t>
      </w:r>
      <w:r>
        <w:rPr>
          <w:rFonts w:ascii="Times New Roman" w:hAnsi="Times New Roman" w:cs="Times New Roman" w:eastAsia="Times New Roman" w:hint="default"/>
        </w:rPr>
        <w:t>1</w:t>
      </w:r>
      <w:r>
        <w:rPr/>
        <w:t>户，减少</w:t>
      </w:r>
      <w:r>
        <w:rPr>
          <w:rFonts w:ascii="Times New Roman" w:hAnsi="Times New Roman" w:cs="Times New Roman" w:eastAsia="Times New Roman" w:hint="default"/>
        </w:rPr>
        <w:t>0</w:t>
      </w:r>
      <w:r>
        <w:rPr/>
        <w:t>户，其中： 本期新纳入合并范围的子公司、特殊目的主体、通过受托经营或承租等方式形成控制权的经营实体</w:t>
      </w: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名称</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变更原因</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天津市泰达工程设计有限公司</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非同一控制下合并</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before="26"/>
        <w:ind w:left="154" w:right="0"/>
        <w:jc w:val="both"/>
        <w:rPr>
          <w:b w:val="0"/>
          <w:bCs w:val="0"/>
        </w:rPr>
      </w:pPr>
      <w:bookmarkStart w:name="十三、公司利润分配及分红派息情况" w:id="52"/>
      <w:bookmarkEnd w:id="52"/>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报告期内利润分配政策的制定、执行或调整情况</w:t>
      </w:r>
    </w:p>
    <w:p>
      <w:pPr>
        <w:pStyle w:val="BodyText"/>
        <w:spacing w:line="338" w:lineRule="auto" w:before="116"/>
        <w:ind w:left="371" w:right="1175" w:hanging="2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公司自上市以来，在兼顾公司可持续发展的前提下，历来重视投资者回报。公司己制定了《公司未来三年股东回报规划</w:t>
      </w:r>
    </w:p>
    <w:p>
      <w:pPr>
        <w:pStyle w:val="BodyText"/>
        <w:spacing w:line="309" w:lineRule="auto" w:before="2"/>
        <w:ind w:right="1129"/>
        <w:jc w:val="both"/>
      </w:pPr>
      <w:r>
        <w:rPr/>
        <w:t>（</w:t>
      </w:r>
      <w:r>
        <w:rPr>
          <w:rFonts w:ascii="Times New Roman" w:hAnsi="Times New Roman" w:cs="Times New Roman" w:eastAsia="Times New Roman" w:hint="default"/>
        </w:rPr>
        <w:t>2012-2014</w:t>
      </w:r>
      <w:r>
        <w:rPr/>
        <w:t>）》，明确了利润分配原则、利润分配的方式、现金分红的条件、现金分红的比例、分配股票股利的条件、分 </w:t>
      </w:r>
      <w:r>
        <w:rPr>
          <w:spacing w:val="-2"/>
        </w:rPr>
        <w:t>配股票股利的最低比例、利润分配的决策程序、有关利润分配的信息披露事项等。公司将严格按照《公司章程》的规定，实</w:t>
      </w:r>
      <w:r>
        <w:rPr>
          <w:spacing w:val="-66"/>
        </w:rPr>
        <w:t> </w:t>
      </w:r>
      <w:r>
        <w:rPr>
          <w:spacing w:val="-66"/>
        </w:rPr>
      </w:r>
      <w:r>
        <w:rPr/>
        <w:t>施利润分配政策，强化回报股东意识，满足股东的合理投资回报和公司长远发展的要求。</w:t>
      </w:r>
    </w:p>
    <w:p>
      <w:pPr>
        <w:spacing w:after="0" w:line="309"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299" w:right="0"/>
        <w:jc w:val="left"/>
      </w:pPr>
      <w:r>
        <w:rPr/>
        <w:t>报告期内，未对公司利润分配政策特别是现金分红政策进行调整。</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101"/>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年度公司计划不派发现金红利，不送红股，不以公积金转增股本。</w:t>
      </w:r>
    </w:p>
    <w:p>
      <w:pPr>
        <w:pStyle w:val="BodyText"/>
        <w:spacing w:line="300" w:lineRule="auto" w:before="63"/>
        <w:ind w:right="0"/>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7</w:t>
      </w:r>
      <w:r>
        <w:rPr>
          <w:spacing w:val="-4"/>
        </w:rPr>
        <w:t>日</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2013</w:t>
      </w:r>
      <w:r>
        <w:rPr>
          <w:spacing w:val="-4"/>
        </w:rPr>
        <w:t>年度股东大会审议通过了《关于公司</w:t>
      </w:r>
      <w:r>
        <w:rPr>
          <w:rFonts w:ascii="Times New Roman" w:hAnsi="Times New Roman" w:cs="Times New Roman" w:eastAsia="Times New Roman" w:hint="default"/>
          <w:spacing w:val="-4"/>
        </w:rPr>
        <w:t>2013</w:t>
      </w:r>
      <w:r>
        <w:rPr>
          <w:spacing w:val="-4"/>
        </w:rPr>
        <w:t>年度利润分配的预案》，</w:t>
      </w:r>
      <w:r>
        <w:rPr>
          <w:rFonts w:ascii="Times New Roman" w:hAnsi="Times New Roman" w:cs="Times New Roman" w:eastAsia="Times New Roman" w:hint="default"/>
          <w:spacing w:val="-4"/>
        </w:rPr>
        <w:t>2013</w:t>
      </w:r>
      <w:r>
        <w:rPr>
          <w:spacing w:val="-4"/>
        </w:rPr>
        <w:t>年度分配预案为：以</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413,848,300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0.35</w:t>
      </w:r>
      <w:r>
        <w:rPr/>
        <w:t>元人民币（含税），合计派发现金 </w:t>
      </w:r>
      <w:r>
        <w:rPr>
          <w:rFonts w:ascii="Times New Roman" w:hAnsi="Times New Roman" w:cs="Times New Roman" w:eastAsia="Times New Roman" w:hint="default"/>
        </w:rPr>
        <w:t>14,484,690.5</w:t>
      </w:r>
      <w:r>
        <w:rPr/>
        <w:t>元</w:t>
      </w:r>
      <w:r>
        <w:rPr>
          <w:rFonts w:ascii="Times New Roman" w:hAnsi="Times New Roman" w:cs="Times New Roman" w:eastAsia="Times New Roman" w:hint="default"/>
        </w:rPr>
        <w:t>,</w:t>
      </w:r>
      <w:r>
        <w:rPr/>
        <w:t>不送红股，不以公积金转增股本。</w:t>
      </w:r>
    </w:p>
    <w:p>
      <w:pPr>
        <w:pStyle w:val="BodyText"/>
        <w:spacing w:line="300" w:lineRule="auto" w:before="13"/>
        <w:ind w:right="1118"/>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6</w:t>
      </w:r>
      <w:r>
        <w:rPr>
          <w:spacing w:val="-4"/>
        </w:rPr>
        <w:t>日</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2012</w:t>
      </w:r>
      <w:r>
        <w:rPr>
          <w:spacing w:val="-4"/>
        </w:rPr>
        <w:t>年度股东大会审议通过了《关于公司</w:t>
      </w:r>
      <w:r>
        <w:rPr>
          <w:rFonts w:ascii="Times New Roman" w:hAnsi="Times New Roman" w:cs="Times New Roman" w:eastAsia="Times New Roman" w:hint="default"/>
          <w:spacing w:val="-4"/>
        </w:rPr>
        <w:t>2012</w:t>
      </w:r>
      <w:r>
        <w:rPr>
          <w:spacing w:val="-4"/>
        </w:rPr>
        <w:t>年度利润分配的预案》，</w:t>
      </w:r>
      <w:r>
        <w:rPr>
          <w:rFonts w:ascii="Times New Roman" w:hAnsi="Times New Roman" w:cs="Times New Roman" w:eastAsia="Times New Roman" w:hint="default"/>
          <w:spacing w:val="-4"/>
        </w:rPr>
        <w:t>2012</w:t>
      </w:r>
      <w:r>
        <w:rPr>
          <w:spacing w:val="-4"/>
        </w:rPr>
        <w:t>年度分配预案为：以</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spacing w:val="-40"/>
        </w:rPr>
        <w:t> </w:t>
      </w:r>
      <w:r>
        <w:rPr>
          <w:rFonts w:ascii="Times New Roman" w:hAnsi="Times New Roman" w:cs="Times New Roman" w:eastAsia="Times New Roman" w:hint="default"/>
        </w:rPr>
        <w:t>408,869,000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w:t>
      </w:r>
      <w:r>
        <w:rPr/>
        <w:t>元（含税），共计派发现金</w:t>
      </w:r>
      <w:r>
        <w:rPr>
          <w:rFonts w:ascii="Times New Roman" w:hAnsi="Times New Roman" w:cs="Times New Roman" w:eastAsia="Times New Roman" w:hint="default"/>
        </w:rPr>
        <w:t>8,177,380</w:t>
      </w:r>
      <w:r>
        <w:rPr/>
        <w:t>元。</w:t>
      </w:r>
      <w:r>
        <w:rPr>
          <w:rFonts w:ascii="Times New Roman" w:hAnsi="Times New Roman" w:cs="Times New Roman" w:eastAsia="Times New Roman" w:hint="default"/>
        </w:rPr>
        <w:t>2012 </w:t>
      </w:r>
      <w:r>
        <w:rPr/>
        <w:t>年度不派送红股、不进行公积金转增股本。因公司股权激励第一期第一次行权增加股份</w:t>
      </w:r>
      <w:r>
        <w:rPr>
          <w:rFonts w:ascii="Times New Roman" w:hAnsi="Times New Roman" w:cs="Times New Roman" w:eastAsia="Times New Roman" w:hint="default"/>
        </w:rPr>
        <w:t>4,979,300</w:t>
      </w:r>
      <w:r>
        <w:rPr/>
        <w:t>股己于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日经中 </w:t>
      </w:r>
      <w:r>
        <w:rPr>
          <w:spacing w:val="-2"/>
        </w:rPr>
        <w:t>国证券登记结算有限责任公司深圳分公司核准登记，公司总股本己变更为</w:t>
      </w:r>
      <w:r>
        <w:rPr>
          <w:rFonts w:ascii="Times New Roman" w:hAnsi="Times New Roman" w:cs="Times New Roman" w:eastAsia="Times New Roman" w:hint="default"/>
          <w:spacing w:val="-2"/>
        </w:rPr>
        <w:t>413,848,300</w:t>
      </w:r>
      <w:r>
        <w:rPr>
          <w:spacing w:val="-2"/>
        </w:rPr>
        <w:t>股。根据深圳交易所中小企业板信息披</w:t>
      </w:r>
      <w:r>
        <w:rPr>
          <w:spacing w:val="-53"/>
        </w:rPr>
        <w:t> </w:t>
      </w:r>
      <w:r>
        <w:rPr>
          <w:spacing w:val="-53"/>
        </w:rPr>
      </w:r>
      <w:r>
        <w:rPr/>
        <w:t>露业务备忘录第</w:t>
      </w:r>
      <w:r>
        <w:rPr>
          <w:rFonts w:ascii="Times New Roman" w:hAnsi="Times New Roman" w:cs="Times New Roman" w:eastAsia="Times New Roman" w:hint="default"/>
        </w:rPr>
        <w:t>33</w:t>
      </w:r>
      <w:r>
        <w:rPr/>
        <w:t>号第十三条的规定，按照</w:t>
      </w:r>
      <w:r>
        <w:rPr>
          <w:rFonts w:ascii="Times New Roman" w:hAnsi="Times New Roman" w:cs="Times New Roman" w:eastAsia="Times New Roman" w:hint="default"/>
        </w:rPr>
        <w:t>“</w:t>
      </w:r>
      <w:r>
        <w:rPr/>
        <w:t>现金分红金额、送红股金额、转增股本金额固定不变</w:t>
      </w:r>
      <w:r>
        <w:rPr>
          <w:rFonts w:ascii="Times New Roman" w:hAnsi="Times New Roman" w:cs="Times New Roman" w:eastAsia="Times New Roman" w:hint="default"/>
        </w:rPr>
        <w:t>”</w:t>
      </w:r>
      <w:r>
        <w:rPr/>
        <w:t>的原则，故派发现金 </w:t>
      </w:r>
      <w:r>
        <w:rPr>
          <w:rFonts w:ascii="Times New Roman" w:hAnsi="Times New Roman" w:cs="Times New Roman" w:eastAsia="Times New Roman" w:hint="default"/>
        </w:rPr>
        <w:t>8,177,380</w:t>
      </w:r>
      <w:r>
        <w:rPr/>
        <w:t>元不变，所以公司</w:t>
      </w:r>
      <w:r>
        <w:rPr>
          <w:rFonts w:ascii="Times New Roman" w:hAnsi="Times New Roman" w:cs="Times New Roman" w:eastAsia="Times New Roman" w:hint="default"/>
        </w:rPr>
        <w:t>2012</w:t>
      </w:r>
      <w:r>
        <w:rPr/>
        <w:t>年度权益分派方案变化为：以公司现有总股本</w:t>
      </w:r>
      <w:r>
        <w:rPr>
          <w:rFonts w:ascii="Times New Roman" w:hAnsi="Times New Roman" w:cs="Times New Roman" w:eastAsia="Times New Roman" w:hint="default"/>
        </w:rPr>
        <w:t>413,848,300</w:t>
      </w:r>
      <w:r>
        <w:rPr/>
        <w:t>股为基数，向全体股东每</w:t>
      </w:r>
      <w:r>
        <w:rPr>
          <w:rFonts w:ascii="Times New Roman" w:hAnsi="Times New Roman" w:cs="Times New Roman" w:eastAsia="Times New Roman" w:hint="default"/>
        </w:rPr>
        <w:t>10</w:t>
      </w:r>
      <w:r>
        <w:rPr/>
        <w:t>股派</w:t>
      </w:r>
    </w:p>
    <w:p>
      <w:pPr>
        <w:pStyle w:val="BodyText"/>
        <w:spacing w:line="340" w:lineRule="auto" w:before="13"/>
        <w:ind w:right="8098"/>
        <w:jc w:val="left"/>
      </w:pPr>
      <w:r>
        <w:rPr>
          <w:rFonts w:ascii="Times New Roman" w:hAnsi="Times New Roman" w:cs="Times New Roman" w:eastAsia="Times New Roman" w:hint="default"/>
        </w:rPr>
        <w:t>0.197593</w:t>
      </w:r>
      <w:r>
        <w:rPr/>
        <w:t>元人民币现金（含税）。 公司近三年现金分红情况表</w:t>
      </w:r>
    </w:p>
    <w:p>
      <w:pPr>
        <w:pStyle w:val="BodyText"/>
        <w:spacing w:line="240" w:lineRule="auto" w:before="41"/>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2"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14,998,539.05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14,484,690.50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87,486,738.75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8,177,380.00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95,341,859.82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十四、本报告期利润分配及资本公积金转增股本预案" w:id="53"/>
      <w:bookmarkEnd w:id="53"/>
      <w:r>
        <w:rPr>
          <w:b w:val="0"/>
          <w:bCs w:val="0"/>
        </w:rPr>
      </w:r>
      <w:r>
        <w:rPr/>
        <w:t>十四、本报告期利润分配及资本公积金转增股本预案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五、社会责任情况" w:id="54"/>
      <w:bookmarkEnd w:id="54"/>
      <w:r>
        <w:rPr>
          <w:b w:val="0"/>
          <w:bCs w:val="0"/>
        </w:rPr>
      </w:r>
      <w:r>
        <w:rPr/>
        <w:t>十五、社会责任情况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1"/>
        <w:ind w:right="0"/>
        <w:jc w:val="left"/>
      </w:pPr>
      <w:r>
        <w:rPr>
          <w:spacing w:val="-2"/>
        </w:rPr>
        <w:t>（一）公司以人为本，把人才战略作为企业发展的重点，严格遵守《劳动法》、《劳动合同法》、《妇女权益保护法》等相</w:t>
      </w:r>
      <w:r>
        <w:rPr>
          <w:spacing w:val="-70"/>
        </w:rPr>
        <w:t> </w:t>
      </w:r>
      <w:r>
        <w:rPr>
          <w:spacing w:val="-70"/>
        </w:rPr>
      </w:r>
      <w:r>
        <w:rPr/>
        <w:t>关法律法规，尊重和维护员工的个人权益，切实关注员工健康、安全和满意度。</w:t>
      </w:r>
    </w:p>
    <w:p>
      <w:pPr>
        <w:pStyle w:val="BodyText"/>
        <w:spacing w:line="316" w:lineRule="auto" w:before="17"/>
        <w:ind w:right="1068" w:firstLine="145"/>
        <w:jc w:val="left"/>
      </w:pPr>
      <w:r>
        <w:rPr/>
        <w:t>公司重视人才培养，通过为员工提供职业生涯规划，鼓励在职教育，加强内部职业素质提升培训等员工发展与深造计划， 提升员工素质，实现员工与企业的共同成长。</w:t>
      </w:r>
    </w:p>
    <w:p>
      <w:pPr>
        <w:pStyle w:val="BodyText"/>
        <w:spacing w:line="316" w:lineRule="auto" w:before="19"/>
        <w:ind w:right="1121" w:firstLine="145"/>
        <w:jc w:val="left"/>
      </w:pPr>
      <w:r>
        <w:rPr>
          <w:spacing w:val="-1"/>
        </w:rPr>
        <w:t>公司严格遵守《劳动法》等法律法规的规定，与所有员工签订规范的《劳动合同》，为职工缴纳基本养老保险、基本医疗</w:t>
      </w:r>
      <w:r>
        <w:rPr/>
        <w:t> 保险、工伤保险、失业保险、生育保险等五大社会保险和住房公积金。</w:t>
      </w:r>
    </w:p>
    <w:p>
      <w:pPr>
        <w:pStyle w:val="BodyText"/>
        <w:spacing w:line="316" w:lineRule="auto" w:before="19"/>
        <w:ind w:right="1033"/>
        <w:jc w:val="left"/>
      </w:pPr>
      <w:r>
        <w:rPr/>
        <w:t>（二）公司高度重视环境保护工作，将环境保护作为一项重要工作来抓，将环境保护、节能减排工作纳入了重要议事日程。 公司严格按照有关环保法规及相应标准对废水、废渣进行有效综合治理，多年来积极投入践行企业环保责任。</w:t>
      </w:r>
    </w:p>
    <w:p>
      <w:pPr>
        <w:pStyle w:val="BodyText"/>
        <w:spacing w:line="316" w:lineRule="auto" w:before="19"/>
        <w:ind w:right="1035"/>
        <w:jc w:val="left"/>
      </w:pPr>
      <w:r>
        <w:rPr/>
        <w:t>（三）</w:t>
      </w:r>
      <w:r>
        <w:rPr>
          <w:spacing w:val="-45"/>
        </w:rPr>
        <w:t> </w:t>
      </w:r>
      <w:r>
        <w:rPr>
          <w:spacing w:val="-1"/>
        </w:rPr>
        <w:t>公司注重社会价值的创造，</w:t>
      </w:r>
      <w:r>
        <w:rPr>
          <w:spacing w:val="-47"/>
        </w:rPr>
        <w:t> </w:t>
      </w:r>
      <w:r>
        <w:rPr>
          <w:spacing w:val="-2"/>
        </w:rPr>
        <w:t>自觉把履行社会责任的重点放在积极参加社会公益活动上，积极投身社会公益慈善事业，</w:t>
      </w:r>
      <w:r>
        <w:rPr>
          <w:spacing w:val="-84"/>
        </w:rPr>
        <w:t> </w:t>
      </w:r>
      <w:r>
        <w:rPr>
          <w:spacing w:val="-84"/>
        </w:rPr>
      </w:r>
      <w:r>
        <w:rPr/>
        <w:t>努力创造和谐公共关系。</w:t>
      </w:r>
    </w:p>
    <w:p>
      <w:pPr>
        <w:pStyle w:val="BodyText"/>
        <w:spacing w:line="240" w:lineRule="auto" w:before="59"/>
        <w:ind w:right="0"/>
        <w:jc w:val="left"/>
      </w:pPr>
      <w:r>
        <w:rPr/>
        <w:t>上市公司及其子公司是否属于国家环境保护部门规定的重污染行业</w:t>
      </w:r>
    </w:p>
    <w:p>
      <w:pPr>
        <w:pStyle w:val="BodyText"/>
        <w:spacing w:line="338" w:lineRule="auto" w:before="117"/>
        <w:ind w:left="154"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3"/>
        <w:ind w:left="154" w:right="8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2"/>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3"/>
        <w:spacing w:line="240" w:lineRule="auto"/>
        <w:ind w:left="154" w:right="0"/>
        <w:jc w:val="left"/>
        <w:rPr>
          <w:b w:val="0"/>
          <w:bCs w:val="0"/>
        </w:rPr>
      </w:pPr>
      <w:bookmarkStart w:name="十六、报告期内接待调研、沟通、采访等活动登记表" w:id="55"/>
      <w:bookmarkEnd w:id="55"/>
      <w:r>
        <w:rPr>
          <w:b w:val="0"/>
          <w:bCs w:val="0"/>
        </w:rPr>
      </w:r>
      <w:r>
        <w:rPr/>
        <w:t>十六、报告期内接待调研、沟通、采访等活动登记表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468" w:lineRule="exact"/>
        <w:ind w:left="7642"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03.9pt;height:23.4pt;mso-position-horizontal-relative:char;mso-position-vertical-relative:line" coordorigin="0,0" coordsize="2078,468">
            <v:group style="position:absolute;left:0;top:0;width:2078;height:468" coordorigin="0,0" coordsize="2078,468">
              <v:shape style="position:absolute;left:0;top:0;width:2078;height:468" coordorigin="0,0" coordsize="2078,468" path="m0,468l2077,468,2077,0,0,0,0,468xe" filled="true" fillcolor="#ffffff" stroked="false">
                <v:path arrowok="t"/>
                <v:fill type="solid"/>
              </v:shape>
            </v:group>
          </v:group>
        </w:pict>
      </w:r>
      <w:r>
        <w:rPr>
          <w:rFonts w:ascii="宋体" w:hAnsi="宋体" w:cs="宋体" w:eastAsia="宋体" w:hint="default"/>
          <w:position w:val="-8"/>
          <w:sz w:val="20"/>
          <w:szCs w:val="20"/>
        </w:rPr>
      </w:r>
    </w:p>
    <w:p>
      <w:pPr>
        <w:pStyle w:val="BodyText"/>
        <w:spacing w:line="240" w:lineRule="auto" w:before="51"/>
        <w:ind w:left="0" w:right="1139"/>
        <w:jc w:val="right"/>
      </w:pPr>
      <w:r>
        <w:rPr/>
        <w:pict>
          <v:shape style="position:absolute;margin-left:397.963013pt;margin-top:-23.418295pt;width:137pt;height:23.4pt;mso-position-horizontal-relative:page;mso-position-vertical-relative:paragraph;z-index:-852544" type="#_x0000_t202" filled="false" stroked="false">
            <v:textbox inset="0,0,0,0">
              <w:txbxContent>
                <w:p>
                  <w:pPr>
                    <w:pStyle w:val="BodyText"/>
                    <w:spacing w:line="240" w:lineRule="auto" w:before="51"/>
                    <w:ind w:left="0" w:right="0"/>
                    <w:jc w:val="left"/>
                  </w:pPr>
                  <w:r>
                    <w:rPr/>
                    <w:t>马仁辉、</w:t>
                  </w:r>
                </w:p>
              </w:txbxContent>
            </v:textbox>
            <w10:wrap type="none"/>
          </v:shape>
        </w:pict>
      </w:r>
      <w:r>
        <w:rPr/>
        <w:pict>
          <v:shape style="position:absolute;margin-left:56.459999pt;margin-top:-59.598293pt;width:479.25pt;height:154.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国金证券、 追电投资、中信建 投、睿亿投资、江 苏高科技、德睿恒 丰</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3"/>
                          <w:jc w:val="left"/>
                          <w:rPr>
                            <w:rFonts w:ascii="宋体" w:hAnsi="宋体" w:cs="宋体" w:eastAsia="宋体" w:hint="default"/>
                            <w:sz w:val="18"/>
                            <w:szCs w:val="18"/>
                          </w:rPr>
                        </w:pPr>
                        <w:r>
                          <w:rPr>
                            <w:rFonts w:ascii="宋体" w:hAnsi="宋体" w:cs="宋体" w:eastAsia="宋体" w:hint="default"/>
                            <w:spacing w:val="-4"/>
                            <w:sz w:val="18"/>
                            <w:szCs w:val="18"/>
                          </w:rPr>
                          <w:t>公司基本情况、发展趋势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行业状况等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浙商证券、工银瑞 信</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pacing w:val="-4"/>
                            <w:sz w:val="18"/>
                            <w:szCs w:val="18"/>
                          </w:rPr>
                          <w:t>公司基本情况、发展趋势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行业状况等</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317.619995pt;margin-top:634.119995pt;width:43.05pt;height:126.8pt;mso-position-horizontal-relative:page;mso-position-vertical-relative:page;z-index:-852496" coordorigin="6352,12682" coordsize="861,2536">
            <v:group style="position:absolute;left:6352;top:12682;width:861;height:1072" coordorigin="6352,12682" coordsize="861,1072">
              <v:shape style="position:absolute;left:6352;top:12682;width:861;height:1072" coordorigin="6352,12682" coordsize="861,1072" path="m6352,13754l7213,13754,7213,12682,6352,12682,6352,13754xe" filled="true" fillcolor="#ffffff" stroked="false">
                <v:path arrowok="t"/>
                <v:fill type="solid"/>
              </v:shape>
            </v:group>
            <v:group style="position:absolute;left:6364;top:13754;width:2;height:393" coordorigin="6364,13754" coordsize="2,393">
              <v:shape style="position:absolute;left:6364;top:13754;width:2;height:393" coordorigin="6364,13754" coordsize="0,393" path="m6364,13754l6364,14147e" filled="false" stroked="true" strokeweight="1.140pt" strokecolor="#ffffff">
                <v:path arrowok="t"/>
              </v:shape>
            </v:group>
            <v:group style="position:absolute;left:6352;top:14147;width:861;height:1072" coordorigin="6352,14147" coordsize="861,1072">
              <v:shape style="position:absolute;left:6352;top:14147;width:861;height:1072" coordorigin="6352,14147" coordsize="861,1072" path="m6352,15218l7213,15218,7213,14147,6352,14147,6352,15218xe" filled="true" fillcolor="#ffffff" stroked="false">
                <v:path arrowok="t"/>
                <v:fill type="solid"/>
              </v:shape>
            </v:group>
            <v:group style="position:absolute;left:6375;top:13754;width:815;height:393" coordorigin="6375,13754" coordsize="815,393">
              <v:shape style="position:absolute;left:6375;top:13754;width:815;height:393" coordorigin="6375,13754" coordsize="815,393" path="m6375,14147l7190,14147,7190,13754,6375,13754,6375,14147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_TOC_250007" w:id="56"/>
      <w:bookmarkStart w:name="第五节 重要事项" w:id="57"/>
      <w:r>
        <w:rPr>
          <w:b w:val="0"/>
          <w:bCs w:val="0"/>
        </w:rPr>
      </w:r>
      <w:r>
        <w:rPr/>
        <w:t>第五节</w:t>
      </w:r>
      <w:r>
        <w:rPr>
          <w:spacing w:val="-5"/>
        </w:rPr>
        <w:t> </w:t>
      </w:r>
      <w:r>
        <w:rPr/>
        <w:t>重要事项</w:t>
      </w:r>
      <w:bookmarkEnd w:id="5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重大诉讼仲裁事项" w:id="58"/>
      <w:bookmarkEnd w:id="58"/>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二、媒体质疑情况" w:id="59"/>
      <w:bookmarkEnd w:id="59"/>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三、控股股东及其关联方对上市公司的非经营性占用资金情况" w:id="60"/>
      <w:bookmarkEnd w:id="60"/>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四、破产重整相关事项" w:id="61"/>
      <w:bookmarkEnd w:id="61"/>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五、资产交易事项" w:id="62"/>
      <w:bookmarkEnd w:id="62"/>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收购资产情况" w:id="63"/>
      <w:bookmarkEnd w:id="63"/>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天津市泰 达工程设 计有限公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00"/>
              <w:jc w:val="both"/>
              <w:rPr>
                <w:rFonts w:ascii="宋体" w:hAnsi="宋体" w:cs="宋体" w:eastAsia="宋体" w:hint="default"/>
                <w:sz w:val="18"/>
                <w:szCs w:val="18"/>
              </w:rPr>
            </w:pPr>
            <w:r>
              <w:rPr>
                <w:rFonts w:ascii="宋体" w:hAnsi="宋体" w:cs="宋体" w:eastAsia="宋体" w:hint="default"/>
                <w:sz w:val="18"/>
                <w:szCs w:val="18"/>
              </w:rPr>
              <w:t>天津市泰 达工程设 计有限公 司</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65.7380%</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11,286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所涉及股 权全部过 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公司将形 成提供以 </w:t>
            </w:r>
            <w:r>
              <w:rPr>
                <w:rFonts w:ascii="宋体" w:hAnsi="宋体" w:cs="宋体" w:eastAsia="宋体" w:hint="default"/>
                <w:spacing w:val="-18"/>
                <w:sz w:val="18"/>
                <w:szCs w:val="18"/>
              </w:rPr>
              <w:t>设计、输配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电设备制 造、元器 </w:t>
            </w:r>
            <w:r>
              <w:rPr>
                <w:rFonts w:ascii="宋体" w:hAnsi="宋体" w:cs="宋体" w:eastAsia="宋体" w:hint="default"/>
                <w:spacing w:val="-18"/>
                <w:sz w:val="18"/>
                <w:szCs w:val="18"/>
              </w:rPr>
              <w:t>件、安装等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电力服务 一揽子解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不涉及大 规模的存 货采购和 资金垫付 净利润率 净资产收 益率水平 </w:t>
            </w:r>
            <w:r>
              <w:rPr>
                <w:rFonts w:ascii="宋体" w:hAnsi="宋体" w:cs="宋体" w:eastAsia="宋体" w:hint="default"/>
                <w:spacing w:val="-18"/>
                <w:sz w:val="18"/>
                <w:szCs w:val="18"/>
              </w:rPr>
              <w:t>更高，现金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《中国证 </w:t>
            </w:r>
            <w:r>
              <w:rPr>
                <w:rFonts w:ascii="宋体" w:hAnsi="宋体" w:cs="宋体" w:eastAsia="宋体" w:hint="default"/>
                <w:spacing w:val="-45"/>
                <w:sz w:val="18"/>
                <w:szCs w:val="18"/>
              </w:rPr>
              <w:t>券报》、《上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海证券 </w:t>
            </w:r>
            <w:r>
              <w:rPr>
                <w:rFonts w:ascii="宋体" w:hAnsi="宋体" w:cs="宋体" w:eastAsia="宋体" w:hint="default"/>
                <w:spacing w:val="-45"/>
                <w:sz w:val="18"/>
                <w:szCs w:val="18"/>
              </w:rPr>
              <w:t>报》、《证券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时报》和巨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潮资讯网</w:t>
            </w:r>
          </w:p>
          <w:p>
            <w:pPr>
              <w:pStyle w:val="TableParagraph"/>
              <w:spacing w:line="338" w:lineRule="auto" w:before="19"/>
              <w:ind w:left="22"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ww.cninfo.</w:t>
            </w:r>
          </w:p>
        </w:tc>
      </w:tr>
    </w:tbl>
    <w:p>
      <w:pPr>
        <w:spacing w:after="0" w:line="338"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84"/>
      </w:tblGrid>
      <w:tr>
        <w:trPr>
          <w:trHeight w:val="986"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7"/>
              <w:jc w:val="left"/>
              <w:rPr>
                <w:rFonts w:ascii="宋体" w:hAnsi="宋体" w:cs="宋体" w:eastAsia="宋体" w:hint="default"/>
                <w:sz w:val="18"/>
                <w:szCs w:val="18"/>
              </w:rPr>
            </w:pPr>
            <w:r>
              <w:rPr>
                <w:rFonts w:ascii="宋体" w:hAnsi="宋体" w:cs="宋体" w:eastAsia="宋体" w:hint="default"/>
                <w:sz w:val="18"/>
                <w:szCs w:val="18"/>
              </w:rPr>
              <w:t>决方案的 服务商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4"/>
              <w:jc w:val="left"/>
              <w:rPr>
                <w:rFonts w:ascii="宋体" w:hAnsi="宋体" w:cs="宋体" w:eastAsia="宋体" w:hint="default"/>
                <w:sz w:val="18"/>
                <w:szCs w:val="18"/>
              </w:rPr>
            </w:pPr>
            <w:r>
              <w:rPr>
                <w:rFonts w:ascii="宋体" w:hAnsi="宋体" w:cs="宋体" w:eastAsia="宋体" w:hint="default"/>
                <w:sz w:val="18"/>
                <w:szCs w:val="18"/>
              </w:rPr>
              <w:t>流更为健 康</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9"/>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com.cn</w:t>
            </w:r>
            <w:r>
              <w:rPr>
                <w:rFonts w:ascii="宋体" w:hAnsi="宋体" w:cs="宋体" w:eastAsia="宋体" w:hint="default"/>
                <w:spacing w:val="-18"/>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2014-031</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出售资产情况" w:id="64"/>
      <w:bookmarkEnd w:id="64"/>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企业合并情况" w:id="65"/>
      <w:bookmarkEnd w:id="65"/>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六、公司股权激励的实施情况及其影响" w:id="66"/>
      <w:bookmarkEnd w:id="66"/>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99" w:right="1157" w:hanging="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一、</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日，公司第六届董事会第五次会议审议通过了《关于股票期权首次授予第二个行权期及预留期权第一个</w:t>
      </w:r>
    </w:p>
    <w:p>
      <w:pPr>
        <w:pStyle w:val="BodyText"/>
        <w:spacing w:line="217" w:lineRule="exact"/>
        <w:ind w:right="0"/>
        <w:jc w:val="left"/>
      </w:pPr>
      <w:r>
        <w:rPr/>
        <w:t>行权期激励对象调整的议案》、《关于股票期权激励计划首次授予第二个行权期及预留期权第一个行权期可行权的议案》。</w:t>
      </w:r>
    </w:p>
    <w:p>
      <w:pPr>
        <w:pStyle w:val="BodyText"/>
        <w:spacing w:line="300" w:lineRule="auto" w:before="76"/>
        <w:ind w:left="444" w:right="1126" w:hanging="74"/>
        <w:jc w:val="left"/>
      </w:pPr>
      <w:r>
        <w:rPr>
          <w:rFonts w:ascii="Times New Roman" w:hAnsi="Times New Roman" w:cs="Times New Roman" w:eastAsia="Times New Roman" w:hint="default"/>
        </w:rPr>
        <w:t>1</w:t>
      </w:r>
      <w:r>
        <w:rPr/>
        <w:t>、首次授予第二个行权期 </w:t>
      </w:r>
      <w:r>
        <w:rPr>
          <w:spacing w:val="-1"/>
        </w:rPr>
        <w:t>根据公司《股票期权激励计划（修订稿）》的相关规定，首次授予中层管理人员及核心技术</w:t>
      </w:r>
      <w:r>
        <w:rPr>
          <w:rFonts w:ascii="Times New Roman" w:hAnsi="Times New Roman" w:cs="Times New Roman" w:eastAsia="Times New Roman" w:hint="default"/>
          <w:spacing w:val="-1"/>
        </w:rPr>
        <w:t>(</w:t>
      </w:r>
      <w:r>
        <w:rPr>
          <w:spacing w:val="-1"/>
        </w:rPr>
        <w:t>业务</w:t>
      </w:r>
      <w:r>
        <w:rPr>
          <w:rFonts w:ascii="Times New Roman" w:hAnsi="Times New Roman" w:cs="Times New Roman" w:eastAsia="Times New Roman" w:hint="default"/>
          <w:spacing w:val="-1"/>
        </w:rPr>
        <w:t>)</w:t>
      </w:r>
      <w:r>
        <w:rPr>
          <w:spacing w:val="-1"/>
        </w:rPr>
        <w:t>人员中有</w:t>
      </w:r>
      <w:r>
        <w:rPr>
          <w:rFonts w:ascii="Times New Roman" w:hAnsi="Times New Roman" w:cs="Times New Roman" w:eastAsia="Times New Roman" w:hint="default"/>
          <w:spacing w:val="-1"/>
        </w:rPr>
        <w:t>7</w:t>
      </w:r>
      <w:r>
        <w:rPr>
          <w:spacing w:val="-1"/>
        </w:rPr>
        <w:t>名激励对象</w:t>
      </w:r>
    </w:p>
    <w:p>
      <w:pPr>
        <w:pStyle w:val="BodyText"/>
        <w:spacing w:line="300" w:lineRule="auto" w:before="13"/>
        <w:ind w:right="0"/>
        <w:jc w:val="left"/>
      </w:pPr>
      <w:r>
        <w:rPr>
          <w:spacing w:val="-1"/>
        </w:rPr>
        <w:t>因工作变动，不具备激励对象的资格。故激励对象由</w:t>
      </w:r>
      <w:r>
        <w:rPr>
          <w:rFonts w:ascii="Times New Roman" w:hAnsi="Times New Roman" w:cs="Times New Roman" w:eastAsia="Times New Roman" w:hint="default"/>
          <w:spacing w:val="-1"/>
        </w:rPr>
        <w:t>127</w:t>
      </w:r>
      <w:r>
        <w:rPr>
          <w:spacing w:val="-1"/>
        </w:rPr>
        <w:t>人调整为</w:t>
      </w:r>
      <w:r>
        <w:rPr>
          <w:rFonts w:ascii="Times New Roman" w:hAnsi="Times New Roman" w:cs="Times New Roman" w:eastAsia="Times New Roman" w:hint="default"/>
          <w:spacing w:val="-1"/>
        </w:rPr>
        <w:t>120</w:t>
      </w:r>
      <w:r>
        <w:rPr>
          <w:spacing w:val="-1"/>
        </w:rPr>
        <w:t>人，对应第二个行权期可行权数量</w:t>
      </w:r>
      <w:r>
        <w:rPr>
          <w:rFonts w:ascii="Times New Roman" w:hAnsi="Times New Roman" w:cs="Times New Roman" w:eastAsia="Times New Roman" w:hint="default"/>
          <w:spacing w:val="-1"/>
        </w:rPr>
        <w:t>13.2</w:t>
      </w:r>
      <w:r>
        <w:rPr>
          <w:spacing w:val="-1"/>
        </w:rPr>
        <w:t>万份期权予以注</w:t>
      </w:r>
      <w:r>
        <w:rPr>
          <w:spacing w:val="-72"/>
        </w:rPr>
        <w:t> </w:t>
      </w:r>
      <w:r>
        <w:rPr>
          <w:spacing w:val="-72"/>
        </w:rPr>
      </w:r>
      <w:r>
        <w:rPr/>
        <w:t>销，调整后的第二个行权期可行权数量为</w:t>
      </w:r>
      <w:r>
        <w:rPr>
          <w:rFonts w:ascii="Times New Roman" w:hAnsi="Times New Roman" w:cs="Times New Roman" w:eastAsia="Times New Roman" w:hint="default"/>
        </w:rPr>
        <w:t>751.2</w:t>
      </w:r>
      <w:r>
        <w:rPr/>
        <w:t>万份。</w:t>
      </w:r>
    </w:p>
    <w:p>
      <w:pPr>
        <w:pStyle w:val="BodyText"/>
        <w:spacing w:line="300" w:lineRule="auto" w:before="13"/>
        <w:ind w:left="444" w:right="1192" w:firstLine="69"/>
        <w:jc w:val="left"/>
      </w:pPr>
      <w:r>
        <w:rPr>
          <w:rFonts w:ascii="Times New Roman" w:hAnsi="Times New Roman" w:cs="Times New Roman" w:eastAsia="Times New Roman" w:hint="default"/>
        </w:rPr>
        <w:t>2</w:t>
      </w:r>
      <w:r>
        <w:rPr/>
        <w:t>、预留期权第一个行权期 根据公司《股票期权激励计划（修订稿）》的相关规定，预留期权中有</w:t>
      </w:r>
      <w:r>
        <w:rPr>
          <w:rFonts w:ascii="Times New Roman" w:hAnsi="Times New Roman" w:cs="Times New Roman" w:eastAsia="Times New Roman" w:hint="default"/>
        </w:rPr>
        <w:t>3</w:t>
      </w:r>
      <w:r>
        <w:rPr/>
        <w:t>名激励因工作变动，不具备激励对象的资格，</w:t>
      </w:r>
    </w:p>
    <w:p>
      <w:pPr>
        <w:pStyle w:val="BodyText"/>
        <w:spacing w:line="300" w:lineRule="auto" w:before="13"/>
        <w:ind w:right="1118"/>
        <w:jc w:val="left"/>
      </w:pPr>
      <w:r>
        <w:rPr>
          <w:spacing w:val="-2"/>
        </w:rPr>
        <w:t>故激励对象由</w:t>
      </w:r>
      <w:r>
        <w:rPr>
          <w:rFonts w:ascii="Times New Roman" w:hAnsi="Times New Roman" w:cs="Times New Roman" w:eastAsia="Times New Roman" w:hint="default"/>
          <w:spacing w:val="-2"/>
        </w:rPr>
        <w:t>30</w:t>
      </w:r>
      <w:r>
        <w:rPr>
          <w:spacing w:val="-2"/>
        </w:rPr>
        <w:t>人调整为</w:t>
      </w:r>
      <w:r>
        <w:rPr>
          <w:rFonts w:ascii="Times New Roman" w:hAnsi="Times New Roman" w:cs="Times New Roman" w:eastAsia="Times New Roman" w:hint="default"/>
          <w:spacing w:val="-2"/>
        </w:rPr>
        <w:t>27</w:t>
      </w:r>
      <w:r>
        <w:rPr>
          <w:spacing w:val="-2"/>
        </w:rPr>
        <w:t>人，对应第一个行权期可行权数量</w:t>
      </w:r>
      <w:r>
        <w:rPr>
          <w:rFonts w:ascii="Times New Roman" w:hAnsi="Times New Roman" w:cs="Times New Roman" w:eastAsia="Times New Roman" w:hint="default"/>
          <w:spacing w:val="-2"/>
        </w:rPr>
        <w:t>33</w:t>
      </w:r>
      <w:r>
        <w:rPr>
          <w:spacing w:val="-2"/>
        </w:rPr>
        <w:t>万份期权予以注销，调整后的第一个行权期可行权数量为</w:t>
      </w:r>
      <w:r>
        <w:rPr>
          <w:rFonts w:ascii="Times New Roman" w:hAnsi="Times New Roman" w:cs="Times New Roman" w:eastAsia="Times New Roman" w:hint="default"/>
          <w:spacing w:val="-2"/>
        </w:rPr>
        <w:t>67</w:t>
      </w:r>
      <w:r>
        <w:rPr>
          <w:rFonts w:ascii="Times New Roman" w:hAnsi="Times New Roman" w:cs="Times New Roman" w:eastAsia="Times New Roman" w:hint="default"/>
          <w:spacing w:val="-11"/>
        </w:rPr>
        <w:t> </w:t>
      </w:r>
      <w:r>
        <w:rPr/>
        <w:t>万份。</w:t>
      </w:r>
    </w:p>
    <w:p>
      <w:pPr>
        <w:pStyle w:val="BodyText"/>
        <w:spacing w:line="304" w:lineRule="auto" w:before="31"/>
        <w:ind w:right="0" w:firstLine="290"/>
        <w:jc w:val="left"/>
      </w:pPr>
      <w:r>
        <w:rPr/>
        <w:t>同时，董事会认为公司及激励对象己满足《股票股权激励计划（修订稿）》设定的首次授予第二个行权期及预留期权第 一个行权期行权条件，合计</w:t>
      </w:r>
      <w:r>
        <w:rPr>
          <w:rFonts w:ascii="Times New Roman" w:hAnsi="Times New Roman" w:cs="Times New Roman" w:eastAsia="Times New Roman" w:hint="default"/>
        </w:rPr>
        <w:t>147</w:t>
      </w:r>
      <w:r>
        <w:rPr/>
        <w:t>名激励对象可在公司自首次自授权日起</w:t>
      </w:r>
      <w:r>
        <w:rPr>
          <w:rFonts w:ascii="Times New Roman" w:hAnsi="Times New Roman" w:cs="Times New Roman" w:eastAsia="Times New Roman" w:hint="default"/>
        </w:rPr>
        <w:t>30</w:t>
      </w:r>
      <w:r>
        <w:rPr/>
        <w:t>个月后的首个交易日起至首次授予日起</w:t>
      </w:r>
      <w:r>
        <w:rPr>
          <w:rFonts w:ascii="Times New Roman" w:hAnsi="Times New Roman" w:cs="Times New Roman" w:eastAsia="Times New Roman" w:hint="default"/>
        </w:rPr>
        <w:t>48</w:t>
      </w:r>
      <w:r>
        <w:rPr/>
        <w:t>个月内的 最后一个交易日止的期间共可行权</w:t>
      </w:r>
      <w:r>
        <w:rPr>
          <w:rFonts w:ascii="Times New Roman" w:hAnsi="Times New Roman" w:cs="Times New Roman" w:eastAsia="Times New Roman" w:hint="default"/>
        </w:rPr>
        <w:t>818.2</w:t>
      </w:r>
      <w:r>
        <w:rPr/>
        <w:t>万份股票期权，由公司统一安排行权（公司统一行权，截止报告日尚未行权）。 </w:t>
      </w:r>
      <w:r>
        <w:rPr>
          <w:spacing w:val="-10"/>
          <w:w w:val="99"/>
        </w:rPr>
        <w:t>上述事项详细情况己于</w:t>
      </w:r>
      <w:r>
        <w:rPr>
          <w:rFonts w:ascii="Times New Roman" w:hAnsi="Times New Roman" w:cs="Times New Roman" w:eastAsia="Times New Roman" w:hint="default"/>
          <w:spacing w:val="-10"/>
          <w:w w:val="99"/>
        </w:rPr>
        <w:t>2014</w:t>
      </w:r>
      <w:r>
        <w:rPr>
          <w:spacing w:val="-10"/>
          <w:w w:val="99"/>
        </w:rPr>
        <w:t>年</w:t>
      </w:r>
      <w:r>
        <w:rPr>
          <w:rFonts w:ascii="Times New Roman" w:hAnsi="Times New Roman" w:cs="Times New Roman" w:eastAsia="Times New Roman" w:hint="default"/>
          <w:spacing w:val="-10"/>
          <w:w w:val="99"/>
        </w:rPr>
        <w:t>3</w:t>
      </w:r>
      <w:r>
        <w:rPr>
          <w:spacing w:val="-10"/>
          <w:w w:val="99"/>
        </w:rPr>
        <w:t>月</w:t>
      </w:r>
      <w:r>
        <w:rPr>
          <w:rFonts w:ascii="Times New Roman" w:hAnsi="Times New Roman" w:cs="Times New Roman" w:eastAsia="Times New Roman" w:hint="default"/>
          <w:spacing w:val="-10"/>
          <w:w w:val="99"/>
        </w:rPr>
        <w:t>14</w:t>
      </w:r>
      <w:r>
        <w:rPr>
          <w:spacing w:val="-10"/>
          <w:w w:val="99"/>
        </w:rPr>
        <w:t>日刊登于《中国证券报》、《证券时报》、《上海证券报》和巨潮资讯网（</w:t>
      </w:r>
      <w:r>
        <w:rPr>
          <w:rFonts w:ascii="Times New Roman" w:hAnsi="Times New Roman" w:cs="Times New Roman" w:eastAsia="Times New Roman" w:hint="default"/>
          <w:color w:val="0000FF"/>
          <w:spacing w:val="-10"/>
          <w:w w:val="99"/>
        </w:rPr>
      </w:r>
      <w:hyperlink r:id="rId9">
        <w:r>
          <w:rPr>
            <w:rFonts w:ascii="Times New Roman" w:hAnsi="Times New Roman" w:cs="Times New Roman" w:eastAsia="Times New Roman" w:hint="default"/>
            <w:color w:val="0000FF"/>
            <w:spacing w:val="-10"/>
            <w:w w:val="99"/>
            <w:u w:val="single" w:color="0000FF"/>
          </w:rPr>
          <w:t>www.cninfo.com.cn</w:t>
        </w:r>
        <w:r>
          <w:rPr>
            <w:rFonts w:ascii="Times New Roman" w:hAnsi="Times New Roman" w:cs="Times New Roman" w:eastAsia="Times New Roman" w:hint="default"/>
            <w:color w:val="0000FF"/>
            <w:spacing w:val="-10"/>
            <w:w w:val="99"/>
          </w:rPr>
        </w:r>
      </w:hyperlink>
      <w:r>
        <w:rPr>
          <w:spacing w:val="-10"/>
          <w:w w:val="99"/>
        </w:rPr>
        <w:t>）</w:t>
      </w:r>
      <w:r>
        <w:rPr>
          <w:spacing w:val="-40"/>
          <w:w w:val="99"/>
        </w:rPr>
        <w:t> </w:t>
      </w:r>
      <w:r>
        <w:rPr/>
        <w:t>上的相关公告。</w:t>
      </w:r>
      <w:r>
        <w:rPr>
          <w:w w:val="99"/>
        </w:rPr>
        <w:t> </w:t>
      </w:r>
      <w:r>
        <w:rPr>
          <w:spacing w:val="-2"/>
        </w:rPr>
        <w:t>二、</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日，公司召开第六届董事会第九次会议，审议通过了《关于调整公司股票期权激励计划行权价格的议案》，</w:t>
      </w:r>
      <w:r>
        <w:rPr>
          <w:spacing w:val="-59"/>
        </w:rPr>
        <w:t> </w:t>
      </w:r>
      <w:r>
        <w:rPr>
          <w:spacing w:val="-59"/>
        </w:rPr>
      </w:r>
      <w:r>
        <w:rPr/>
        <w:t>同意公司在</w:t>
      </w:r>
      <w:r>
        <w:rPr>
          <w:rFonts w:ascii="Times New Roman" w:hAnsi="Times New Roman" w:cs="Times New Roman" w:eastAsia="Times New Roman" w:hint="default"/>
        </w:rPr>
        <w:t>2012</w:t>
      </w:r>
      <w:r>
        <w:rPr/>
        <w:t>年度、</w:t>
      </w:r>
      <w:r>
        <w:rPr>
          <w:rFonts w:ascii="Times New Roman" w:hAnsi="Times New Roman" w:cs="Times New Roman" w:eastAsia="Times New Roman" w:hint="default"/>
        </w:rPr>
        <w:t>2013</w:t>
      </w:r>
      <w:r>
        <w:rPr/>
        <w:t>年度权益分派实施完毕后，将未行权股票期权价格由</w:t>
      </w:r>
      <w:r>
        <w:rPr>
          <w:rFonts w:ascii="Times New Roman" w:hAnsi="Times New Roman" w:cs="Times New Roman" w:eastAsia="Times New Roman" w:hint="default"/>
        </w:rPr>
        <w:t>7.63</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7.58</w:t>
      </w:r>
      <w:r>
        <w:rPr/>
        <w:t>元</w:t>
      </w:r>
      <w:r>
        <w:rPr>
          <w:rFonts w:ascii="Times New Roman" w:hAnsi="Times New Roman" w:cs="Times New Roman" w:eastAsia="Times New Roman" w:hint="default"/>
        </w:rPr>
        <w:t>/</w:t>
      </w:r>
      <w:r>
        <w:rPr/>
        <w:t>股，将未行权预留</w:t>
      </w:r>
      <w:r>
        <w:rPr>
          <w:w w:val="99"/>
        </w:rPr>
        <w:t> </w:t>
      </w:r>
      <w:r>
        <w:rPr/>
        <w:t>期权价格由</w:t>
      </w:r>
      <w:r>
        <w:rPr>
          <w:rFonts w:ascii="Times New Roman" w:hAnsi="Times New Roman" w:cs="Times New Roman" w:eastAsia="Times New Roman" w:hint="default"/>
        </w:rPr>
        <w:t>9.25</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9.20</w:t>
      </w:r>
      <w:r>
        <w:rPr/>
        <w:t>元</w:t>
      </w:r>
      <w:r>
        <w:rPr>
          <w:rFonts w:ascii="Times New Roman" w:hAnsi="Times New Roman" w:cs="Times New Roman" w:eastAsia="Times New Roman" w:hint="default"/>
        </w:rPr>
        <w:t>/</w:t>
      </w:r>
      <w:r>
        <w:rPr/>
        <w:t>股。</w:t>
      </w:r>
      <w:r>
        <w:rPr>
          <w:w w:val="99"/>
        </w:rPr>
        <w:t> </w:t>
      </w:r>
      <w:r>
        <w:rPr>
          <w:spacing w:val="-2"/>
        </w:rPr>
        <w:t>三、</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日，公司召开第六届董事会第十一次会议，审议通过了《关于〈首期股票期权激励计划〉第三个行权期及</w:t>
      </w:r>
      <w:r>
        <w:rPr>
          <w:spacing w:val="-60"/>
        </w:rPr>
        <w:t> </w:t>
      </w:r>
      <w:r>
        <w:rPr>
          <w:spacing w:val="-60"/>
        </w:rPr>
      </w:r>
      <w:r>
        <w:rPr/>
        <w:t>预留期权第二个行权期不符合行权条件的议案》，根据《上市公司股权激励管理办法（试行）》</w:t>
      </w:r>
      <w:r>
        <w:rPr>
          <w:spacing w:val="-18"/>
        </w:rPr>
        <w:t> </w:t>
      </w:r>
      <w:r>
        <w:rPr/>
        <w:t>、《股票期权激励计划》</w:t>
      </w:r>
      <w:r>
        <w:rPr>
          <w:w w:val="99"/>
        </w:rPr>
        <w:t> </w:t>
      </w:r>
      <w:r>
        <w:rPr/>
        <w:t>等相关规定，董事会决定：注销首期股票股权激励计划已授予的</w:t>
      </w:r>
      <w:r>
        <w:rPr>
          <w:rFonts w:ascii="Times New Roman" w:hAnsi="Times New Roman" w:cs="Times New Roman" w:eastAsia="Times New Roman" w:hint="default"/>
        </w:rPr>
        <w:t>120</w:t>
      </w:r>
      <w:r>
        <w:rPr/>
        <w:t>名激励对象在第三个行权期内（</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2016</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日止）可行权的</w:t>
      </w:r>
      <w:r>
        <w:rPr>
          <w:rFonts w:ascii="Times New Roman" w:hAnsi="Times New Roman" w:cs="Times New Roman" w:eastAsia="Times New Roman" w:hint="default"/>
        </w:rPr>
        <w:t>751.2</w:t>
      </w:r>
      <w:r>
        <w:rPr/>
        <w:t>万份股票期权；注销预留股票期权已经授予</w:t>
      </w:r>
      <w:r>
        <w:rPr>
          <w:rFonts w:ascii="Times New Roman" w:hAnsi="Times New Roman" w:cs="Times New Roman" w:eastAsia="Times New Roman" w:hint="default"/>
        </w:rPr>
        <w:t>27</w:t>
      </w:r>
      <w:r>
        <w:rPr/>
        <w:t>名激励对象在第二个行权期内（</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w:t>
      </w:r>
      <w:r>
        <w:rPr>
          <w:w w:val="99"/>
        </w:rPr>
        <w:t> </w:t>
      </w:r>
      <w:r>
        <w:rPr/>
        <w:t>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日止）可行权的</w:t>
      </w:r>
      <w:r>
        <w:rPr>
          <w:rFonts w:ascii="Times New Roman" w:hAnsi="Times New Roman" w:cs="Times New Roman" w:eastAsia="Times New Roman" w:hint="default"/>
        </w:rPr>
        <w:t>67</w:t>
      </w:r>
      <w:r>
        <w:rPr/>
        <w:t>万份股票期权。</w:t>
      </w:r>
    </w:p>
    <w:p>
      <w:pPr>
        <w:spacing w:after="0" w:line="304"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七、重大关联交易" w:id="67"/>
      <w:bookmarkEnd w:id="67"/>
      <w:r>
        <w:rPr>
          <w:b w:val="0"/>
          <w:bCs w:val="0"/>
        </w:rPr>
      </w:r>
      <w:r>
        <w:rPr/>
        <w:t>七、重大关联交易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与日常经营相关的关联交易" w:id="68"/>
      <w:bookmarkEnd w:id="6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5"/>
        <w:spacing w:line="240" w:lineRule="auto"/>
        <w:ind w:left="154" w:right="0"/>
        <w:jc w:val="left"/>
        <w:rPr>
          <w:b w:val="0"/>
          <w:bCs w:val="0"/>
        </w:rPr>
      </w:pPr>
      <w:bookmarkStart w:name="2、资产收购、出售发生的关联交易" w:id="69"/>
      <w:bookmarkEnd w:id="69"/>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共同对外投资的关联交易" w:id="70"/>
      <w:bookmarkEnd w:id="7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4、关联债权债务往来" w:id="71"/>
      <w:bookmarkEnd w:id="7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bookmarkStart w:name="5、其他关联交易" w:id="72"/>
      <w:bookmarkEnd w:id="72"/>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公司报告期无其他关联交易。</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八、重大合同及其履行情况" w:id="73"/>
      <w:bookmarkEnd w:id="73"/>
      <w:r>
        <w:rPr>
          <w:b w:val="0"/>
          <w:bCs w:val="0"/>
        </w:rPr>
      </w: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托管、承包、租赁事项情况" w:id="74"/>
      <w:bookmarkEnd w:id="7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75"/>
      <w:bookmarkEnd w:id="7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承包情况" w:id="76"/>
      <w:bookmarkEnd w:id="7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租赁情况" w:id="77"/>
      <w:bookmarkEnd w:id="7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公司报告期不存在租赁情况。</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担保情况" w:id="78"/>
      <w:bookmarkEnd w:id="78"/>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9"/>
        <w:gridCol w:w="928"/>
        <w:gridCol w:w="946"/>
        <w:gridCol w:w="1207"/>
        <w:gridCol w:w="1176"/>
        <w:gridCol w:w="1089"/>
        <w:gridCol w:w="1026"/>
        <w:gridCol w:w="800"/>
        <w:gridCol w:w="786"/>
      </w:tblGrid>
      <w:tr>
        <w:trPr>
          <w:trHeight w:val="397"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66" w:hRule="exact"/>
        </w:trPr>
        <w:tc>
          <w:tcPr>
            <w:tcW w:w="1609" w:type="dxa"/>
            <w:vMerge w:val="restart"/>
            <w:tcBorders>
              <w:top w:val="single" w:sz="4" w:space="0" w:color="000000"/>
              <w:left w:val="single" w:sz="4" w:space="0" w:color="000000"/>
              <w:right w:val="single" w:sz="4" w:space="0" w:color="000000"/>
            </w:tcBorders>
            <w:shd w:val="clear" w:color="auto" w:fill="D2D2D2"/>
          </w:tcPr>
          <w:p>
            <w:pPr/>
          </w:p>
        </w:tc>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9"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6" w:type="dxa"/>
            <w:vMerge w:val="restart"/>
            <w:tcBorders>
              <w:top w:val="single" w:sz="4" w:space="0" w:color="000000"/>
              <w:left w:val="single" w:sz="4" w:space="0" w:color="000000"/>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5"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089" w:type="dxa"/>
            <w:vMerge w:val="restart"/>
            <w:tcBorders>
              <w:top w:val="single" w:sz="4" w:space="0" w:color="000000"/>
              <w:left w:val="single" w:sz="4" w:space="0" w:color="000000"/>
              <w:right w:val="single" w:sz="4" w:space="0" w:color="000000"/>
            </w:tcBorders>
            <w:shd w:val="clear" w:color="auto" w:fill="D2D2D2"/>
          </w:tcPr>
          <w:p>
            <w:pPr/>
          </w:p>
        </w:tc>
        <w:tc>
          <w:tcPr>
            <w:tcW w:w="1026" w:type="dxa"/>
            <w:vMerge w:val="restart"/>
            <w:tcBorders>
              <w:top w:val="single" w:sz="4" w:space="0" w:color="000000"/>
              <w:left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09" w:type="dxa"/>
            <w:vMerge/>
            <w:tcBorders>
              <w:left w:val="single" w:sz="4" w:space="0" w:color="000000"/>
              <w:bottom w:val="nil" w:sz="6" w:space="0" w:color="auto"/>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c>
          <w:tcPr>
            <w:tcW w:w="1089" w:type="dxa"/>
            <w:vMerge/>
            <w:tcBorders>
              <w:left w:val="single" w:sz="4" w:space="0" w:color="000000"/>
              <w:bottom w:val="nil" w:sz="6" w:space="0" w:color="auto"/>
              <w:right w:val="single" w:sz="4" w:space="0" w:color="000000"/>
            </w:tcBorders>
            <w:shd w:val="clear" w:color="auto" w:fill="D2D2D2"/>
          </w:tcPr>
          <w:p>
            <w:pPr/>
          </w:p>
        </w:tc>
        <w:tc>
          <w:tcPr>
            <w:tcW w:w="1026" w:type="dxa"/>
            <w:vMerge/>
            <w:tcBorders>
              <w:left w:val="single" w:sz="4" w:space="0" w:color="000000"/>
              <w:bottom w:val="nil" w:sz="6" w:space="0" w:color="auto"/>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11"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vMerge/>
            <w:tcBorders>
              <w:left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07" w:type="dxa"/>
            <w:vMerge/>
            <w:tcBorders>
              <w:left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37"/>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0"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r>
      <w:tr>
        <w:trPr>
          <w:trHeight w:val="156" w:hRule="exact"/>
        </w:trPr>
        <w:tc>
          <w:tcPr>
            <w:tcW w:w="1609" w:type="dxa"/>
            <w:vMerge w:val="restart"/>
            <w:tcBorders>
              <w:top w:val="nil" w:sz="6" w:space="0" w:color="auto"/>
              <w:left w:val="single" w:sz="4" w:space="0" w:color="000000"/>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
        </w:tc>
        <w:tc>
          <w:tcPr>
            <w:tcW w:w="1089" w:type="dxa"/>
            <w:vMerge w:val="restart"/>
            <w:tcBorders>
              <w:top w:val="nil" w:sz="6" w:space="0" w:color="auto"/>
              <w:left w:val="single" w:sz="4" w:space="0" w:color="000000"/>
              <w:right w:val="single" w:sz="4" w:space="0" w:color="000000"/>
            </w:tcBorders>
            <w:shd w:val="clear" w:color="auto" w:fill="D2D2D2"/>
          </w:tcPr>
          <w:p>
            <w:pPr/>
          </w:p>
        </w:tc>
        <w:tc>
          <w:tcPr>
            <w:tcW w:w="1026" w:type="dxa"/>
            <w:vMerge w:val="restart"/>
            <w:tcBorders>
              <w:top w:val="nil" w:sz="6" w:space="0" w:color="auto"/>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09"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089" w:type="dxa"/>
            <w:vMerge/>
            <w:tcBorders>
              <w:left w:val="single" w:sz="4" w:space="0" w:color="000000"/>
              <w:bottom w:val="single" w:sz="4" w:space="0" w:color="000000"/>
              <w:right w:val="single" w:sz="4" w:space="0" w:color="000000"/>
            </w:tcBorders>
            <w:shd w:val="clear" w:color="auto" w:fill="D2D2D2"/>
          </w:tcPr>
          <w:p>
            <w:pPr/>
          </w:p>
        </w:tc>
        <w:tc>
          <w:tcPr>
            <w:tcW w:w="1026"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5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5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09" w:type="dxa"/>
            <w:vMerge w:val="restart"/>
            <w:tcBorders>
              <w:top w:val="single" w:sz="4" w:space="0" w:color="000000"/>
              <w:left w:val="single" w:sz="4" w:space="0" w:color="000000"/>
              <w:right w:val="single" w:sz="4" w:space="0" w:color="000000"/>
            </w:tcBorders>
            <w:shd w:val="clear" w:color="auto" w:fill="D2D2D2"/>
          </w:tcPr>
          <w:p>
            <w:pPr/>
          </w:p>
        </w:tc>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9"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6" w:type="dxa"/>
            <w:vMerge w:val="restart"/>
            <w:tcBorders>
              <w:top w:val="single" w:sz="4" w:space="0" w:color="000000"/>
              <w:left w:val="single" w:sz="4" w:space="0" w:color="000000"/>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5"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089" w:type="dxa"/>
            <w:vMerge w:val="restart"/>
            <w:tcBorders>
              <w:top w:val="single" w:sz="4" w:space="0" w:color="000000"/>
              <w:left w:val="single" w:sz="4" w:space="0" w:color="000000"/>
              <w:right w:val="single" w:sz="4" w:space="0" w:color="000000"/>
            </w:tcBorders>
            <w:shd w:val="clear" w:color="auto" w:fill="D2D2D2"/>
          </w:tcPr>
          <w:p>
            <w:pPr/>
          </w:p>
        </w:tc>
        <w:tc>
          <w:tcPr>
            <w:tcW w:w="1026" w:type="dxa"/>
            <w:vMerge w:val="restart"/>
            <w:tcBorders>
              <w:top w:val="single" w:sz="4" w:space="0" w:color="000000"/>
              <w:left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09" w:type="dxa"/>
            <w:vMerge/>
            <w:tcBorders>
              <w:left w:val="single" w:sz="4" w:space="0" w:color="000000"/>
              <w:bottom w:val="nil" w:sz="6" w:space="0" w:color="auto"/>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c>
          <w:tcPr>
            <w:tcW w:w="1089" w:type="dxa"/>
            <w:vMerge/>
            <w:tcBorders>
              <w:left w:val="single" w:sz="4" w:space="0" w:color="000000"/>
              <w:bottom w:val="nil" w:sz="6" w:space="0" w:color="auto"/>
              <w:right w:val="single" w:sz="4" w:space="0" w:color="000000"/>
            </w:tcBorders>
            <w:shd w:val="clear" w:color="auto" w:fill="D2D2D2"/>
          </w:tcPr>
          <w:p>
            <w:pPr/>
          </w:p>
        </w:tc>
        <w:tc>
          <w:tcPr>
            <w:tcW w:w="1026" w:type="dxa"/>
            <w:vMerge/>
            <w:tcBorders>
              <w:left w:val="single" w:sz="4" w:space="0" w:color="000000"/>
              <w:bottom w:val="nil" w:sz="6" w:space="0" w:color="auto"/>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11"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vMerge/>
            <w:tcBorders>
              <w:left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07" w:type="dxa"/>
            <w:vMerge/>
            <w:tcBorders>
              <w:left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37"/>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0"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r>
      <w:tr>
        <w:trPr>
          <w:trHeight w:val="156" w:hRule="exact"/>
        </w:trPr>
        <w:tc>
          <w:tcPr>
            <w:tcW w:w="1609" w:type="dxa"/>
            <w:vMerge w:val="restart"/>
            <w:tcBorders>
              <w:top w:val="nil" w:sz="6" w:space="0" w:color="auto"/>
              <w:left w:val="single" w:sz="4" w:space="0" w:color="000000"/>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
        </w:tc>
        <w:tc>
          <w:tcPr>
            <w:tcW w:w="1089" w:type="dxa"/>
            <w:vMerge w:val="restart"/>
            <w:tcBorders>
              <w:top w:val="nil" w:sz="6" w:space="0" w:color="auto"/>
              <w:left w:val="single" w:sz="4" w:space="0" w:color="000000"/>
              <w:right w:val="single" w:sz="4" w:space="0" w:color="000000"/>
            </w:tcBorders>
            <w:shd w:val="clear" w:color="auto" w:fill="D2D2D2"/>
          </w:tcPr>
          <w:p>
            <w:pPr/>
          </w:p>
        </w:tc>
        <w:tc>
          <w:tcPr>
            <w:tcW w:w="1026" w:type="dxa"/>
            <w:vMerge w:val="restart"/>
            <w:tcBorders>
              <w:top w:val="nil" w:sz="6" w:space="0" w:color="auto"/>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09"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089" w:type="dxa"/>
            <w:vMerge/>
            <w:tcBorders>
              <w:left w:val="single" w:sz="4" w:space="0" w:color="000000"/>
              <w:bottom w:val="single" w:sz="4" w:space="0" w:color="000000"/>
              <w:right w:val="single" w:sz="4" w:space="0" w:color="000000"/>
            </w:tcBorders>
            <w:shd w:val="clear" w:color="auto" w:fill="D2D2D2"/>
          </w:tcPr>
          <w:p>
            <w:pPr/>
          </w:p>
        </w:tc>
        <w:tc>
          <w:tcPr>
            <w:tcW w:w="1026"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安徽鑫龙低压电器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安徽鑫龙自动化有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15,000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r>
      <w:tr>
        <w:trPr>
          <w:trHeight w:val="719"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r>
      <w:tr>
        <w:trPr>
          <w:trHeight w:val="714"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300</w:t>
            </w:r>
          </w:p>
        </w:tc>
      </w:tr>
      <w:tr>
        <w:trPr>
          <w:trHeight w:val="714"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bl>
    <w:p>
      <w:pPr>
        <w:pStyle w:val="BodyText"/>
        <w:spacing w:line="240" w:lineRule="auto" w:before="51"/>
        <w:ind w:left="154" w:right="0"/>
        <w:jc w:val="left"/>
      </w:pPr>
      <w:r>
        <w:rPr/>
        <w:t>采用复合方式担保的具体情况说明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违规对外担保情况" w:id="79"/>
      <w:bookmarkEnd w:id="79"/>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bookmarkStart w:name="3、其他重大合同" w:id="80"/>
      <w:bookmarkEnd w:id="80"/>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4、其他重大交易" w:id="81"/>
      <w:bookmarkEnd w:id="81"/>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九、承诺事项履行情况" w:id="82"/>
      <w:bookmarkEnd w:id="82"/>
      <w:r>
        <w:rPr>
          <w:b w:val="0"/>
          <w:bCs w:val="0"/>
        </w:rPr>
      </w:r>
      <w:r>
        <w:rPr/>
        <w:t>九、承诺事项履行情况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公司或持股5%以上股东在报告期内发生或以前期间发生但持续到报告期内的承诺事项" w:id="83"/>
      <w:bookmarkEnd w:id="83"/>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636" w:hRule="exact"/>
        </w:trPr>
        <w:tc>
          <w:tcPr>
            <w:tcW w:w="3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27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、在任职董事 期间每年转让 的公司股份不 超过其所持有 股份总数的百 </w:t>
            </w:r>
            <w:r>
              <w:rPr>
                <w:rFonts w:ascii="宋体" w:hAnsi="宋体" w:cs="宋体" w:eastAsia="宋体" w:hint="default"/>
                <w:spacing w:val="-6"/>
                <w:sz w:val="18"/>
                <w:szCs w:val="18"/>
              </w:rPr>
              <w:t>分之二十五；在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离职后半年内， 不转让所持有 的股份。还承 </w:t>
            </w:r>
            <w:r>
              <w:rPr>
                <w:rFonts w:ascii="宋体" w:hAnsi="宋体" w:cs="宋体" w:eastAsia="宋体" w:hint="default"/>
                <w:spacing w:val="-6"/>
                <w:sz w:val="18"/>
                <w:szCs w:val="18"/>
              </w:rPr>
              <w:t>诺：在任职鑫诚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科技董事期间 每年转让的鑫 诚科技股权不 超过其所持有 鑫诚科技股权 总数的百分之 </w:t>
            </w:r>
            <w:r>
              <w:rPr>
                <w:rFonts w:ascii="宋体" w:hAnsi="宋体" w:cs="宋体" w:eastAsia="宋体" w:hint="default"/>
                <w:spacing w:val="-6"/>
                <w:sz w:val="18"/>
                <w:szCs w:val="18"/>
              </w:rPr>
              <w:t>二十五；在离职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后半年内，不转</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2638" w:hRule="exact"/>
        </w:trPr>
        <w:tc>
          <w:tcPr>
            <w:tcW w:w="3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8.619995pt;margin-top:72.47998pt;width:69.45pt;height:80.1pt;mso-position-horizontal-relative:page;mso-position-vertical-relative:page;z-index:-852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317"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让所持有的鑫</w:t>
            </w:r>
          </w:p>
        </w:tc>
        <w:tc>
          <w:tcPr>
            <w:tcW w:w="1276" w:type="dxa"/>
            <w:vMerge w:val="restart"/>
            <w:tcBorders>
              <w:top w:val="single" w:sz="4" w:space="0" w:color="000000"/>
              <w:left w:val="single" w:sz="4" w:space="0" w:color="000000"/>
              <w:right w:val="single" w:sz="4" w:space="0" w:color="000000"/>
            </w:tcBorders>
          </w:tcPr>
          <w:p>
            <w:pPr>
              <w:pStyle w:val="TableParagraph"/>
              <w:spacing w:line="160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63.35pt;height:80.1pt;mso-position-horizontal-relative:char;mso-position-vertical-relative:line" coordorigin="0,0" coordsize="1267,1602">
                  <v:group style="position:absolute;left:0;top:0;width:1267;height:1602" coordorigin="0,0" coordsize="1267,1602">
                    <v:shape style="position:absolute;left:0;top:0;width:1267;height:1602" coordorigin="0,0" coordsize="1267,1602" path="m0,1601l1266,1601,1266,0,0,0,0,1601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诚科技股权。</w:t>
            </w:r>
            <w:r>
              <w:rPr>
                <w:rFonts w:ascii="Times New Roman" w:hAnsi="Times New Roman" w:cs="Times New Roman" w:eastAsia="Times New Roman" w:hint="default"/>
                <w:spacing w:val="-6"/>
                <w:sz w:val="18"/>
                <w:szCs w:val="18"/>
              </w:rPr>
              <w:t>2</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17"/>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3"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规范和减少关</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57"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联交易承诺。</w:t>
            </w: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362" w:hRule="exact"/>
        </w:trPr>
        <w:tc>
          <w:tcPr>
            <w:tcW w:w="3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、公司承诺：</w:t>
            </w:r>
          </w:p>
        </w:tc>
        <w:tc>
          <w:tcPr>
            <w:tcW w:w="127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不为激励对象</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依据股票期权</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激励计划获取</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有关股票期权</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贷款以及其他</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任何形式的财</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务资助，包括为</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其贷款提供担</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、公司在</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使用非公开发</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行股票部分闲</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置的募集资金</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暂时补充流动</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资金作出承诺：</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公司过去十二</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个月内未进行</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证券投资等风</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、在暂</w:t>
            </w:r>
          </w:p>
        </w:tc>
        <w:tc>
          <w:tcPr>
            <w:tcW w:w="1260" w:type="dxa"/>
            <w:tcBorders>
              <w:top w:val="nil" w:sz="6" w:space="0" w:color="auto"/>
              <w:left w:val="single" w:sz="4" w:space="0" w:color="000000"/>
              <w:bottom w:val="nil" w:sz="6" w:space="0" w:color="auto"/>
              <w:right w:val="single" w:sz="4" w:space="0" w:color="000000"/>
            </w:tcBorders>
          </w:tcPr>
          <w:p>
            <w:pPr/>
          </w:p>
        </w:tc>
      </w:tr>
      <w:tr>
        <w:trPr>
          <w:trHeight w:val="620"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61"/>
              <w:jc w:val="left"/>
              <w:rPr>
                <w:rFonts w:ascii="宋体" w:hAnsi="宋体" w:cs="宋体" w:eastAsia="宋体" w:hint="default"/>
                <w:sz w:val="18"/>
                <w:szCs w:val="18"/>
              </w:rPr>
            </w:pPr>
            <w:r>
              <w:rPr>
                <w:rFonts w:ascii="宋体" w:hAnsi="宋体" w:cs="宋体" w:eastAsia="宋体" w:hint="default"/>
                <w:sz w:val="18"/>
                <w:szCs w:val="18"/>
              </w:rPr>
              <w:t>安徽鑫龙电器 股份有限公司</w:t>
            </w:r>
          </w:p>
        </w:tc>
        <w:tc>
          <w:tcPr>
            <w:tcW w:w="1276" w:type="dxa"/>
            <w:tcBorders>
              <w:top w:val="nil" w:sz="6" w:space="0" w:color="auto"/>
              <w:left w:val="single" w:sz="4" w:space="0" w:color="000000"/>
              <w:bottom w:val="nil" w:sz="6" w:space="0" w:color="auto"/>
              <w:right w:val="single" w:sz="13" w:space="0" w:color="FFFFFF"/>
            </w:tcBorders>
          </w:tcPr>
          <w:p>
            <w:pPr>
              <w:pStyle w:val="TableParagraph"/>
              <w:spacing w:line="316" w:lineRule="auto" w:before="5"/>
              <w:ind w:left="22" w:right="-29"/>
              <w:jc w:val="left"/>
              <w:rPr>
                <w:rFonts w:ascii="宋体" w:hAnsi="宋体" w:cs="宋体" w:eastAsia="宋体" w:hint="default"/>
                <w:sz w:val="18"/>
                <w:szCs w:val="18"/>
              </w:rPr>
            </w:pPr>
            <w:r>
              <w:rPr>
                <w:rFonts w:ascii="宋体" w:hAnsi="宋体" w:cs="宋体" w:eastAsia="宋体" w:hint="default"/>
                <w:sz w:val="18"/>
                <w:szCs w:val="18"/>
              </w:rPr>
              <w:t>险投资；同时， 公司还承诺在</w:t>
            </w:r>
          </w:p>
        </w:tc>
        <w:tc>
          <w:tcPr>
            <w:tcW w:w="127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2"/>
              <w:jc w:val="left"/>
              <w:rPr>
                <w:rFonts w:ascii="宋体" w:hAnsi="宋体" w:cs="宋体" w:eastAsia="宋体" w:hint="default"/>
                <w:sz w:val="18"/>
                <w:szCs w:val="18"/>
              </w:rPr>
            </w:pPr>
            <w:r>
              <w:rPr>
                <w:rFonts w:ascii="宋体" w:hAnsi="宋体" w:cs="宋体" w:eastAsia="宋体" w:hint="default"/>
                <w:sz w:val="18"/>
                <w:szCs w:val="18"/>
              </w:rPr>
              <w:t>借募集资金期 间</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6"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本次使用闲置</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w:t>
            </w:r>
          </w:p>
        </w:tc>
        <w:tc>
          <w:tcPr>
            <w:tcW w:w="12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募集资金暂时</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期间不进行证</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券投资等风险</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3</w:t>
            </w:r>
            <w:r>
              <w:rPr>
                <w:rFonts w:ascii="宋体" w:hAnsi="宋体" w:cs="宋体" w:eastAsia="宋体" w:hint="default"/>
                <w:sz w:val="18"/>
                <w:szCs w:val="18"/>
              </w:rPr>
              <w:t>、在公</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司盈利且现金</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能够满足公司</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持续经营和长</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期发展的前提</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下，公司计划未</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来三年（</w:t>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）每年以现</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金方式累计分</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配的利润不少</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于该三年实现</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的年均可分配</w:t>
            </w: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1962"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芜湖市鑫诚科 技投资有限公 司以及本公司 </w:t>
            </w:r>
            <w:r>
              <w:rPr>
                <w:rFonts w:ascii="宋体" w:hAnsi="宋体" w:cs="宋体" w:eastAsia="宋体" w:hint="default"/>
                <w:spacing w:val="-6"/>
                <w:sz w:val="18"/>
                <w:szCs w:val="18"/>
              </w:rPr>
              <w:t>控股股东、实际</w:t>
            </w:r>
            <w:r>
              <w:rPr>
                <w:rFonts w:ascii="宋体" w:hAnsi="宋体" w:cs="宋体" w:eastAsia="宋体" w:hint="default"/>
                <w:sz w:val="18"/>
                <w:szCs w:val="18"/>
              </w:rPr>
              <w:t> 控制人束龙胜 先生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承诺未来连续 六个月出售的 股份将低于公 司股份总数的</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962"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芜湖市鑫诚科 技投资有限公 司以及本公司 </w:t>
            </w:r>
            <w:r>
              <w:rPr>
                <w:rFonts w:ascii="宋体" w:hAnsi="宋体" w:cs="宋体" w:eastAsia="宋体" w:hint="default"/>
                <w:spacing w:val="-6"/>
                <w:sz w:val="18"/>
                <w:szCs w:val="18"/>
              </w:rPr>
              <w:t>控股股东、实际</w:t>
            </w:r>
            <w:r>
              <w:rPr>
                <w:rFonts w:ascii="宋体" w:hAnsi="宋体" w:cs="宋体" w:eastAsia="宋体" w:hint="default"/>
                <w:sz w:val="18"/>
                <w:szCs w:val="18"/>
              </w:rPr>
              <w:t> 控制人束龙胜 先生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承诺在增持完 成后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 不减持其持有 的公司股份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left="154" w:right="0"/>
        <w:jc w:val="left"/>
        <w:rPr>
          <w:b w:val="0"/>
          <w:bCs w:val="0"/>
        </w:rPr>
      </w:pPr>
      <w:bookmarkStart w:name="2、公司资产或项目存在盈利预测，且报告期仍处在盈利预测期间，公司就资产或项目达到" w:id="84"/>
      <w:bookmarkEnd w:id="8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十、聘任、解聘会计师事务所情况" w:id="85"/>
      <w:bookmarkEnd w:id="85"/>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吕勇军、王海涛</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一、监事会、独立董事（如适用）对会计师事务所本报告期“非标准审计报告”的说明" w:id="86"/>
      <w:bookmarkEnd w:id="86"/>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二、处罚及整改情况" w:id="87"/>
      <w:bookmarkEnd w:id="87"/>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三、年度报告披露后面临暂停上市和终止上市情况" w:id="88"/>
      <w:bookmarkEnd w:id="88"/>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十四、其他重大事项的说明" w:id="89"/>
      <w:bookmarkEnd w:id="89"/>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99" w:right="1127" w:hanging="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报告期内，公司因筹划重大事项，经公司申请，公司股票于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日开市起停牌，并于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日披露了《关于</w:t>
      </w:r>
    </w:p>
    <w:p>
      <w:pPr>
        <w:pStyle w:val="BodyText"/>
        <w:spacing w:line="230" w:lineRule="exact"/>
        <w:ind w:left="154" w:right="0"/>
        <w:jc w:val="left"/>
      </w:pPr>
      <w:r>
        <w:rPr/>
        <w:t>筹划重大事项停牌的公告》。经公司确认本次停牌的重要事项构成重大资产重组事项后，于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日披露了《关于重</w:t>
      </w:r>
    </w:p>
    <w:p>
      <w:pPr>
        <w:pStyle w:val="BodyText"/>
        <w:spacing w:line="240" w:lineRule="auto" w:before="63"/>
        <w:ind w:right="0"/>
        <w:jc w:val="left"/>
      </w:pPr>
      <w:r>
        <w:rPr/>
        <w:t>大资产重组停牌的公告》，目前处于重大资产重组筹划股票停牌阶段。</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十五、公司子公司重要事项" w:id="90"/>
      <w:bookmarkEnd w:id="90"/>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六、公司发行公司债券的情况" w:id="91"/>
      <w:bookmarkEnd w:id="91"/>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2" w:firstLine="145"/>
        <w:jc w:val="left"/>
      </w:pPr>
      <w:r>
        <w:rPr>
          <w:rFonts w:ascii="Times New Roman" w:hAnsi="Times New Roman" w:cs="Times New Roman" w:eastAsia="Times New Roman" w:hint="default"/>
        </w:rPr>
        <w:t>2011 </w:t>
      </w:r>
      <w:r>
        <w:rPr/>
        <w:t>年第二次临时股东大会批准公司参与发行</w:t>
      </w:r>
      <w:r>
        <w:rPr>
          <w:rFonts w:ascii="Times New Roman" w:hAnsi="Times New Roman" w:cs="Times New Roman" w:eastAsia="Times New Roman" w:hint="default"/>
        </w:rPr>
        <w:t>“2011 </w:t>
      </w:r>
      <w:r>
        <w:rPr>
          <w:spacing w:val="-4"/>
        </w:rPr>
        <w:t>年芜湖市第一期中小企业集合票据</w:t>
      </w:r>
      <w:r>
        <w:rPr>
          <w:rFonts w:ascii="Times New Roman" w:hAnsi="Times New Roman" w:cs="Times New Roman" w:eastAsia="Times New Roman" w:hint="default"/>
          <w:spacing w:val="-4"/>
        </w:rPr>
        <w:t>”</w:t>
      </w:r>
      <w:r>
        <w:rPr>
          <w:spacing w:val="-4"/>
        </w:rPr>
        <w:t>（</w:t>
      </w:r>
      <w:r>
        <w:rPr>
          <w:spacing w:val="-51"/>
        </w:rPr>
        <w:t> </w:t>
      </w:r>
      <w:r>
        <w:rPr/>
        <w:t>该中小企业集合票据发行流程</w:t>
      </w:r>
      <w:r>
        <w:rPr/>
        <w:t> 跨年度，现更名为</w:t>
      </w:r>
      <w:r>
        <w:rPr>
          <w:rFonts w:ascii="Times New Roman" w:hAnsi="Times New Roman" w:cs="Times New Roman" w:eastAsia="Times New Roman" w:hint="default"/>
        </w:rPr>
        <w:t>“</w:t>
      </w:r>
      <w:r>
        <w:rPr/>
        <w:t>芜湖市 </w:t>
      </w:r>
      <w:r>
        <w:rPr>
          <w:rFonts w:ascii="Times New Roman" w:hAnsi="Times New Roman" w:cs="Times New Roman" w:eastAsia="Times New Roman" w:hint="default"/>
        </w:rPr>
        <w:t>2012 </w:t>
      </w:r>
      <w:r>
        <w:rPr/>
        <w:t>年度第一期中小企业集合票据</w:t>
      </w:r>
      <w:r>
        <w:rPr>
          <w:rFonts w:ascii="Times New Roman" w:hAnsi="Times New Roman" w:cs="Times New Roman" w:eastAsia="Times New Roman" w:hint="default"/>
        </w:rPr>
        <w:t>”</w:t>
      </w:r>
      <w:r>
        <w:rPr/>
        <w:t>）。公司于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21"/>
        </w:rPr>
        <w:t> </w:t>
      </w:r>
      <w:r>
        <w:rPr/>
        <w:t>日接到中国银行间市场交易商 协会《接受注册通知书》（中市协注</w:t>
      </w:r>
      <w:r>
        <w:rPr>
          <w:rFonts w:ascii="Times New Roman" w:hAnsi="Times New Roman" w:cs="Times New Roman" w:eastAsia="Times New Roman" w:hint="default"/>
        </w:rPr>
        <w:t>[2012]SMECN18</w:t>
      </w:r>
      <w:r>
        <w:rPr/>
        <w:t>号），中国银行间市场交易商协会决定接受包括本公司在内的叁家企 业的集合票据注册，此次集合票据总注册金额为人民币</w:t>
      </w:r>
      <w:r>
        <w:rPr>
          <w:rFonts w:ascii="Times New Roman" w:hAnsi="Times New Roman" w:cs="Times New Roman" w:eastAsia="Times New Roman" w:hint="default"/>
        </w:rPr>
        <w:t>4.5</w:t>
      </w:r>
      <w:r>
        <w:rPr/>
        <w:t>亿元，其中本公司发行金额为</w:t>
      </w:r>
      <w:r>
        <w:rPr>
          <w:rFonts w:ascii="Times New Roman" w:hAnsi="Times New Roman" w:cs="Times New Roman" w:eastAsia="Times New Roman" w:hint="default"/>
        </w:rPr>
        <w:t>1.5</w:t>
      </w:r>
      <w:r>
        <w:rPr/>
        <w:t>亿元。</w:t>
      </w:r>
    </w:p>
    <w:p>
      <w:pPr>
        <w:pStyle w:val="BodyText"/>
        <w:spacing w:line="300" w:lineRule="auto" w:before="13"/>
        <w:ind w:left="154" w:right="0" w:firstLine="360"/>
        <w:jc w:val="left"/>
      </w:pPr>
      <w:r>
        <w:rPr/>
        <w:t>公司与另外二家企业已于 </w:t>
      </w:r>
      <w:r>
        <w:rPr>
          <w:rFonts w:ascii="Times New Roman" w:hAnsi="Times New Roman" w:cs="Times New Roman" w:eastAsia="Times New Roman" w:hint="default"/>
          <w:spacing w:val="-1"/>
        </w:rPr>
        <w:t>2012</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13 </w:t>
      </w:r>
      <w:r>
        <w:rPr/>
        <w:t>日发行了芜湖市 </w:t>
      </w:r>
      <w:r>
        <w:rPr>
          <w:rFonts w:ascii="Times New Roman" w:hAnsi="Times New Roman" w:cs="Times New Roman" w:eastAsia="Times New Roman" w:hint="default"/>
          <w:spacing w:val="-4"/>
        </w:rPr>
        <w:t>2012</w:t>
      </w:r>
      <w:r>
        <w:rPr>
          <w:spacing w:val="-4"/>
        </w:rPr>
        <w:t>年度第一期中小企业集合票据，发行价格为</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19"/>
        </w:rPr>
        <w:t> </w:t>
      </w:r>
      <w:r>
        <w:rPr>
          <w:spacing w:val="-1"/>
        </w:rPr>
        <w:t>元</w:t>
      </w:r>
      <w:r>
        <w:rPr>
          <w:rFonts w:ascii="Times New Roman" w:hAnsi="Times New Roman" w:cs="Times New Roman" w:eastAsia="Times New Roman" w:hint="default"/>
          <w:spacing w:val="-1"/>
        </w:rPr>
        <w:t>/</w:t>
      </w:r>
      <w:r>
        <w:rPr>
          <w:spacing w:val="-1"/>
        </w:rPr>
        <w:t>张，</w:t>
      </w:r>
      <w:r>
        <w:rPr/>
        <w:t> 票面利率为</w:t>
      </w:r>
      <w:r>
        <w:rPr>
          <w:rFonts w:ascii="Times New Roman" w:hAnsi="Times New Roman" w:cs="Times New Roman" w:eastAsia="Times New Roman" w:hint="default"/>
        </w:rPr>
        <w:t>5.35%</w:t>
      </w:r>
      <w:r>
        <w:rPr/>
        <w:t>，票据期限为</w:t>
      </w:r>
      <w:r>
        <w:rPr>
          <w:rFonts w:ascii="Times New Roman" w:hAnsi="Times New Roman" w:cs="Times New Roman" w:eastAsia="Times New Roman" w:hint="default"/>
        </w:rPr>
        <w:t>3  </w:t>
      </w:r>
      <w:r>
        <w:rPr/>
        <w:t>年，上市流通日为</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22"/>
        </w:rPr>
        <w:t> </w:t>
      </w:r>
      <w:r>
        <w:rPr/>
        <w:t>日。本次集合票据由兴业银行股份有限公司主承销。</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6" w:id="92"/>
      <w:bookmarkStart w:name="第六节 股份变动及股东情况" w:id="93"/>
      <w:r>
        <w:rPr>
          <w:b w:val="0"/>
          <w:bCs w:val="0"/>
        </w:rPr>
      </w:r>
      <w:r>
        <w:rPr/>
        <w:t>第六节</w:t>
      </w:r>
      <w:r>
        <w:rPr>
          <w:spacing w:val="-10"/>
        </w:rPr>
        <w:t> </w:t>
      </w:r>
      <w:r>
        <w:rPr/>
        <w:t>股份变动及股东情况</w:t>
      </w:r>
      <w:bookmarkEnd w:id="9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94"/>
      <w:bookmarkEnd w:id="94"/>
      <w:r>
        <w:rPr>
          <w:b w:val="0"/>
          <w:bCs w:val="0"/>
        </w:rPr>
      </w:r>
      <w:r>
        <w:rPr/>
        <w:t>一、股份变动情况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74,415,23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17.98%</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-9,513,625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-9,513,625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64,901,60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15.68%</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74,415,23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17.98%</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-9,513,625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-9,513,625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64,901,60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15.68%</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74,415,23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17.98%</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-9,513,625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-9,513,625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64,901,60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15.68%</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339,433,0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82.02%</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9,513,625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9,513,625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348,946,6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84.32%</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339,433,0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82.02%</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9,513,625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9,513,625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348,946,6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84.32%</w:t>
            </w:r>
          </w:p>
        </w:tc>
      </w:tr>
      <w:tr>
        <w:trPr>
          <w:trHeight w:val="393"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413,848,3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413,848,3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、按规定，公司董事、监事、高管人员持有本公司股份，每年年初按</w:t>
      </w:r>
      <w:r>
        <w:rPr>
          <w:rFonts w:ascii="Times New Roman" w:hAnsi="Times New Roman" w:cs="Times New Roman" w:eastAsia="Times New Roman" w:hint="default"/>
        </w:rPr>
        <w:t>25%</w:t>
      </w:r>
      <w:r>
        <w:rPr/>
        <w:t>解除限售。</w:t>
      </w:r>
    </w:p>
    <w:p>
      <w:pPr>
        <w:pStyle w:val="BodyText"/>
        <w:spacing w:line="340" w:lineRule="auto" w:before="63"/>
        <w:ind w:right="1663"/>
        <w:jc w:val="left"/>
      </w:pPr>
      <w:r>
        <w:rPr>
          <w:rFonts w:ascii="Times New Roman" w:hAnsi="Times New Roman" w:cs="Times New Roman" w:eastAsia="Times New Roman" w:hint="default"/>
        </w:rPr>
        <w:t>2</w:t>
      </w:r>
      <w:r>
        <w:rPr/>
        <w:t>、公司前任董事唐荣保先生离任，离职半年后的十二个月内，对其持有公司锁定股份按规定予以解除部分限售股。 股份变动的批准情况</w:t>
      </w:r>
    </w:p>
    <w:p>
      <w:pPr>
        <w:pStyle w:val="BodyText"/>
        <w:spacing w:line="338" w:lineRule="auto" w:before="41"/>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3"/>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二、证券发行与上市情况" w:id="95"/>
      <w:bookmarkEnd w:id="9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报告期末近三年历次证券发行情况" w:id="96"/>
      <w:bookmarkEnd w:id="96"/>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非公开发行Ａ股 股票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78,869,000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78,869,000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年度第一 期中小企业集合 票据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2"/>
        <w:ind w:left="154" w:right="0"/>
        <w:jc w:val="left"/>
      </w:pPr>
      <w:r>
        <w:rPr/>
        <w:t>前三年历次证券发行情况的说明</w:t>
      </w:r>
    </w:p>
    <w:p>
      <w:pPr>
        <w:pStyle w:val="BodyText"/>
        <w:spacing w:line="300" w:lineRule="auto" w:before="115"/>
        <w:ind w:right="1132" w:firstLine="300"/>
        <w:jc w:val="both"/>
      </w:pPr>
      <w:r>
        <w:rPr>
          <w:rFonts w:ascii="Times New Roman" w:hAnsi="Times New Roman" w:cs="Times New Roman" w:eastAsia="Times New Roman" w:hint="default"/>
        </w:rPr>
        <w:t>1</w:t>
      </w:r>
      <w:r>
        <w:rPr/>
        <w:t>、公司经中国证券监督管理委员会</w:t>
      </w:r>
      <w:r>
        <w:rPr>
          <w:rFonts w:ascii="Times New Roman" w:hAnsi="Times New Roman" w:cs="Times New Roman" w:eastAsia="Times New Roman" w:hint="default"/>
        </w:rPr>
        <w:t>“</w:t>
      </w:r>
      <w:r>
        <w:rPr/>
        <w:t>关于核准安徽鑫龙电器股份有限公司非公开发行股票的批复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[2012]648 </w:t>
      </w:r>
      <w:r>
        <w:rPr/>
        <w:t>号）核准</w:t>
      </w:r>
      <w:r>
        <w:rPr>
          <w:rFonts w:ascii="Times New Roman" w:hAnsi="Times New Roman" w:cs="Times New Roman" w:eastAsia="Times New Roman" w:hint="default"/>
        </w:rPr>
        <w:t>,</w:t>
      </w:r>
      <w:r>
        <w:rPr/>
        <w:t>公司获准非公开发行不超过</w:t>
      </w:r>
      <w:r>
        <w:rPr>
          <w:rFonts w:ascii="Times New Roman" w:hAnsi="Times New Roman" w:cs="Times New Roman" w:eastAsia="Times New Roman" w:hint="default"/>
        </w:rPr>
        <w:t>8,000</w:t>
      </w:r>
      <w:r>
        <w:rPr/>
        <w:t>万股，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日，公司向特定投资者非公开发行</w:t>
      </w:r>
      <w:r>
        <w:rPr>
          <w:rFonts w:ascii="Times New Roman" w:hAnsi="Times New Roman" w:cs="Times New Roman" w:eastAsia="Times New Roman" w:hint="default"/>
        </w:rPr>
        <w:t>7,886.90</w:t>
      </w:r>
      <w:r>
        <w:rPr/>
        <w:t>万股，发行价格为 </w:t>
      </w:r>
      <w:r>
        <w:rPr>
          <w:rFonts w:ascii="Times New Roman" w:hAnsi="Times New Roman" w:cs="Times New Roman" w:eastAsia="Times New Roman" w:hint="default"/>
          <w:spacing w:val="-3"/>
        </w:rPr>
        <w:t>6.72</w:t>
      </w:r>
      <w:r>
        <w:rPr>
          <w:spacing w:val="-3"/>
        </w:rPr>
        <w:t>元</w:t>
      </w:r>
      <w:r>
        <w:rPr>
          <w:rFonts w:ascii="Times New Roman" w:hAnsi="Times New Roman" w:cs="Times New Roman" w:eastAsia="Times New Roman" w:hint="default"/>
          <w:spacing w:val="-3"/>
        </w:rPr>
        <w:t>/</w:t>
      </w:r>
      <w:r>
        <w:rPr>
          <w:spacing w:val="-3"/>
        </w:rPr>
        <w:t>股。</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日，大华会计师事务所出具了</w:t>
      </w:r>
      <w:r>
        <w:rPr>
          <w:rFonts w:ascii="Times New Roman" w:hAnsi="Times New Roman" w:cs="Times New Roman" w:eastAsia="Times New Roman" w:hint="default"/>
          <w:spacing w:val="-3"/>
        </w:rPr>
        <w:t>[2012]188</w:t>
      </w:r>
      <w:r>
        <w:rPr>
          <w:spacing w:val="-3"/>
        </w:rPr>
        <w:t>号《安徽鑫龙电器股份有限公司非公开发行人民币普通股（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10"/>
        </w:rPr>
        <w:t> </w:t>
      </w:r>
      <w:r>
        <w:rPr/>
        <w:t>股）</w:t>
      </w:r>
      <w:r>
        <w:rPr>
          <w:rFonts w:ascii="Times New Roman" w:hAnsi="Times New Roman" w:cs="Times New Roman" w:eastAsia="Times New Roman" w:hint="default"/>
        </w:rPr>
        <w:t>7,886.90</w:t>
      </w:r>
      <w:r>
        <w:rPr/>
        <w:t>万股后实收股本的验资报告》。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日，公司非公开发行股票新增股份在深圳证券交易所上市。</w:t>
      </w:r>
    </w:p>
    <w:p>
      <w:pPr>
        <w:pStyle w:val="BodyText"/>
        <w:spacing w:line="300" w:lineRule="auto" w:before="13"/>
        <w:ind w:right="1131" w:firstLine="30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2011</w:t>
      </w:r>
      <w:r>
        <w:rPr/>
        <w:t>年第二次临时股东大会批准公司参与发行</w:t>
      </w:r>
      <w:r>
        <w:rPr>
          <w:rFonts w:ascii="Times New Roman" w:hAnsi="Times New Roman" w:cs="Times New Roman" w:eastAsia="Times New Roman" w:hint="default"/>
        </w:rPr>
        <w:t>“2011</w:t>
      </w:r>
      <w:r>
        <w:rPr/>
        <w:t>年芜湖市第一期中小企业集合票据</w:t>
      </w:r>
      <w:r>
        <w:rPr>
          <w:rFonts w:ascii="Times New Roman" w:hAnsi="Times New Roman" w:cs="Times New Roman" w:eastAsia="Times New Roman" w:hint="default"/>
        </w:rPr>
        <w:t>”</w:t>
      </w:r>
      <w:r>
        <w:rPr/>
        <w:t>（该中小企业集合票据 发行流程跨年度，现更名为</w:t>
      </w:r>
      <w:r>
        <w:rPr>
          <w:rFonts w:ascii="Times New Roman" w:hAnsi="Times New Roman" w:cs="Times New Roman" w:eastAsia="Times New Roman" w:hint="default"/>
        </w:rPr>
        <w:t>“</w:t>
      </w:r>
      <w:r>
        <w:rPr/>
        <w:t>芜湖市</w:t>
      </w:r>
      <w:r>
        <w:rPr>
          <w:rFonts w:ascii="Times New Roman" w:hAnsi="Times New Roman" w:cs="Times New Roman" w:eastAsia="Times New Roman" w:hint="default"/>
        </w:rPr>
        <w:t>2012</w:t>
      </w:r>
      <w:r>
        <w:rPr/>
        <w:t>年度第一期中小企业集合票据</w:t>
      </w:r>
      <w:r>
        <w:rPr>
          <w:rFonts w:ascii="Times New Roman" w:hAnsi="Times New Roman" w:cs="Times New Roman" w:eastAsia="Times New Roman" w:hint="default"/>
        </w:rPr>
        <w:t>”</w:t>
      </w: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日接到中国银行间市场交易 </w:t>
      </w:r>
      <w:r>
        <w:rPr>
          <w:spacing w:val="-1"/>
        </w:rPr>
        <w:t>商协会《接受注册通知书》（中市协注</w:t>
      </w:r>
      <w:r>
        <w:rPr>
          <w:rFonts w:ascii="Times New Roman" w:hAnsi="Times New Roman" w:cs="Times New Roman" w:eastAsia="Times New Roman" w:hint="default"/>
          <w:spacing w:val="-1"/>
        </w:rPr>
        <w:t>[2012]SMECN18</w:t>
      </w:r>
      <w:r>
        <w:rPr>
          <w:spacing w:val="-1"/>
        </w:rPr>
        <w:t>号），决定接受包括本公司在内的</w:t>
      </w:r>
      <w:r>
        <w:rPr>
          <w:rFonts w:ascii="Times New Roman" w:hAnsi="Times New Roman" w:cs="Times New Roman" w:eastAsia="Times New Roman" w:hint="default"/>
          <w:spacing w:val="-1"/>
        </w:rPr>
        <w:t>3</w:t>
      </w:r>
      <w:r>
        <w:rPr>
          <w:spacing w:val="-1"/>
        </w:rPr>
        <w:t>家企业的集合票据注册，此次集</w:t>
      </w:r>
      <w:r>
        <w:rPr>
          <w:spacing w:val="-48"/>
        </w:rPr>
        <w:t> </w:t>
      </w:r>
      <w:r>
        <w:rPr>
          <w:spacing w:val="-48"/>
        </w:rPr>
      </w:r>
      <w:r>
        <w:rPr/>
        <w:t>合票据总注册金额为人民币</w:t>
      </w:r>
      <w:r>
        <w:rPr>
          <w:rFonts w:ascii="Times New Roman" w:hAnsi="Times New Roman" w:cs="Times New Roman" w:eastAsia="Times New Roman" w:hint="default"/>
        </w:rPr>
        <w:t>4.5</w:t>
      </w:r>
      <w:r>
        <w:rPr/>
        <w:t>亿元，其中本公司发行金额为</w:t>
      </w:r>
      <w:r>
        <w:rPr>
          <w:rFonts w:ascii="Times New Roman" w:hAnsi="Times New Roman" w:cs="Times New Roman" w:eastAsia="Times New Roman" w:hint="default"/>
        </w:rPr>
        <w:t>1.5</w:t>
      </w:r>
      <w:r>
        <w:rPr/>
        <w:t>亿元，公司与另外</w:t>
      </w:r>
      <w:r>
        <w:rPr>
          <w:rFonts w:ascii="Times New Roman" w:hAnsi="Times New Roman" w:cs="Times New Roman" w:eastAsia="Times New Roman" w:hint="default"/>
        </w:rPr>
        <w:t>2</w:t>
      </w:r>
      <w:r>
        <w:rPr/>
        <w:t>家企业于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日发行芜湖市</w:t>
      </w:r>
      <w:r>
        <w:rPr>
          <w:rFonts w:ascii="Times New Roman" w:hAnsi="Times New Roman" w:cs="Times New Roman" w:eastAsia="Times New Roman" w:hint="default"/>
        </w:rPr>
        <w:t>2012</w:t>
      </w:r>
      <w:r>
        <w:rPr>
          <w:rFonts w:ascii="Times New Roman" w:hAnsi="Times New Roman" w:cs="Times New Roman" w:eastAsia="Times New Roman" w:hint="default"/>
          <w:w w:val="99"/>
        </w:rPr>
        <w:t> </w:t>
      </w:r>
      <w:r>
        <w:rPr/>
        <w:t>年度第一期中小企业集合票据，上市流通日为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日。本次集合票据由兴业银行股份有限公司主承销。</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bookmarkStart w:name="2、公司股份总数及股东结构的变动、公司资产和负债结构的变动情况说明" w:id="97"/>
      <w:bookmarkEnd w:id="9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现存的内部职工股情况" w:id="98"/>
      <w:bookmarkEnd w:id="9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三、股东和实际控制人情况" w:id="99"/>
      <w:bookmarkEnd w:id="9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100"/>
      <w:bookmarkEnd w:id="10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3"/>
        <w:gridCol w:w="1594"/>
        <w:gridCol w:w="1595"/>
        <w:gridCol w:w="1596"/>
      </w:tblGrid>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23,994</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23,819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30"/>
              <w:jc w:val="both"/>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94.6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2"/>
                    <w:gridCol w:w="233"/>
                    <w:gridCol w:w="1134"/>
                    <w:gridCol w:w="462"/>
                    <w:gridCol w:w="401"/>
                    <w:gridCol w:w="798"/>
                    <w:gridCol w:w="394"/>
                    <w:gridCol w:w="403"/>
                    <w:gridCol w:w="797"/>
                    <w:gridCol w:w="406"/>
                    <w:gridCol w:w="445"/>
                    <w:gridCol w:w="1128"/>
                    <w:gridCol w:w="241"/>
                    <w:gridCol w:w="1367"/>
                  </w:tblGrid>
                  <w:tr>
                    <w:trPr>
                      <w:trHeight w:val="367" w:hRule="exact"/>
                    </w:trPr>
                    <w:tc>
                      <w:tcPr>
                        <w:tcW w:w="159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gridSpan w:val="3"/>
                        <w:tcBorders>
                          <w:top w:val="single" w:sz="4" w:space="0" w:color="000000"/>
                          <w:left w:val="single" w:sz="4" w:space="0" w:color="000000"/>
                          <w:bottom w:val="single" w:sz="4" w:space="0" w:color="000000"/>
                          <w:right w:val="single" w:sz="13" w:space="0" w:color="D2D2D2"/>
                        </w:tcBorders>
                      </w:tcPr>
                      <w:p>
                        <w:pP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tcBorders>
                          <w:top w:val="single" w:sz="4" w:space="0" w:color="000000"/>
                          <w:left w:val="single" w:sz="13" w:space="0" w:color="D2D2D2"/>
                          <w:bottom w:val="single" w:sz="4" w:space="0" w:color="000000"/>
                          <w:right w:val="single" w:sz="4" w:space="0" w:color="000000"/>
                        </w:tcBorders>
                      </w:tcPr>
                      <w:p>
                        <w:pPr/>
                      </w:p>
                    </w:tc>
                  </w:tr>
                  <w:tr>
                    <w:trPr>
                      <w:trHeight w:val="39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0"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20.65%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85,467,34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64,100,50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21,366,83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68" w:type="dxa"/>
                        <w:gridSpan w:val="2"/>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芜湖市鑫诚科技 投资有限公司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8.87%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36,720,93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36,720,93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芜湖市建设投资 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3.19%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安徽省国有资产 运营有限公司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2.62%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-1,662,65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华润深国投信托 有限公司－泽熙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期单一资金信 托</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1.53%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6,327,376</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6,327,376</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安徽鑫科新材料 股份有限公司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1.43%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5,937,196</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5,937,196</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东海基金公司－ 工行－东海基金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－海捷－鑫龙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0.94%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3,884,457</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3,884,457</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华夏银行股份有 限公司－华商大 盘量化精选灵活 配置混合型证券 投资基金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0.79%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3,285,967</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3,285,967</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孙珊珊</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2,107,765</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2,107,765</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重庆国际信托有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0.48%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2,000,030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2,000,030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462"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01" w:type="dxa"/>
                        <w:tcBorders>
                          <w:top w:val="single" w:sz="4" w:space="0" w:color="000000"/>
                          <w:left w:val="nil" w:sz="6" w:space="0" w:color="auto"/>
                          <w:bottom w:val="single" w:sz="4" w:space="0" w:color="000000"/>
                          <w:right w:val="nil" w:sz="6" w:space="0" w:color="auto"/>
                        </w:tcBorders>
                      </w:tcPr>
                      <w:p>
                        <w:pPr/>
                      </w:p>
                    </w:tc>
                    <w:tc>
                      <w:tcPr>
                        <w:tcW w:w="798" w:type="dxa"/>
                        <w:tcBorders>
                          <w:top w:val="single" w:sz="4" w:space="0" w:color="000000"/>
                          <w:left w:val="nil" w:sz="6" w:space="0" w:color="auto"/>
                          <w:bottom w:val="single" w:sz="4" w:space="0" w:color="000000"/>
                          <w:right w:val="nil" w:sz="6" w:space="0" w:color="auto"/>
                        </w:tcBorders>
                      </w:tcPr>
                      <w:p>
                        <w:pPr/>
                      </w:p>
                    </w:tc>
                    <w:tc>
                      <w:tcPr>
                        <w:tcW w:w="394" w:type="dxa"/>
                        <w:tcBorders>
                          <w:top w:val="single" w:sz="4" w:space="0" w:color="000000"/>
                          <w:left w:val="nil" w:sz="6" w:space="0" w:color="auto"/>
                          <w:bottom w:val="single" w:sz="4" w:space="0" w:color="000000"/>
                          <w:right w:val="nil" w:sz="6" w:space="0" w:color="auto"/>
                        </w:tcBorders>
                      </w:tcPr>
                      <w:p>
                        <w:pPr/>
                      </w:p>
                    </w:tc>
                    <w:tc>
                      <w:tcPr>
                        <w:tcW w:w="403"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406" w:type="dxa"/>
                        <w:tcBorders>
                          <w:top w:val="single" w:sz="4" w:space="0" w:color="000000"/>
                          <w:left w:val="nil" w:sz="6" w:space="0" w:color="auto"/>
                          <w:bottom w:val="single" w:sz="4" w:space="0" w:color="000000"/>
                          <w:right w:val="nil" w:sz="6" w:space="0" w:color="auto"/>
                        </w:tcBorders>
                      </w:tcPr>
                      <w:p>
                        <w:pPr/>
                      </w:p>
                    </w:tc>
                    <w:tc>
                      <w:tcPr>
                        <w:tcW w:w="445" w:type="dxa"/>
                        <w:tcBorders>
                          <w:top w:val="single" w:sz="4" w:space="0" w:color="000000"/>
                          <w:left w:val="nil" w:sz="6" w:space="0" w:color="auto"/>
                          <w:bottom w:val="single" w:sz="4" w:space="0" w:color="000000"/>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
                    </w:tc>
                    <w:tc>
                      <w:tcPr>
                        <w:tcW w:w="241" w:type="dxa"/>
                        <w:tcBorders>
                          <w:top w:val="single" w:sz="4" w:space="0" w:color="000000"/>
                          <w:left w:val="nil" w:sz="6" w:space="0" w:color="auto"/>
                          <w:bottom w:val="single" w:sz="4" w:space="0" w:color="000000"/>
                          <w:right w:val="nil" w:sz="6" w:space="0" w:color="auto"/>
                        </w:tcBorders>
                      </w:tcPr>
                      <w:p>
                        <w:pPr/>
                      </w:p>
                    </w:tc>
                    <w:tc>
                      <w:tcPr>
                        <w:tcW w:w="1367" w:type="dxa"/>
                        <w:tcBorders>
                          <w:top w:val="single" w:sz="4" w:space="0" w:color="000000"/>
                          <w:left w:val="nil" w:sz="6" w:space="0" w:color="auto"/>
                          <w:bottom w:val="single" w:sz="4" w:space="0" w:color="000000"/>
                          <w:right w:val="single" w:sz="4" w:space="0" w:color="000000"/>
                        </w:tcBorders>
                      </w:tcPr>
                      <w:p>
                        <w:pPr/>
                      </w:p>
                    </w:tc>
                  </w:tr>
                  <w:tr>
                    <w:trPr>
                      <w:trHeight w:val="473" w:hRule="exact"/>
                    </w:trPr>
                    <w:tc>
                      <w:tcPr>
                        <w:tcW w:w="272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841" w:type="dxa"/>
                        <w:gridSpan w:val="11"/>
                        <w:vMerge w:val="restart"/>
                        <w:tcBorders>
                          <w:top w:val="single" w:sz="4" w:space="0" w:color="000000"/>
                          <w:left w:val="single" w:sz="9" w:space="0" w:color="D2D2D2"/>
                          <w:right w:val="single" w:sz="4" w:space="0" w:color="000000"/>
                        </w:tcBorders>
                      </w:tcPr>
                      <w:p>
                        <w:pPr>
                          <w:pStyle w:val="TableParagraph"/>
                          <w:spacing w:line="304"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束龙胜为芜湖市鑫诚科技投资有限公司一致行动人，束龙胜持有本公司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20.65%</w:t>
                        </w:r>
                        <w:r>
                          <w:rPr>
                            <w:rFonts w:ascii="宋体" w:hAnsi="宋体" w:cs="宋体" w:eastAsia="宋体" w:hint="default"/>
                            <w:sz w:val="18"/>
                            <w:szCs w:val="18"/>
                          </w:rPr>
                          <w:t>的股份 通过持有芜湖市鑫诚科技投资有限公司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99.88</w:t>
                        </w:r>
                        <w:r>
                          <w:rPr>
                            <w:rFonts w:ascii="宋体" w:hAnsi="宋体" w:cs="宋体" w:eastAsia="宋体" w:hint="default"/>
                            <w:sz w:val="18"/>
                            <w:szCs w:val="18"/>
                          </w:rPr>
                          <w:t>％的股份间接持有本公司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8.87%</w:t>
                        </w:r>
                        <w:r>
                          <w:rPr>
                            <w:rFonts w:ascii="宋体" w:hAnsi="宋体" w:cs="宋体" w:eastAsia="宋体" w:hint="default"/>
                            <w:sz w:val="18"/>
                            <w:szCs w:val="18"/>
                          </w:rPr>
                          <w:t>的股份， 合并持有本公司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29.52%</w:t>
                        </w:r>
                        <w:r>
                          <w:rPr>
                            <w:rFonts w:ascii="宋体" w:hAnsi="宋体" w:cs="宋体" w:eastAsia="宋体" w:hint="default"/>
                            <w:sz w:val="18"/>
                            <w:szCs w:val="18"/>
                          </w:rPr>
                          <w:t>的股份，为公司第一大股东和实际控制人。未知公司上述其他 </w:t>
                        </w:r>
                        <w:r>
                          <w:rPr>
                            <w:rFonts w:ascii="宋体" w:hAnsi="宋体" w:cs="宋体" w:eastAsia="宋体" w:hint="default"/>
                            <w:spacing w:val="-2"/>
                            <w:sz w:val="18"/>
                            <w:szCs w:val="18"/>
                          </w:rPr>
                          <w:t>股东之间是否存在关联关系及是否属于《上市公司股东持股变动信息披露管理办法》中</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规定的一致行动人。</w:t>
                        </w:r>
                      </w:p>
                    </w:tc>
                  </w:tr>
                  <w:tr>
                    <w:trPr>
                      <w:trHeight w:val="705" w:hRule="exact"/>
                    </w:trPr>
                    <w:tc>
                      <w:tcPr>
                        <w:tcW w:w="2729"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11"/>
                        <w:vMerge/>
                        <w:tcBorders>
                          <w:left w:val="single" w:sz="9" w:space="0" w:color="D2D2D2"/>
                          <w:right w:val="single" w:sz="4" w:space="0" w:color="000000"/>
                        </w:tcBorders>
                      </w:tcPr>
                      <w:p>
                        <w:pPr/>
                      </w:p>
                    </w:tc>
                  </w:tr>
                  <w:tr>
                    <w:trPr>
                      <w:trHeight w:val="473" w:hRule="exact"/>
                    </w:trPr>
                    <w:tc>
                      <w:tcPr>
                        <w:tcW w:w="272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11"/>
                        <w:vMerge/>
                        <w:tcBorders>
                          <w:left w:val="single" w:sz="9" w:space="0" w:color="D2D2D2"/>
                          <w:bottom w:val="single" w:sz="4" w:space="0" w:color="000000"/>
                          <w:right w:val="single" w:sz="4" w:space="0" w:color="000000"/>
                        </w:tcBorders>
                      </w:tcPr>
                      <w:p>
                        <w:pPr/>
                      </w:p>
                    </w:tc>
                  </w:tr>
                  <w:tr>
                    <w:trPr>
                      <w:trHeight w:val="40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415" w:lineRule="exact"/>
        <w:ind w:left="288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40.45pt;height:20.8pt;mso-position-horizontal-relative:char;mso-position-vertical-relative:line" coordorigin="0,0" coordsize="6809,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6786;height:393" coordorigin="23,11" coordsize="6786,393">
              <v:shape style="position:absolute;left:23;top:11;width:6786;height:393" coordorigin="23,11" coordsize="6786,393" path="m23,404l6808,404,6808,11,23,11,23,404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24"/>
          <w:szCs w:val="24"/>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44"/>
        <w:ind w:left="0" w:right="1139"/>
        <w:jc w:val="right"/>
      </w:pPr>
      <w:r>
        <w:rPr/>
        <w:pict>
          <v:shape style="position:absolute;margin-left:56.459999pt;margin-top:-304.468292pt;width:479.25pt;height:386.6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9"/>
                    <w:gridCol w:w="4106"/>
                    <w:gridCol w:w="1368"/>
                    <w:gridCol w:w="1367"/>
                  </w:tblGrid>
                  <w:tr>
                    <w:trPr>
                      <w:trHeight w:val="402" w:hRule="exact"/>
                    </w:trPr>
                    <w:tc>
                      <w:tcPr>
                        <w:tcW w:w="2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29" w:type="dxa"/>
                        <w:vMerge/>
                        <w:tcBorders>
                          <w:left w:val="single" w:sz="4" w:space="0" w:color="000000"/>
                          <w:bottom w:val="single" w:sz="4" w:space="0" w:color="000000"/>
                          <w:right w:val="single" w:sz="4" w:space="0" w:color="000000"/>
                        </w:tcBorders>
                        <w:shd w:val="clear" w:color="auto" w:fill="D2D2D2"/>
                      </w:tcPr>
                      <w:p>
                        <w:pPr/>
                      </w:p>
                    </w:tc>
                    <w:tc>
                      <w:tcPr>
                        <w:tcW w:w="410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芜湖市鑫诚科技投资有限公司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36,720,936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36,720,936</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21,366,837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21,366,837</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芜湖市建设投资有限公司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13,190,512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13,190,512</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安徽省国有资产运营有限公司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10,834,831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10,834,831</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华润深国投信托有限公司－泽熙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期单一资金信托</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6,327,376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6,327,376</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安徽鑫科新材料股份有限公司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5,937,196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5,937,196</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东海基金公司－工行－东海基金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－海捷－鑫龙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3,884,457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3,884,457</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华夏银行股份有限公司－华商大 盘量化精选灵活配置混合型证券 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3,285,967</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孙珊珊</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2,107,765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2,107,765</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重庆国际信托有限公司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2,000,030</w:t>
                        </w:r>
                      </w:p>
                    </w:tc>
                  </w:tr>
                  <w:tr>
                    <w:trPr>
                      <w:trHeight w:val="1650"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束龙胜为芜湖市鑫诚科技投资有限公司一致行动人，束龙胜持有本公司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20.65%</w:t>
                        </w:r>
                        <w:r>
                          <w:rPr>
                            <w:rFonts w:ascii="宋体" w:hAnsi="宋体" w:cs="宋体" w:eastAsia="宋体" w:hint="default"/>
                            <w:sz w:val="18"/>
                            <w:szCs w:val="18"/>
                          </w:rPr>
                          <w:t>的股份 通过持有芜湖市鑫诚科技投资有限公司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99.88</w:t>
                        </w:r>
                        <w:r>
                          <w:rPr>
                            <w:rFonts w:ascii="宋体" w:hAnsi="宋体" w:cs="宋体" w:eastAsia="宋体" w:hint="default"/>
                            <w:sz w:val="18"/>
                            <w:szCs w:val="18"/>
                          </w:rPr>
                          <w:t>％的股份间接持有本公司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8.87%</w:t>
                        </w:r>
                        <w:r>
                          <w:rPr>
                            <w:rFonts w:ascii="宋体" w:hAnsi="宋体" w:cs="宋体" w:eastAsia="宋体" w:hint="default"/>
                            <w:sz w:val="18"/>
                            <w:szCs w:val="18"/>
                          </w:rPr>
                          <w:t>的股份， 合并持有本公司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29.52%</w:t>
                        </w:r>
                        <w:r>
                          <w:rPr>
                            <w:rFonts w:ascii="宋体" w:hAnsi="宋体" w:cs="宋体" w:eastAsia="宋体" w:hint="default"/>
                            <w:sz w:val="18"/>
                            <w:szCs w:val="18"/>
                          </w:rPr>
                          <w:t>的股份，为公司第一大股东和实际控制人。未知公司上述其他 </w:t>
                        </w:r>
                        <w:r>
                          <w:rPr>
                            <w:rFonts w:ascii="宋体" w:hAnsi="宋体" w:cs="宋体" w:eastAsia="宋体" w:hint="default"/>
                            <w:spacing w:val="-2"/>
                            <w:sz w:val="18"/>
                            <w:szCs w:val="18"/>
                          </w:rPr>
                          <w:t>股东之间是否存在关联关系及是否属于《上市公司股东持股变动信息披露管理办法》中</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规定的一致行动人。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right="1132" w:firstLine="217"/>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11</w:t>
      </w:r>
      <w:r>
        <w:rPr>
          <w:spacing w:val="-1"/>
        </w:rPr>
        <w:t>日，公司股东芜湖市鑫诚科技投资有限公司将其持有的本公司无限售条件流通股</w:t>
      </w:r>
      <w:r>
        <w:rPr>
          <w:rFonts w:ascii="Times New Roman" w:hAnsi="Times New Roman" w:cs="Times New Roman" w:eastAsia="Times New Roman" w:hint="default"/>
          <w:spacing w:val="-1"/>
        </w:rPr>
        <w:t>740</w:t>
      </w:r>
      <w:r>
        <w:rPr>
          <w:spacing w:val="-1"/>
        </w:rPr>
        <w:t>万股股份（占公司总股</w:t>
      </w:r>
      <w:r>
        <w:rPr/>
        <w:t> 本的</w:t>
      </w:r>
      <w:r>
        <w:rPr>
          <w:rFonts w:ascii="Times New Roman" w:hAnsi="Times New Roman" w:cs="Times New Roman" w:eastAsia="Times New Roman" w:hint="default"/>
        </w:rPr>
        <w:t>1.79%</w:t>
      </w:r>
      <w:r>
        <w:rPr/>
        <w:t>）与海通证券股份有限公司进行约定购回式证券交易，购回期限：一年。</w:t>
      </w:r>
    </w:p>
    <w:p>
      <w:pPr>
        <w:pStyle w:val="BodyText"/>
        <w:spacing w:line="300" w:lineRule="auto" w:before="13"/>
        <w:ind w:right="1193" w:firstLine="217"/>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日，鑫诚科技根据《约定购回式证券交易客户协议》约定，提前购回海通证券持有的本公司</w:t>
      </w:r>
      <w:r>
        <w:rPr>
          <w:rFonts w:ascii="Times New Roman" w:hAnsi="Times New Roman" w:cs="Times New Roman" w:eastAsia="Times New Roman" w:hint="default"/>
        </w:rPr>
        <w:t>740</w:t>
      </w:r>
      <w:r>
        <w:rPr/>
        <w:t>万股股份， 占本公司总股本的</w:t>
      </w:r>
      <w:r>
        <w:rPr>
          <w:rFonts w:ascii="Times New Roman" w:hAnsi="Times New Roman" w:cs="Times New Roman" w:eastAsia="Times New Roman" w:hint="default"/>
        </w:rPr>
        <w:t>1.79%</w:t>
      </w:r>
      <w:r>
        <w:rPr/>
        <w:t>。公司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日发布了《关于股东进行约定购回式证券交易购回股份的公告》（公告编号： </w:t>
      </w:r>
      <w:r>
        <w:rPr>
          <w:rFonts w:ascii="Times New Roman" w:hAnsi="Times New Roman" w:cs="Times New Roman" w:eastAsia="Times New Roman" w:hint="default"/>
        </w:rPr>
        <w:t>2014-029</w:t>
      </w:r>
      <w:r>
        <w:rPr/>
        <w:t>）。</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bookmarkStart w:name="2、公司控股股东情况" w:id="101"/>
      <w:bookmarkEnd w:id="10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安徽鑫龙电器股份有限公司董事长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公司实际控制人情况" w:id="102"/>
      <w:bookmarkEnd w:id="10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安徽鑫龙电器股份有限公司董事长</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25"/>
          <w:szCs w:val="25"/>
        </w:rPr>
      </w:pPr>
    </w:p>
    <w:p>
      <w:pPr>
        <w:spacing w:line="5310" w:lineRule="exact"/>
        <w:ind w:left="1439" w:right="0" w:firstLine="0"/>
        <w:rPr>
          <w:rFonts w:ascii="宋体" w:hAnsi="宋体" w:cs="宋体" w:eastAsia="宋体" w:hint="default"/>
          <w:sz w:val="20"/>
          <w:szCs w:val="20"/>
        </w:rPr>
      </w:pPr>
      <w:r>
        <w:rPr>
          <w:rFonts w:ascii="宋体" w:hAnsi="宋体" w:cs="宋体" w:eastAsia="宋体" w:hint="default"/>
          <w:position w:val="-105"/>
          <w:sz w:val="20"/>
          <w:szCs w:val="20"/>
        </w:rPr>
        <w:drawing>
          <wp:inline distT="0" distB="0" distL="0" distR="0">
            <wp:extent cx="4486489" cy="33718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4486489" cy="3371850"/>
                    </a:xfrm>
                    <a:prstGeom prst="rect">
                      <a:avLst/>
                    </a:prstGeom>
                  </pic:spPr>
                </pic:pic>
              </a:graphicData>
            </a:graphic>
          </wp:inline>
        </w:drawing>
      </w:r>
      <w:r>
        <w:rPr>
          <w:rFonts w:ascii="宋体" w:hAnsi="宋体" w:cs="宋体" w:eastAsia="宋体" w:hint="default"/>
          <w:position w:val="-105"/>
          <w:sz w:val="20"/>
          <w:szCs w:val="20"/>
        </w:rPr>
      </w:r>
    </w:p>
    <w:p>
      <w:pPr>
        <w:spacing w:line="240" w:lineRule="auto" w:before="3"/>
        <w:rPr>
          <w:rFonts w:ascii="宋体" w:hAnsi="宋体" w:cs="宋体" w:eastAsia="宋体" w:hint="default"/>
          <w:sz w:val="22"/>
          <w:szCs w:val="22"/>
        </w:rPr>
      </w:pPr>
    </w:p>
    <w:p>
      <w:pPr>
        <w:pStyle w:val="Heading4"/>
        <w:spacing w:line="240" w:lineRule="auto" w:before="26"/>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其他持股在10%以上的法人股东" w:id="103"/>
      <w:bookmarkEnd w:id="10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四、公司股东及其一致行动人在报告期提出或实施股份增持计划的情况" w:id="104"/>
      <w:bookmarkEnd w:id="104"/>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05"/>
      <w:bookmarkStart w:name="第七节 优先股相关情况" w:id="106"/>
      <w:r>
        <w:rPr>
          <w:b w:val="0"/>
          <w:bCs w:val="0"/>
        </w:rPr>
      </w:r>
      <w:r>
        <w:rPr/>
        <w:t>第七节</w:t>
      </w:r>
      <w:r>
        <w:rPr>
          <w:spacing w:val="-8"/>
        </w:rPr>
        <w:t> </w:t>
      </w:r>
      <w:r>
        <w:rPr/>
        <w:t>优先股相关情况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07"/>
      <w:bookmarkStart w:name="第八节 董事、监事、高级管理人员和员工情况" w:id="108"/>
      <w:r>
        <w:rPr>
          <w:b w:val="0"/>
          <w:bCs w:val="0"/>
        </w:rPr>
      </w:r>
      <w:r>
        <w:rPr/>
        <w:t>第八节</w:t>
      </w:r>
      <w:r>
        <w:rPr>
          <w:spacing w:val="-16"/>
        </w:rPr>
        <w:t> </w:t>
      </w:r>
      <w:r>
        <w:rPr/>
        <w:t>董事、监事、高级管理人员和员工情况</w:t>
      </w:r>
      <w:bookmarkEnd w:id="107"/>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09"/>
      <w:bookmarkEnd w:id="10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85,467,346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85,467,346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574,800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574,800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姚禄仕</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汪和俊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江明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陈邦莲</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程晓龙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付龙胜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陈士保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程绍稳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宛玉超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财务部负 责人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张鲁毅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86,042,146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86,042,146</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both"/>
        <w:rPr>
          <w:b w:val="0"/>
          <w:bCs w:val="0"/>
        </w:rPr>
      </w:pPr>
      <w:bookmarkStart w:name="二、任职情况" w:id="110"/>
      <w:bookmarkEnd w:id="110"/>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0" w:hanging="36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spacing w:val="-2"/>
        </w:rPr>
        <w:t>公司第六届董事会目前由</w:t>
      </w:r>
      <w:r>
        <w:rPr>
          <w:rFonts w:ascii="Times New Roman" w:hAnsi="Times New Roman" w:cs="Times New Roman" w:eastAsia="Times New Roman" w:hint="default"/>
          <w:spacing w:val="-2"/>
        </w:rPr>
        <w:t>7</w:t>
      </w:r>
      <w:r>
        <w:rPr>
          <w:spacing w:val="-2"/>
        </w:rPr>
        <w:t>名董事组成，其中非独立董事</w:t>
      </w:r>
      <w:r>
        <w:rPr>
          <w:rFonts w:ascii="Times New Roman" w:hAnsi="Times New Roman" w:cs="Times New Roman" w:eastAsia="Times New Roman" w:hint="default"/>
          <w:spacing w:val="-2"/>
        </w:rPr>
        <w:t>4</w:t>
      </w:r>
      <w:r>
        <w:rPr>
          <w:spacing w:val="-2"/>
        </w:rPr>
        <w:t>名：束龙胜先生、李小庆先生、张祥先生、孙国财先生；独立</w:t>
      </w:r>
    </w:p>
    <w:p>
      <w:pPr>
        <w:pStyle w:val="BodyText"/>
        <w:spacing w:line="230" w:lineRule="exact"/>
        <w:ind w:right="0"/>
        <w:jc w:val="both"/>
      </w:pPr>
      <w:r>
        <w:rPr/>
        <w:t>董事</w:t>
      </w:r>
      <w:r>
        <w:rPr>
          <w:rFonts w:ascii="Times New Roman" w:hAnsi="Times New Roman" w:cs="Times New Roman" w:eastAsia="Times New Roman" w:hint="default"/>
        </w:rPr>
        <w:t>3</w:t>
      </w:r>
      <w:r>
        <w:rPr/>
        <w:t>名：江明先生、姚禄仕先生、汪和俊先生。</w:t>
      </w:r>
    </w:p>
    <w:p>
      <w:pPr>
        <w:pStyle w:val="BodyText"/>
        <w:spacing w:line="300" w:lineRule="auto" w:before="63"/>
        <w:ind w:left="513" w:right="0"/>
        <w:jc w:val="left"/>
      </w:pPr>
      <w:r>
        <w:rPr/>
        <w:t>公司第六届监事会目前由</w:t>
      </w:r>
      <w:r>
        <w:rPr>
          <w:rFonts w:ascii="Times New Roman" w:hAnsi="Times New Roman" w:cs="Times New Roman" w:eastAsia="Times New Roman" w:hint="default"/>
        </w:rPr>
        <w:t>3</w:t>
      </w:r>
      <w:r>
        <w:rPr/>
        <w:t>名监事组成，其中非职工监事</w:t>
      </w:r>
      <w:r>
        <w:rPr>
          <w:rFonts w:ascii="Times New Roman" w:hAnsi="Times New Roman" w:cs="Times New Roman" w:eastAsia="Times New Roman" w:hint="default"/>
        </w:rPr>
        <w:t>2</w:t>
      </w:r>
      <w:r>
        <w:rPr/>
        <w:t>名：张良会先生，李瑾先生；职工监事</w:t>
      </w:r>
      <w:r>
        <w:rPr>
          <w:rFonts w:ascii="Times New Roman" w:hAnsi="Times New Roman" w:cs="Times New Roman" w:eastAsia="Times New Roman" w:hint="default"/>
        </w:rPr>
        <w:t>1</w:t>
      </w:r>
      <w:r>
        <w:rPr/>
        <w:t>名：陈邦莲女士。 </w:t>
      </w:r>
      <w:r>
        <w:rPr>
          <w:spacing w:val="-4"/>
        </w:rPr>
        <w:t>王金海先生为公司总经理，汪宇先生为公司副总经理兼董事会秘书，李骏先生、程晓龙先生、付龙胜先生、陈士保先生、</w:t>
      </w:r>
    </w:p>
    <w:p>
      <w:pPr>
        <w:pStyle w:val="BodyText"/>
        <w:spacing w:line="240" w:lineRule="auto" w:before="32"/>
        <w:ind w:right="0"/>
        <w:jc w:val="both"/>
      </w:pPr>
      <w:r>
        <w:rPr/>
        <w:t>程绍稳先生为副总经理；宛玉超先生为公司总工程师；陶黎明先生为公司财务负责人。</w:t>
      </w:r>
    </w:p>
    <w:p>
      <w:pPr>
        <w:pStyle w:val="BodyText"/>
        <w:spacing w:line="300" w:lineRule="auto" w:before="76"/>
        <w:ind w:left="514" w:right="1122" w:firstLine="60"/>
        <w:jc w:val="left"/>
      </w:pPr>
      <w:r>
        <w:rPr>
          <w:rFonts w:ascii="Times New Roman" w:hAnsi="Times New Roman" w:cs="Times New Roman" w:eastAsia="Times New Roman" w:hint="default"/>
        </w:rPr>
        <w:t>1</w:t>
      </w:r>
      <w:r>
        <w:rPr/>
        <w:t>、董事任职情况 束龙胜，男，中国国籍，未拥有永久境外居留权，</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5</w:t>
      </w:r>
      <w:r>
        <w:rPr/>
        <w:t>月出生，研究生学历，高级工程师。曾任铜陵市磷铵厂技术</w:t>
      </w:r>
    </w:p>
    <w:p>
      <w:pPr>
        <w:pStyle w:val="BodyText"/>
        <w:spacing w:line="309" w:lineRule="auto" w:before="13"/>
        <w:ind w:right="1131"/>
        <w:jc w:val="both"/>
      </w:pPr>
      <w:r>
        <w:rPr>
          <w:spacing w:val="-2"/>
        </w:rPr>
        <w:t>员，芜湖市电器设备厂厂长、芜湖市时创信用担保有限公司董事。自</w:t>
      </w:r>
      <w:r>
        <w:rPr>
          <w:rFonts w:ascii="Times New Roman" w:hAnsi="Times New Roman" w:cs="Times New Roman" w:eastAsia="Times New Roman" w:hint="default"/>
          <w:spacing w:val="-2"/>
        </w:rPr>
        <w:t>2008</w:t>
      </w:r>
      <w:r>
        <w:rPr>
          <w:spacing w:val="-2"/>
        </w:rPr>
        <w:t>年起一直担任公司董事会董事，现任芜湖市鑫诚科</w:t>
      </w:r>
      <w:r>
        <w:rPr>
          <w:spacing w:val="-62"/>
        </w:rPr>
        <w:t> </w:t>
      </w:r>
      <w:r>
        <w:rPr>
          <w:spacing w:val="-62"/>
        </w:rPr>
      </w:r>
      <w:r>
        <w:rPr>
          <w:spacing w:val="-2"/>
        </w:rPr>
        <w:t>技投资有限公司董事长，安徽鑫龙自动化有限公司董事长、安徽鑫龙变压器有限公司董事长，安徽鑫东投资管理有限公司董</w:t>
      </w:r>
      <w:r>
        <w:rPr>
          <w:spacing w:val="-66"/>
        </w:rPr>
        <w:t> </w:t>
      </w:r>
      <w:r>
        <w:rPr>
          <w:spacing w:val="-66"/>
        </w:rPr>
      </w:r>
      <w:r>
        <w:rPr/>
        <w:t>事长，斯高思电器（安徽）有限公司董事长。</w:t>
      </w:r>
    </w:p>
    <w:p>
      <w:pPr>
        <w:pStyle w:val="BodyText"/>
        <w:spacing w:line="316" w:lineRule="auto" w:before="24"/>
        <w:ind w:right="0" w:firstLine="360"/>
        <w:jc w:val="left"/>
      </w:pPr>
      <w:r>
        <w:rPr>
          <w:spacing w:val="-4"/>
        </w:rPr>
        <w:t>束龙胜先生曾任中国电工技术学会青年工作委员会委员、安徽省政协委员、芜湖市政协常委、芜湖市第十三届人大代表、</w:t>
      </w:r>
      <w:r>
        <w:rPr/>
        <w:t> </w:t>
      </w:r>
      <w:r>
        <w:rPr>
          <w:spacing w:val="-2"/>
        </w:rPr>
        <w:t>芜湖市工商业联合会第十届委员会会长，并获得安徽省劳动模范、安徽省优秀民营科技企业家、安徽省年度经济人物、芜湖</w:t>
      </w:r>
      <w:r>
        <w:rPr>
          <w:spacing w:val="-66"/>
        </w:rPr>
        <w:t> </w:t>
      </w:r>
      <w:r>
        <w:rPr>
          <w:spacing w:val="-66"/>
        </w:rPr>
      </w:r>
      <w:r>
        <w:rPr/>
        <w:t>市创新创业优秀人才、合芜蚌自主创新人才等荣誉称号。</w:t>
      </w:r>
    </w:p>
    <w:p>
      <w:pPr>
        <w:pStyle w:val="BodyText"/>
        <w:spacing w:line="300" w:lineRule="auto" w:before="19"/>
        <w:ind w:left="154" w:right="1129" w:firstLine="360"/>
        <w:jc w:val="both"/>
      </w:pPr>
      <w:r>
        <w:rPr/>
        <w:t>李小庆，男，中国国籍，未拥有永久境外居留权，</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2</w:t>
      </w:r>
      <w:r>
        <w:rPr/>
        <w:t>月出生，本科学历，高级工程师。曾任芜湖市粮油食品局科 </w:t>
      </w:r>
      <w:r>
        <w:rPr>
          <w:spacing w:val="-2"/>
        </w:rPr>
        <w:t>员，芜湖市益新面粉公司科长、副总经理。自</w:t>
      </w:r>
      <w:r>
        <w:rPr>
          <w:rFonts w:ascii="Times New Roman" w:hAnsi="Times New Roman" w:cs="Times New Roman" w:eastAsia="Times New Roman" w:hint="default"/>
          <w:spacing w:val="-2"/>
        </w:rPr>
        <w:t>2008</w:t>
      </w:r>
      <w:r>
        <w:rPr>
          <w:spacing w:val="-2"/>
        </w:rPr>
        <w:t>年起一直担任公司董事会董事、副总经理，现任公司董事、安徽鑫龙电力</w:t>
      </w:r>
      <w:r>
        <w:rPr>
          <w:spacing w:val="-64"/>
        </w:rPr>
        <w:t> </w:t>
      </w:r>
      <w:r>
        <w:rPr>
          <w:spacing w:val="-64"/>
        </w:rPr>
      </w:r>
      <w:r>
        <w:rPr/>
        <w:t>工程安装有限公司、安徽佑赛科技有限公司董事长。</w:t>
      </w:r>
    </w:p>
    <w:p>
      <w:pPr>
        <w:pStyle w:val="BodyText"/>
        <w:spacing w:line="300" w:lineRule="auto" w:before="31"/>
        <w:ind w:left="154" w:right="1130" w:firstLine="360"/>
        <w:jc w:val="both"/>
      </w:pPr>
      <w:r>
        <w:rPr/>
        <w:t>张祥，男，中国国籍，未拥有永久境外居留权，</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1</w:t>
      </w:r>
      <w:r>
        <w:rPr/>
        <w:t>月出生，本科学历，高级工程师。曾任蚌埠柠檬酸厂能源办主 </w:t>
      </w:r>
      <w:r>
        <w:rPr>
          <w:spacing w:val="-2"/>
        </w:rPr>
        <w:t>任。自</w:t>
      </w:r>
      <w:r>
        <w:rPr>
          <w:rFonts w:ascii="Times New Roman" w:hAnsi="Times New Roman" w:cs="Times New Roman" w:eastAsia="Times New Roman" w:hint="default"/>
          <w:spacing w:val="-2"/>
        </w:rPr>
        <w:t>2008</w:t>
      </w:r>
      <w:r>
        <w:rPr>
          <w:spacing w:val="-2"/>
        </w:rPr>
        <w:t>年起一直担任公司副总经理，现任公司董事、安徽鑫龙低压电器有限公司董事长，安徽鑫龙电器元件销售有限公</w:t>
      </w:r>
      <w:r>
        <w:rPr>
          <w:spacing w:val="-62"/>
        </w:rPr>
        <w:t> </w:t>
      </w:r>
      <w:r>
        <w:rPr>
          <w:spacing w:val="-62"/>
        </w:rPr>
      </w:r>
      <w:r>
        <w:rPr/>
        <w:t>司董事长。</w:t>
      </w:r>
    </w:p>
    <w:p>
      <w:pPr>
        <w:pStyle w:val="BodyText"/>
        <w:spacing w:line="300" w:lineRule="auto" w:before="31"/>
        <w:ind w:left="154" w:right="1130" w:firstLine="360"/>
        <w:jc w:val="both"/>
      </w:pPr>
      <w:r>
        <w:rPr/>
        <w:t>孙国财，男，中国国籍，未拥有永久境外居留权，</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3</w:t>
      </w:r>
      <w:r>
        <w:rPr/>
        <w:t>月出生，中专学历，高级工程师。曾任芜湖市开关总厂技术 副厂长，自</w:t>
      </w:r>
      <w:r>
        <w:rPr>
          <w:rFonts w:ascii="Times New Roman" w:hAnsi="Times New Roman" w:cs="Times New Roman" w:eastAsia="Times New Roman" w:hint="default"/>
        </w:rPr>
        <w:t>2008</w:t>
      </w:r>
      <w:r>
        <w:rPr/>
        <w:t>年起担任公司副总经理，现任安徽森源电器有限公司常务副总。</w:t>
      </w:r>
    </w:p>
    <w:p>
      <w:pPr>
        <w:pStyle w:val="BodyText"/>
        <w:spacing w:line="300" w:lineRule="auto" w:before="13"/>
        <w:ind w:left="154" w:right="1130" w:firstLine="360"/>
        <w:jc w:val="both"/>
      </w:pPr>
      <w:r>
        <w:rPr/>
        <w:t>江明，男，中国国籍，未拥有永久境外居留权，</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3</w:t>
      </w:r>
      <w:r>
        <w:rPr/>
        <w:t>月出生，硕士学历，教授。曾在芜湖市弋江区挂任区委常委、 副区长等职，</w:t>
      </w:r>
      <w:r>
        <w:rPr>
          <w:rFonts w:ascii="Times New Roman" w:hAnsi="Times New Roman" w:cs="Times New Roman" w:eastAsia="Times New Roman" w:hint="default"/>
        </w:rPr>
        <w:t>2009</w:t>
      </w:r>
      <w:r>
        <w:rPr/>
        <w:t>年获安徽省学术与技术带头人。现任本公司独立董事、安徽工程大学教授、科技处长等职。</w:t>
      </w:r>
    </w:p>
    <w:p>
      <w:pPr>
        <w:pStyle w:val="BodyText"/>
        <w:spacing w:line="300" w:lineRule="auto" w:before="13"/>
        <w:ind w:right="1129" w:firstLine="360"/>
        <w:jc w:val="both"/>
      </w:pPr>
      <w:r>
        <w:rPr/>
        <w:t>姚禄仕，男，中国国籍，未拥有永久境外居留权，</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10</w:t>
      </w:r>
      <w:r>
        <w:rPr/>
        <w:t>月出生，博士学位。</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7</w:t>
      </w:r>
      <w:r>
        <w:rPr/>
        <w:t>月至今在合肥工业大学管理学 院会计系任教。</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月至今任本公司独立董事。</w:t>
      </w:r>
    </w:p>
    <w:p>
      <w:pPr>
        <w:pStyle w:val="BodyText"/>
        <w:spacing w:line="240" w:lineRule="auto" w:before="13"/>
        <w:ind w:left="514" w:right="0"/>
        <w:jc w:val="left"/>
      </w:pPr>
      <w:r>
        <w:rPr/>
        <w:t>汪和俊，男，中国国籍，未拥有永久境外居留权，</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9</w:t>
      </w:r>
      <w:r>
        <w:rPr/>
        <w:t>月出生，大专学历，中国注册会计师，中国注册税务师。曾</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就职于安徽无为国家粮食储备库、安徽永诚会计师事务所、安徽新安会计师事务所、开元信德会计师事务所安徽分所，现任</w:t>
      </w:r>
      <w:r>
        <w:rPr>
          <w:spacing w:val="-66"/>
        </w:rPr>
        <w:t> </w:t>
      </w:r>
      <w:r>
        <w:rPr>
          <w:spacing w:val="-66"/>
        </w:rPr>
      </w:r>
      <w:r>
        <w:rPr/>
        <w:t>安徽和讯税务师事务所有限公司董事长。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月至今任本公司独立董事。</w:t>
      </w:r>
    </w:p>
    <w:p>
      <w:pPr>
        <w:pStyle w:val="BodyText"/>
        <w:spacing w:line="300" w:lineRule="auto"/>
        <w:ind w:left="508" w:right="1128" w:firstLine="66"/>
        <w:jc w:val="left"/>
      </w:pPr>
      <w:r>
        <w:rPr>
          <w:rFonts w:ascii="Times New Roman" w:hAnsi="Times New Roman" w:cs="Times New Roman" w:eastAsia="Times New Roman" w:hint="default"/>
        </w:rPr>
        <w:t>2</w:t>
      </w:r>
      <w:r>
        <w:rPr/>
        <w:t>、监事任职情况 陈邦莲，女，中国国籍，未拥有永久境外居留权，</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3</w:t>
      </w:r>
      <w:r>
        <w:rPr/>
        <w:t>月出生，中专学历。曾任公司第五届监事会监事，现任本公</w:t>
      </w:r>
    </w:p>
    <w:p>
      <w:pPr>
        <w:pStyle w:val="BodyText"/>
        <w:spacing w:line="316" w:lineRule="auto" w:before="13"/>
        <w:ind w:left="506" w:right="1130" w:hanging="353"/>
        <w:jc w:val="left"/>
        <w:rPr>
          <w:rFonts w:ascii="Times New Roman" w:hAnsi="Times New Roman" w:cs="Times New Roman" w:eastAsia="Times New Roman" w:hint="default"/>
        </w:rPr>
      </w:pPr>
      <w:r>
        <w:rPr/>
        <w:t>司监事会主席。 张良会，男，中国国籍，未拥有永久境外居留权，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月出生，硕士研究生学历，会计师、注册会计师职称。</w:t>
      </w:r>
      <w:r>
        <w:rPr>
          <w:rFonts w:ascii="Times New Roman" w:hAnsi="Times New Roman" w:cs="Times New Roman" w:eastAsia="Times New Roman" w:hint="default"/>
        </w:rPr>
        <w:t>1991</w:t>
      </w:r>
    </w:p>
    <w:p>
      <w:pPr>
        <w:pStyle w:val="BodyText"/>
        <w:spacing w:line="312" w:lineRule="auto"/>
        <w:ind w:left="154" w:right="1131"/>
        <w:jc w:val="both"/>
      </w:pPr>
      <w:r>
        <w:rPr/>
        <w:t>年</w:t>
      </w:r>
      <w:r>
        <w:rPr>
          <w:rFonts w:ascii="Times New Roman" w:hAnsi="Times New Roman" w:cs="Times New Roman" w:eastAsia="Times New Roman" w:hint="default"/>
        </w:rPr>
        <w:t>7</w:t>
      </w:r>
      <w:r>
        <w:rPr/>
        <w:t>月参加工作，</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月加入中国共产党。历任安徽省皮革塑料工业公司会计、财务科副科长、财务部经理，安徽省金</w:t>
      </w:r>
      <w:r>
        <w:rPr>
          <w:spacing w:val="-83"/>
        </w:rPr>
        <w:t> </w:t>
      </w:r>
      <w:r>
        <w:rPr>
          <w:spacing w:val="-83"/>
        </w:rPr>
      </w:r>
      <w:r>
        <w:rPr>
          <w:spacing w:val="-2"/>
        </w:rPr>
        <w:t>安实业总公司改制办主任，安徽省二轻供销公司副总经理，安徽省汽车工贸联营（集团）公司副总经理、安徽省经纬饮食娱</w:t>
      </w:r>
      <w:r>
        <w:rPr>
          <w:spacing w:val="-66"/>
        </w:rPr>
        <w:t> </w:t>
      </w:r>
      <w:r>
        <w:rPr>
          <w:spacing w:val="-66"/>
        </w:rPr>
      </w:r>
      <w:r>
        <w:rPr>
          <w:spacing w:val="-2"/>
        </w:rPr>
        <w:t>乐有限公司负责人，安徽省金安实业总公司企业改革部部长、企业部部长、第四党支部书记等。现任本公司监事、安徽省国</w:t>
      </w:r>
      <w:r>
        <w:rPr>
          <w:spacing w:val="-66"/>
        </w:rPr>
        <w:t> </w:t>
      </w:r>
      <w:r>
        <w:rPr>
          <w:spacing w:val="-66"/>
        </w:rPr>
      </w:r>
      <w:r>
        <w:rPr/>
        <w:t>有资产运营有限公司产权部经理助理。</w:t>
      </w:r>
    </w:p>
    <w:p>
      <w:pPr>
        <w:pStyle w:val="BodyText"/>
        <w:spacing w:line="300" w:lineRule="auto" w:before="22"/>
        <w:ind w:left="154" w:right="1130" w:firstLine="352"/>
        <w:jc w:val="left"/>
      </w:pPr>
      <w:r>
        <w:rPr/>
        <w:t>李瑾，男，中国国籍，未拥有永久境外居留权，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w:t>
      </w:r>
      <w:r>
        <w:rPr/>
        <w:t>月出生，研究生在读。曾任安徽东向发展创新投资有限公司总 经理，现任本公司监事、芜湖市鸠江建设投资有限公司副总经理。</w:t>
      </w:r>
    </w:p>
    <w:p>
      <w:pPr>
        <w:pStyle w:val="BodyText"/>
        <w:spacing w:line="300" w:lineRule="auto" w:before="31"/>
        <w:ind w:left="514" w:right="1122" w:firstLine="60"/>
        <w:jc w:val="left"/>
      </w:pPr>
      <w:r>
        <w:rPr>
          <w:rFonts w:ascii="Times New Roman" w:hAnsi="Times New Roman" w:cs="Times New Roman" w:eastAsia="Times New Roman" w:hint="default"/>
        </w:rPr>
        <w:t>3</w:t>
      </w:r>
      <w:r>
        <w:rPr/>
        <w:t>、其他高级管理人员任职情况 王金海，男，中国国籍，未拥有永久境外居留权，</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3</w:t>
      </w:r>
      <w:r>
        <w:rPr/>
        <w:t>月出生，大专学历，高级经济师。曾就职于芜湖天安机电公</w:t>
      </w:r>
    </w:p>
    <w:p>
      <w:pPr>
        <w:pStyle w:val="BodyText"/>
        <w:spacing w:line="300" w:lineRule="auto" w:before="13"/>
        <w:ind w:left="513" w:right="1123" w:hanging="360"/>
        <w:jc w:val="left"/>
      </w:pPr>
      <w:r>
        <w:rPr/>
        <w:t>司任工程主管及业务主管，本公司销售二部业务主管、总经理助理及副总经理，自</w:t>
      </w:r>
      <w:r>
        <w:rPr>
          <w:rFonts w:ascii="Times New Roman" w:hAnsi="Times New Roman" w:cs="Times New Roman" w:eastAsia="Times New Roman" w:hint="default"/>
        </w:rPr>
        <w:t>2012</w:t>
      </w:r>
      <w:r>
        <w:rPr/>
        <w:t>年起一直担任公司总经理。 汪宇，男，中国国籍，未拥有永久境外居留权，</w:t>
      </w:r>
      <w:r>
        <w:rPr>
          <w:rFonts w:ascii="宋体" w:hAnsi="宋体" w:cs="宋体" w:eastAsia="宋体" w:hint="default"/>
        </w:rPr>
        <w:t>1970</w:t>
      </w:r>
      <w:r>
        <w:rPr/>
        <w:t>年</w:t>
      </w:r>
      <w:r>
        <w:rPr>
          <w:rFonts w:ascii="宋体" w:hAnsi="宋体" w:cs="宋体" w:eastAsia="宋体" w:hint="default"/>
        </w:rPr>
        <w:t>4</w:t>
      </w:r>
      <w:r>
        <w:rPr/>
        <w:t>月出生，中共党员，研究生学历，会计师，安徽省劳动模范、</w:t>
      </w:r>
    </w:p>
    <w:p>
      <w:pPr>
        <w:pStyle w:val="BodyText"/>
        <w:spacing w:line="316" w:lineRule="auto" w:before="31"/>
        <w:ind w:left="154" w:right="1129"/>
        <w:jc w:val="both"/>
      </w:pPr>
      <w:r>
        <w:rPr>
          <w:spacing w:val="-2"/>
        </w:rPr>
        <w:t>芜湖市第十五届人大代表、中共芜湖市党代表。曾任芜湖缝纫机厂财务科副科长、副厂长、厂长，芜湖凯元集团副总裁、总</w:t>
      </w:r>
      <w:r>
        <w:rPr>
          <w:spacing w:val="-66"/>
        </w:rPr>
        <w:t> </w:t>
      </w:r>
      <w:r>
        <w:rPr>
          <w:spacing w:val="-66"/>
        </w:rPr>
      </w:r>
      <w:r>
        <w:rPr/>
        <w:t>裁，本公司财务部经理、财务负责人。自</w:t>
      </w:r>
      <w:r>
        <w:rPr>
          <w:rFonts w:ascii="Times New Roman" w:hAnsi="Times New Roman" w:cs="Times New Roman" w:eastAsia="Times New Roman" w:hint="default"/>
        </w:rPr>
        <w:t>2007</w:t>
      </w:r>
      <w:r>
        <w:rPr/>
        <w:t>年起一直担任公司副总经理、董事会秘书。</w:t>
      </w:r>
    </w:p>
    <w:p>
      <w:pPr>
        <w:pStyle w:val="BodyText"/>
        <w:spacing w:line="300" w:lineRule="auto"/>
        <w:ind w:right="0" w:firstLine="360"/>
        <w:jc w:val="left"/>
      </w:pPr>
      <w:r>
        <w:rPr>
          <w:spacing w:val="-2"/>
        </w:rPr>
        <w:t>李骏，男，中国国籍，未拥有永久境外居留权，</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11</w:t>
      </w:r>
      <w:r>
        <w:rPr>
          <w:spacing w:val="-2"/>
        </w:rPr>
        <w:t>月出生，本科学历，高级工程师。曾就职于芜湖恒鑫集团。曾</w:t>
      </w:r>
      <w:r>
        <w:rPr/>
        <w:t> 任本公司第四届监事会监事。自</w:t>
      </w:r>
      <w:r>
        <w:rPr>
          <w:rFonts w:ascii="Times New Roman" w:hAnsi="Times New Roman" w:cs="Times New Roman" w:eastAsia="Times New Roman" w:hint="default"/>
        </w:rPr>
        <w:t>2011</w:t>
      </w:r>
      <w:r>
        <w:rPr/>
        <w:t>年起一直担任公司副总经理。</w:t>
      </w:r>
    </w:p>
    <w:p>
      <w:pPr>
        <w:pStyle w:val="BodyText"/>
        <w:spacing w:line="300" w:lineRule="auto" w:before="13"/>
        <w:ind w:left="154" w:right="0" w:firstLine="360"/>
        <w:jc w:val="left"/>
      </w:pPr>
      <w:r>
        <w:rPr>
          <w:spacing w:val="-2"/>
        </w:rPr>
        <w:t>程晓龙，男，中国国籍，未拥有永久境外居留权，</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10</w:t>
      </w:r>
      <w:r>
        <w:rPr>
          <w:spacing w:val="-2"/>
        </w:rPr>
        <w:t>月出生，研究生学历。曾任北京新力医疗设备有限公司副总</w:t>
      </w:r>
      <w:r>
        <w:rPr/>
        <w:t> 经理，芜湖消防器材厂总经济师，芜湖工艺美术厂副厂长。自</w:t>
      </w:r>
      <w:r>
        <w:rPr>
          <w:rFonts w:ascii="Times New Roman" w:hAnsi="Times New Roman" w:cs="Times New Roman" w:eastAsia="Times New Roman" w:hint="default"/>
        </w:rPr>
        <w:t>2007</w:t>
      </w:r>
      <w:r>
        <w:rPr/>
        <w:t>年起一直担任公司副总经理。</w:t>
      </w:r>
    </w:p>
    <w:p>
      <w:pPr>
        <w:pStyle w:val="BodyText"/>
        <w:spacing w:line="300" w:lineRule="auto" w:before="13"/>
        <w:ind w:left="154" w:right="1122" w:firstLine="360"/>
        <w:jc w:val="left"/>
      </w:pPr>
      <w:r>
        <w:rPr/>
        <w:t>付龙胜，男，中国国籍，未拥有永久境外居留权，</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9</w:t>
      </w:r>
      <w:r>
        <w:rPr/>
        <w:t>月出生，中专学历，工程师。曾任芜湖市开关总厂生产副厂 长。自</w:t>
      </w:r>
      <w:r>
        <w:rPr>
          <w:rFonts w:ascii="Times New Roman" w:hAnsi="Times New Roman" w:cs="Times New Roman" w:eastAsia="Times New Roman" w:hint="default"/>
        </w:rPr>
        <w:t>2007</w:t>
      </w:r>
      <w:r>
        <w:rPr/>
        <w:t>年起一直担任公司副总经理。</w:t>
      </w:r>
    </w:p>
    <w:p>
      <w:pPr>
        <w:pStyle w:val="BodyText"/>
        <w:spacing w:line="300" w:lineRule="auto" w:before="13"/>
        <w:ind w:right="0" w:firstLine="360"/>
        <w:jc w:val="left"/>
      </w:pPr>
      <w:r>
        <w:rPr>
          <w:spacing w:val="-2"/>
        </w:rPr>
        <w:t>陈士保，男，中国国籍，未拥有永久境外居留权，</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11</w:t>
      </w:r>
      <w:r>
        <w:rPr>
          <w:spacing w:val="-2"/>
        </w:rPr>
        <w:t>月出生，中专学历，高级经济师，曾任安徽森源电器有限公</w:t>
      </w:r>
      <w:r>
        <w:rPr/>
        <w:t> 司副总经理、总经理。自</w:t>
      </w:r>
      <w:r>
        <w:rPr>
          <w:rFonts w:ascii="Times New Roman" w:hAnsi="Times New Roman" w:cs="Times New Roman" w:eastAsia="Times New Roman" w:hint="default"/>
        </w:rPr>
        <w:t>2012</w:t>
      </w:r>
      <w:r>
        <w:rPr/>
        <w:t>年起一直担任公司副总经理。</w:t>
      </w:r>
    </w:p>
    <w:p>
      <w:pPr>
        <w:pStyle w:val="BodyText"/>
        <w:spacing w:line="300" w:lineRule="auto" w:before="13"/>
        <w:ind w:left="154" w:right="1122" w:firstLine="360"/>
        <w:jc w:val="left"/>
      </w:pPr>
      <w:r>
        <w:rPr/>
        <w:t>程绍稳，男，中国国籍，未拥有永久境外居留权，</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9</w:t>
      </w:r>
      <w:r>
        <w:rPr/>
        <w:t>月出生，大专学历，</w:t>
      </w:r>
      <w:r>
        <w:rPr>
          <w:rFonts w:ascii="Times New Roman" w:hAnsi="Times New Roman" w:cs="Times New Roman" w:eastAsia="Times New Roman" w:hint="default"/>
        </w:rPr>
        <w:t>2009</w:t>
      </w:r>
      <w:r>
        <w:rPr/>
        <w:t>年至今一直在安徽鑫龙电器股份有 限公司从事销售及管理工作。自</w:t>
      </w:r>
      <w:r>
        <w:rPr>
          <w:rFonts w:ascii="Times New Roman" w:hAnsi="Times New Roman" w:cs="Times New Roman" w:eastAsia="Times New Roman" w:hint="default"/>
        </w:rPr>
        <w:t>2014</w:t>
      </w:r>
      <w:r>
        <w:rPr/>
        <w:t>年起一直担任公司副总经理。</w:t>
      </w:r>
    </w:p>
    <w:p>
      <w:pPr>
        <w:pStyle w:val="BodyText"/>
        <w:spacing w:line="300" w:lineRule="auto" w:before="13"/>
        <w:ind w:right="1033" w:firstLine="360"/>
        <w:jc w:val="left"/>
      </w:pPr>
      <w:r>
        <w:rPr/>
        <w:t>宛玉超，男，中国国籍，未拥有永久境外居留权，</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3</w:t>
      </w:r>
      <w:r>
        <w:rPr/>
        <w:t>月出生，本科学历。曾任芜湖市开关厂试验分厂副厂长，广 东东莞基业开关厂技术主管，本公司生产部经理、技术部经理、开发部主任、副总工程师。自</w:t>
      </w:r>
      <w:r>
        <w:rPr>
          <w:rFonts w:ascii="Times New Roman" w:hAnsi="Times New Roman" w:cs="Times New Roman" w:eastAsia="Times New Roman" w:hint="default"/>
        </w:rPr>
        <w:t>2007</w:t>
      </w:r>
      <w:r>
        <w:rPr/>
        <w:t>年起担任公司总工程师、 安徽鑫龙变压器有限公司总经理。</w:t>
      </w:r>
    </w:p>
    <w:p>
      <w:pPr>
        <w:pStyle w:val="BodyText"/>
        <w:spacing w:line="300" w:lineRule="auto" w:before="31"/>
        <w:ind w:left="154" w:right="1122" w:firstLine="360"/>
        <w:jc w:val="left"/>
      </w:pPr>
      <w:r>
        <w:rPr/>
        <w:t>陶黎明，男，中国国籍，未拥有永久境外居留权，</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8</w:t>
      </w:r>
      <w:r>
        <w:rPr/>
        <w:t>月出生，本科学历，中国注册会计师。曾就职于芜湖市轻工 工艺品进出口公司，南京中达制膜（集团）股份有限公司。现任公司财务负责人、总经理助理。</w:t>
      </w:r>
    </w:p>
    <w:p>
      <w:pPr>
        <w:pStyle w:val="BodyText"/>
        <w:spacing w:line="240" w:lineRule="auto" w:before="72"/>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安徽省国有资产运营有限公司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李瑾</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芜湖市鸠江建设投资有限公司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9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75" w:right="0"/>
              <w:jc w:val="left"/>
              <w:rPr>
                <w:rFonts w:ascii="宋体" w:hAnsi="宋体" w:cs="宋体" w:eastAsia="宋体" w:hint="default"/>
                <w:sz w:val="18"/>
                <w:szCs w:val="18"/>
              </w:rPr>
            </w:pPr>
            <w:r>
              <w:rPr>
                <w:rFonts w:ascii="宋体" w:hAnsi="宋体" w:cs="宋体" w:eastAsia="宋体" w:hint="default"/>
                <w:sz w:val="18"/>
                <w:szCs w:val="18"/>
              </w:rPr>
              <w:t>在其他单位</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71" w:right="0"/>
              <w:jc w:val="left"/>
              <w:rPr>
                <w:rFonts w:ascii="宋体" w:hAnsi="宋体" w:cs="宋体" w:eastAsia="宋体" w:hint="default"/>
                <w:sz w:val="18"/>
                <w:szCs w:val="18"/>
              </w:rPr>
            </w:pPr>
            <w:r>
              <w:rPr>
                <w:rFonts w:ascii="宋体" w:hAnsi="宋体" w:cs="宋体" w:eastAsia="宋体" w:hint="default"/>
                <w:sz w:val="18"/>
                <w:szCs w:val="18"/>
              </w:rPr>
              <w:t>在其他单位是否领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姚禄仕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合肥工业大学管理学院会计系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合伙人兼安 徽分所所长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安徽工程大学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教授、科技处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三、董事、监事、高级管理人员报酬情况" w:id="111"/>
      <w:bookmarkEnd w:id="111"/>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998"/>
        <w:gridCol w:w="7570"/>
      </w:tblGrid>
      <w:tr>
        <w:trPr>
          <w:trHeight w:val="739" w:hRule="exact"/>
        </w:trPr>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董事、监事、高级管理人 员报酬的决策程序</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7"/>
              <w:jc w:val="left"/>
              <w:rPr>
                <w:rFonts w:ascii="宋体" w:hAnsi="宋体" w:cs="宋体" w:eastAsia="宋体" w:hint="default"/>
                <w:sz w:val="18"/>
                <w:szCs w:val="18"/>
              </w:rPr>
            </w:pPr>
            <w:r>
              <w:rPr>
                <w:rFonts w:ascii="宋体" w:hAnsi="宋体" w:cs="宋体" w:eastAsia="宋体" w:hint="default"/>
                <w:sz w:val="18"/>
                <w:szCs w:val="18"/>
              </w:rPr>
              <w:t>经董事会薪酬与考核委员会审定后提交董事会审议，决策程序符合《公司法》，《公司章程》，</w:t>
            </w:r>
          </w:p>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《董事会薪酬委员会工作细则》的相关规定。</w:t>
            </w:r>
          </w:p>
        </w:tc>
      </w:tr>
      <w:tr>
        <w:trPr>
          <w:trHeight w:val="1051" w:hRule="exact"/>
        </w:trPr>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董事、监事、高级管理人 员报酬确定依据</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68"/>
              <w:jc w:val="both"/>
              <w:rPr>
                <w:rFonts w:ascii="宋体" w:hAnsi="宋体" w:cs="宋体" w:eastAsia="宋体" w:hint="default"/>
                <w:sz w:val="18"/>
                <w:szCs w:val="18"/>
              </w:rPr>
            </w:pPr>
            <w:r>
              <w:rPr>
                <w:rFonts w:ascii="宋体" w:hAnsi="宋体" w:cs="宋体" w:eastAsia="宋体" w:hint="default"/>
                <w:sz w:val="18"/>
                <w:szCs w:val="18"/>
              </w:rPr>
              <w:t>公司依据《高管人员薪酬管理制度》和股东大会审议通过的〈关于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安徽鑫龙电器股份有限公司 高级管理人员薪酬方案</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的议案〉、《关于公司第六届董事会独立董事津贴的议案》以及董事会 审议通过的《关于调整公司高级管理人员的议案》确定董事、监事、高管人员报酬。</w:t>
            </w:r>
          </w:p>
        </w:tc>
      </w:tr>
      <w:tr>
        <w:trPr>
          <w:trHeight w:val="1051" w:hRule="exact"/>
        </w:trPr>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董事、监事和高级管理人 员报酬的实际支付情况</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公司现任董事、监事、高级管理人员实际在公司领取报酬有</w:t>
            </w:r>
            <w:r>
              <w:rPr>
                <w:rFonts w:ascii="Times New Roman" w:hAnsi="Times New Roman" w:cs="Times New Roman" w:eastAsia="Times New Roman" w:hint="default"/>
                <w:sz w:val="18"/>
                <w:szCs w:val="18"/>
              </w:rPr>
              <w:t>19</w:t>
            </w:r>
            <w:r>
              <w:rPr>
                <w:rFonts w:ascii="宋体" w:hAnsi="宋体" w:cs="宋体" w:eastAsia="宋体" w:hint="default"/>
                <w:sz w:val="18"/>
                <w:szCs w:val="18"/>
              </w:rPr>
              <w:t>人，截止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日，现任董 事、监事、高级管理人员在公司领取的年度报酬的总数为</w:t>
            </w:r>
            <w:r>
              <w:rPr>
                <w:rFonts w:ascii="Times New Roman" w:hAnsi="Times New Roman" w:cs="Times New Roman" w:eastAsia="Times New Roman" w:hint="default"/>
                <w:sz w:val="18"/>
                <w:szCs w:val="18"/>
              </w:rPr>
              <w:t>257.06</w:t>
            </w:r>
            <w:r>
              <w:rPr>
                <w:rFonts w:ascii="宋体" w:hAnsi="宋体" w:cs="宋体" w:eastAsia="宋体" w:hint="default"/>
                <w:sz w:val="18"/>
                <w:szCs w:val="18"/>
              </w:rPr>
              <w:t>万元（税前），其中现任独立董 事在公司领取的津贴总额为</w:t>
            </w:r>
            <w:r>
              <w:rPr>
                <w:rFonts w:ascii="Times New Roman" w:hAnsi="Times New Roman" w:cs="Times New Roman" w:eastAsia="Times New Roman" w:hint="default"/>
                <w:sz w:val="18"/>
                <w:szCs w:val="18"/>
              </w:rPr>
              <w:t>15</w:t>
            </w:r>
            <w:r>
              <w:rPr>
                <w:rFonts w:ascii="宋体" w:hAnsi="宋体" w:cs="宋体" w:eastAsia="宋体" w:hint="default"/>
                <w:sz w:val="18"/>
                <w:szCs w:val="18"/>
              </w:rPr>
              <w:t>万元（税前）。</w:t>
            </w:r>
          </w:p>
        </w:tc>
      </w:tr>
    </w:tbl>
    <w:p>
      <w:pPr>
        <w:spacing w:line="240" w:lineRule="auto" w:before="5"/>
        <w:rPr>
          <w:rFonts w:ascii="宋体" w:hAnsi="宋体" w:cs="宋体" w:eastAsia="宋体" w:hint="default"/>
          <w:sz w:val="24"/>
          <w:szCs w:val="24"/>
        </w:rPr>
      </w:pPr>
    </w:p>
    <w:p>
      <w:pPr>
        <w:pStyle w:val="BodyText"/>
        <w:spacing w:line="240" w:lineRule="auto" w:before="44"/>
        <w:ind w:left="154"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姚禄仕</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汪和俊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江明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陈邦莲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06.099998pt;margin-top:728.579956pt;width:432.2pt;height:15.6pt;mso-position-horizontal-relative:page;mso-position-vertical-relative:page;z-index:-852328" coordorigin="2122,14572" coordsize="8644,312">
            <v:group style="position:absolute;left:2122;top:14572;width:8556;height:312" coordorigin="2122,14572" coordsize="8556,312">
              <v:shape style="position:absolute;left:2122;top:14572;width:8556;height:312" coordorigin="2122,14572" coordsize="8556,312" path="m2122,14884l10678,14884,10678,14572,2122,14572,2122,14884xe" filled="true" fillcolor="#ffffff" stroked="false">
                <v:path arrowok="t"/>
                <v:fill type="solid"/>
              </v:shape>
              <v:shape style="position:absolute;left:10585;top:1463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程晓龙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付龙胜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陈士保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程绍稳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宛玉超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财务部负责人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257.06</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8"/>
        <w:gridCol w:w="956"/>
        <w:gridCol w:w="958"/>
        <w:gridCol w:w="957"/>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6"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20"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2" w:lineRule="auto" w:before="51"/>
              <w:ind w:left="22" w:right="22"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王金海（首 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付龙胜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宛玉超</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程晓龙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陈士保</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程绍稳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财务部经 理、财务负 责人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王金海（预 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2,610,000</w:t>
            </w:r>
          </w:p>
        </w:tc>
        <w:tc>
          <w:tcPr>
            <w:tcW w:w="95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960" w:type="dxa"/>
            <w:tcBorders>
              <w:top w:val="single" w:sz="4" w:space="0" w:color="000000"/>
              <w:left w:val="single" w:sz="4" w:space="0" w:color="000000"/>
              <w:bottom w:val="nil" w:sz="6" w:space="0" w:color="auto"/>
              <w:right w:val="single" w:sz="9" w:space="0" w:color="FFFFFF"/>
            </w:tcBorders>
            <w:shd w:val="clear" w:color="auto" w:fill="D2D2D2"/>
          </w:tcPr>
          <w:p>
            <w:pPr/>
          </w:p>
        </w:tc>
        <w:tc>
          <w:tcPr>
            <w:tcW w:w="8611" w:type="dxa"/>
            <w:gridSpan w:val="9"/>
            <w:vMerge w:val="restart"/>
            <w:tcBorders>
              <w:top w:val="single" w:sz="4" w:space="0" w:color="000000"/>
              <w:left w:val="single" w:sz="9" w:space="0" w:color="FFFFFF"/>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本报告期，公司第六届董事会第五次会议审议通过了《关于股票期权激励计划首次授予第二个行权期及预留期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权第一个行权期可行权的议案》，可行权日期间即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10"/>
                <w:sz w:val="18"/>
                <w:szCs w:val="18"/>
              </w:rPr>
              <w:t>日止。截止报告期末</w:t>
            </w: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公司董事、高级管理人员在可行权日行权股份数为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份。</w:t>
            </w:r>
          </w:p>
        </w:tc>
      </w:tr>
      <w:tr>
        <w:trPr>
          <w:trHeight w:val="392" w:hRule="exact"/>
        </w:trPr>
        <w:tc>
          <w:tcPr>
            <w:tcW w:w="960" w:type="dxa"/>
            <w:tcBorders>
              <w:top w:val="nil" w:sz="6" w:space="0" w:color="auto"/>
              <w:left w:val="single" w:sz="4" w:space="0" w:color="000000"/>
              <w:bottom w:val="nil" w:sz="6" w:space="0" w:color="auto"/>
              <w:right w:val="single" w:sz="9" w:space="0" w:color="FFFFFF"/>
            </w:tcBorders>
            <w:shd w:val="clear" w:color="auto" w:fill="D2D2D2"/>
          </w:tcPr>
          <w:p>
            <w:pPr>
              <w:pStyle w:val="TableParagraph"/>
              <w:spacing w:line="240"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87"/>
                <w:sz w:val="18"/>
                <w:szCs w:val="18"/>
              </w:rPr>
              <w:t>注</w:t>
            </w:r>
            <w:r>
              <w:rPr>
                <w:rFonts w:ascii="宋体" w:hAnsi="宋体" w:cs="宋体" w:eastAsia="宋体" w:hint="default"/>
                <w:sz w:val="18"/>
                <w:szCs w:val="18"/>
              </w:rPr>
              <w:t>（如有</w:t>
            </w:r>
            <w:r>
              <w:rPr>
                <w:rFonts w:ascii="宋体" w:hAnsi="宋体" w:cs="宋体" w:eastAsia="宋体" w:hint="default"/>
                <w:spacing w:val="-34"/>
                <w:sz w:val="18"/>
                <w:szCs w:val="18"/>
              </w:rPr>
              <w:t>）</w:t>
            </w:r>
            <w:r>
              <w:rPr>
                <w:rFonts w:ascii="宋体" w:hAnsi="宋体" w:cs="宋体" w:eastAsia="宋体" w:hint="default"/>
                <w:sz w:val="18"/>
                <w:szCs w:val="18"/>
              </w:rPr>
            </w:r>
          </w:p>
        </w:tc>
        <w:tc>
          <w:tcPr>
            <w:tcW w:w="8611" w:type="dxa"/>
            <w:gridSpan w:val="9"/>
            <w:vMerge/>
            <w:tcBorders>
              <w:left w:val="single" w:sz="9" w:space="0" w:color="FFFFFF"/>
              <w:right w:val="single" w:sz="4" w:space="0" w:color="000000"/>
            </w:tcBorders>
          </w:tcPr>
          <w:p>
            <w:pPr/>
          </w:p>
        </w:tc>
      </w:tr>
      <w:tr>
        <w:trPr>
          <w:trHeight w:val="317" w:hRule="exact"/>
        </w:trPr>
        <w:tc>
          <w:tcPr>
            <w:tcW w:w="960" w:type="dxa"/>
            <w:tcBorders>
              <w:top w:val="nil" w:sz="6" w:space="0" w:color="auto"/>
              <w:left w:val="single" w:sz="4" w:space="0" w:color="000000"/>
              <w:bottom w:val="single" w:sz="4" w:space="0" w:color="000000"/>
              <w:right w:val="single" w:sz="9" w:space="0" w:color="FFFFFF"/>
            </w:tcBorders>
            <w:shd w:val="clear" w:color="auto" w:fill="D2D2D2"/>
          </w:tcPr>
          <w:p>
            <w:pPr/>
          </w:p>
        </w:tc>
        <w:tc>
          <w:tcPr>
            <w:tcW w:w="8611" w:type="dxa"/>
            <w:gridSpan w:val="9"/>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四、公司董事、监事、高级管理人员变动情况" w:id="112"/>
      <w:bookmarkEnd w:id="112"/>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程绍稳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公司发展需要</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张鲁毅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补选监事</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五、报告期核心技术团队或关键技术人员变动情况（非董事、监事、高级管理人员）" w:id="113"/>
      <w:bookmarkEnd w:id="113"/>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154" w:right="1130" w:firstLine="360"/>
        <w:jc w:val="both"/>
      </w:pPr>
      <w:r>
        <w:rPr/>
        <w:t>秦小州，男，中国国籍，未拥有永久境外居留权，</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4</w:t>
      </w:r>
      <w:r>
        <w:rPr/>
        <w:t>月出生，大专学历，高级工程师，芜湖市发明协会副会长， </w:t>
      </w:r>
      <w:r>
        <w:rPr>
          <w:spacing w:val="-2"/>
        </w:rPr>
        <w:t>能源行业液流电池标准化技术委员会委员，曾任天水市电气传动研究所高级工程师、副总工程师，曾任安徽鑫龙电器自动化</w:t>
      </w:r>
      <w:r>
        <w:rPr>
          <w:spacing w:val="-66"/>
        </w:rPr>
        <w:t> </w:t>
      </w:r>
      <w:r>
        <w:rPr>
          <w:spacing w:val="-66"/>
        </w:rPr>
      </w:r>
      <w:r>
        <w:rPr>
          <w:spacing w:val="-2"/>
        </w:rPr>
        <w:t>公司高级工程师，总经理、董事长，曾任安徽鑫龙电器股份有限公司高级工程师、副总工程师、技术中心主任，现任安徽美</w:t>
      </w:r>
      <w:r>
        <w:rPr>
          <w:spacing w:val="-67"/>
        </w:rPr>
        <w:t> </w:t>
      </w:r>
      <w:r>
        <w:rPr>
          <w:spacing w:val="-67"/>
        </w:rPr>
      </w:r>
      <w:r>
        <w:rPr/>
        <w:t>能储能系统有限公司高级工程师、工程部总监。</w:t>
      </w:r>
    </w:p>
    <w:p>
      <w:pPr>
        <w:pStyle w:val="BodyText"/>
        <w:spacing w:line="307" w:lineRule="auto" w:before="22"/>
        <w:ind w:right="1131" w:firstLine="360"/>
        <w:jc w:val="both"/>
      </w:pPr>
      <w:r>
        <w:rPr>
          <w:spacing w:val="-2"/>
        </w:rPr>
        <w:t>胡雪松，男，中国国籍，未拥有永久境外居留权，</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12</w:t>
      </w:r>
      <w:r>
        <w:rPr>
          <w:spacing w:val="-2"/>
        </w:rPr>
        <w:t>月出生，中共党员，本科学历，高级工程师。</w:t>
      </w:r>
      <w:r>
        <w:rPr>
          <w:rFonts w:ascii="Times New Roman" w:hAnsi="Times New Roman" w:cs="Times New Roman" w:eastAsia="Times New Roman" w:hint="default"/>
          <w:spacing w:val="-2"/>
        </w:rPr>
        <w:t>2012</w:t>
      </w:r>
      <w:r>
        <w:rPr>
          <w:spacing w:val="-2"/>
        </w:rPr>
        <w:t>年被评为</w:t>
      </w:r>
      <w:r>
        <w:rPr/>
        <w:t> </w:t>
      </w:r>
      <w:r>
        <w:rPr>
          <w:rFonts w:ascii="Times New Roman" w:hAnsi="Times New Roman" w:cs="Times New Roman" w:eastAsia="Times New Roman" w:hint="default"/>
          <w:spacing w:val="-2"/>
        </w:rPr>
        <w:t>“</w:t>
      </w:r>
      <w:r>
        <w:rPr>
          <w:spacing w:val="-2"/>
        </w:rPr>
        <w:t>安徽省战略性新兴产业技术领军人才</w:t>
      </w:r>
      <w:r>
        <w:rPr>
          <w:rFonts w:ascii="Times New Roman" w:hAnsi="Times New Roman" w:cs="Times New Roman" w:eastAsia="Times New Roman" w:hint="default"/>
          <w:spacing w:val="-2"/>
        </w:rPr>
        <w:t>”</w:t>
      </w:r>
      <w:r>
        <w:rPr>
          <w:spacing w:val="-2"/>
        </w:rPr>
        <w:t>，杭州市萧山区第二届十佳优秀科技人才和萧山区优秀共产党员，被聘为：中国电工</w:t>
      </w:r>
      <w:r>
        <w:rPr>
          <w:spacing w:val="-45"/>
        </w:rPr>
        <w:t> </w:t>
      </w:r>
      <w:r>
        <w:rPr>
          <w:spacing w:val="-45"/>
        </w:rPr>
      </w:r>
      <w:r>
        <w:rPr>
          <w:spacing w:val="-2"/>
        </w:rPr>
        <w:t>技术学会低压电器专业会员会委员；中国电工技术学会电器智能化系统及应用专业会员会委员；全国低压电器标准化技术委</w:t>
      </w:r>
      <w:r>
        <w:rPr>
          <w:spacing w:val="-64"/>
        </w:rPr>
        <w:t> </w:t>
      </w:r>
      <w:r>
        <w:rPr>
          <w:spacing w:val="-64"/>
        </w:rPr>
      </w:r>
      <w:r>
        <w:rPr/>
        <w:t>员会委员；上海电器行业协会专家委员会委员，现任安徽鑫龙低压电器有限公司副总经理。</w:t>
      </w:r>
    </w:p>
    <w:p>
      <w:pPr>
        <w:pStyle w:val="BodyText"/>
        <w:spacing w:line="300" w:lineRule="auto" w:before="26"/>
        <w:ind w:right="1130" w:firstLine="360"/>
        <w:jc w:val="both"/>
      </w:pPr>
      <w:r>
        <w:rPr/>
        <w:t>吴夕球，男，中国国籍，未拥有永久境外居留权，</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6</w:t>
      </w:r>
      <w:r>
        <w:rPr/>
        <w:t>月出生，本科学历，中级工程师，全国高原电工产品环境技 术标准化技术委员会委员，曾入选芜湖市</w:t>
      </w:r>
      <w:r>
        <w:rPr>
          <w:rFonts w:ascii="Times New Roman" w:hAnsi="Times New Roman" w:cs="Times New Roman" w:eastAsia="Times New Roman" w:hint="default"/>
        </w:rPr>
        <w:t>2011</w:t>
      </w:r>
      <w:r>
        <w:rPr/>
        <w:t>年度产业振兴</w:t>
      </w:r>
      <w:r>
        <w:rPr>
          <w:rFonts w:ascii="Times New Roman" w:hAnsi="Times New Roman" w:cs="Times New Roman" w:eastAsia="Times New Roman" w:hint="default"/>
        </w:rPr>
        <w:t>“</w:t>
      </w:r>
      <w:r>
        <w:rPr/>
        <w:t>千名人才计划</w:t>
      </w:r>
      <w:r>
        <w:rPr>
          <w:rFonts w:ascii="Times New Roman" w:hAnsi="Times New Roman" w:cs="Times New Roman" w:eastAsia="Times New Roman" w:hint="default"/>
        </w:rPr>
        <w:t>”</w:t>
      </w:r>
      <w:r>
        <w:rPr/>
        <w:t>，曾任芜湖市轴承厂技术员</w:t>
      </w:r>
      <w:r>
        <w:rPr>
          <w:rFonts w:ascii="Times New Roman" w:hAnsi="Times New Roman" w:cs="Times New Roman" w:eastAsia="Times New Roman" w:hint="default"/>
        </w:rPr>
        <w:t>,</w:t>
      </w:r>
      <w:r>
        <w:rPr/>
        <w:t>安徽森源电器有限</w:t>
      </w:r>
      <w:r>
        <w:rPr>
          <w:spacing w:val="-24"/>
        </w:rPr>
        <w:t> </w:t>
      </w:r>
      <w:r>
        <w:rPr>
          <w:spacing w:val="-24"/>
        </w:rPr>
      </w:r>
      <w:r>
        <w:rPr/>
        <w:t>公司技术部经理、副总工程师，现任安徽森源电器有限公司总工程师、鑫龙电器股份有限公司技术研究中心副主任。</w:t>
      </w:r>
    </w:p>
    <w:p>
      <w:pPr>
        <w:pStyle w:val="BodyText"/>
        <w:spacing w:line="309" w:lineRule="auto" w:before="31"/>
        <w:ind w:right="0" w:firstLine="360"/>
        <w:jc w:val="left"/>
      </w:pPr>
      <w:r>
        <w:rPr/>
        <w:t>吴夕球曾参加</w:t>
      </w:r>
      <w:r>
        <w:rPr>
          <w:rFonts w:ascii="Times New Roman" w:hAnsi="Times New Roman" w:cs="Times New Roman" w:eastAsia="Times New Roman" w:hint="default"/>
        </w:rPr>
        <w:t>VA</w:t>
      </w:r>
      <w:r>
        <w:rPr/>
        <w:t>型高压真空断路器的研制和开发</w:t>
      </w:r>
      <w:r>
        <w:rPr>
          <w:rFonts w:ascii="Times New Roman" w:hAnsi="Times New Roman" w:cs="Times New Roman" w:eastAsia="Times New Roman" w:hint="default"/>
        </w:rPr>
        <w:t>,</w:t>
      </w:r>
      <w:r>
        <w:rPr/>
        <w:t>获得芜湖市科学进步二等奖；主持</w:t>
      </w:r>
      <w:r>
        <w:rPr>
          <w:rFonts w:ascii="Times New Roman" w:hAnsi="Times New Roman" w:cs="Times New Roman" w:eastAsia="Times New Roman" w:hint="default"/>
        </w:rPr>
        <w:t>VAH</w:t>
      </w:r>
      <w:r>
        <w:rPr>
          <w:rFonts w:ascii="Times New Roman" w:hAnsi="Times New Roman" w:cs="Times New Roman" w:eastAsia="Times New Roman" w:hint="default"/>
          <w:spacing w:val="33"/>
        </w:rPr>
        <w:t> </w:t>
      </w:r>
      <w:r>
        <w:rPr/>
        <w:t>、</w:t>
      </w:r>
      <w:r>
        <w:rPr>
          <w:rFonts w:ascii="Times New Roman" w:hAnsi="Times New Roman" w:cs="Times New Roman" w:eastAsia="Times New Roman" w:hint="default"/>
        </w:rPr>
        <w:t>VAN31</w:t>
      </w:r>
      <w:r>
        <w:rPr/>
        <w:t>系列永磁高压真空 </w:t>
      </w:r>
      <w:r>
        <w:rPr>
          <w:spacing w:val="-4"/>
        </w:rPr>
        <w:t>断路器的研制和开发，并通过国家型式试验，被列为高新技术产品；主持并参与公司多项发明专利产品的设计、开发与应用，</w:t>
      </w:r>
      <w:r>
        <w:rPr>
          <w:spacing w:val="-46"/>
        </w:rPr>
        <w:t> </w:t>
      </w:r>
      <w:r>
        <w:rPr>
          <w:spacing w:val="-46"/>
        </w:rPr>
      </w:r>
      <w:r>
        <w:rPr/>
        <w:t>获得</w:t>
      </w:r>
      <w:r>
        <w:rPr>
          <w:rFonts w:ascii="Times New Roman" w:hAnsi="Times New Roman" w:cs="Times New Roman" w:eastAsia="Times New Roman" w:hint="default"/>
        </w:rPr>
        <w:t>2014</w:t>
      </w:r>
      <w:r>
        <w:rPr/>
        <w:t>年度芜湖市职工技术专利创新竞赛一等奖。</w:t>
      </w:r>
    </w:p>
    <w:p>
      <w:pPr>
        <w:pStyle w:val="BodyText"/>
        <w:spacing w:line="309" w:lineRule="auto" w:before="5"/>
        <w:ind w:right="1129" w:firstLine="360"/>
        <w:jc w:val="both"/>
      </w:pPr>
      <w:r>
        <w:rPr/>
        <w:t>闫涛，男，中国国籍，未拥有永久境外居留权，</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12</w:t>
      </w:r>
      <w:r>
        <w:rPr/>
        <w:t>出生，中共党员，大专学历。自</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月至今，一直在安徽 </w:t>
      </w:r>
      <w:r>
        <w:rPr>
          <w:spacing w:val="-2"/>
        </w:rPr>
        <w:t>鑫龙电器股份有限公司工作，曾任安徽鑫龙电器股份有限公司工人、采购员、物流部经理、成套二厂厂长职务、安徽美能储</w:t>
      </w:r>
      <w:r>
        <w:rPr>
          <w:spacing w:val="-66"/>
        </w:rPr>
        <w:t> </w:t>
      </w:r>
      <w:r>
        <w:rPr>
          <w:spacing w:val="-66"/>
        </w:rPr>
      </w:r>
      <w:r>
        <w:rPr/>
        <w:t>能系统有限公司运营经理，现任安徽鑫龙电器股份有限公司营销中心总经理、安徽鑫龙低压电器有限公司总经理。</w:t>
      </w:r>
    </w:p>
    <w:p>
      <w:pPr>
        <w:pStyle w:val="BodyText"/>
        <w:spacing w:line="300" w:lineRule="auto" w:before="24"/>
        <w:ind w:right="1130" w:firstLine="360"/>
        <w:jc w:val="both"/>
      </w:pPr>
      <w:r>
        <w:rPr/>
        <w:t>单任仲，男，中国国籍，未拥有永久境外居留权，</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5</w:t>
      </w:r>
      <w:r>
        <w:rPr/>
        <w:t>月出生，工学博士后，曾获得河南省电力公司科学技术进步 </w:t>
      </w:r>
      <w:r>
        <w:rPr>
          <w:spacing w:val="-1"/>
        </w:rPr>
        <w:t>奖二等奖。曾任中国电力科学研究院</w:t>
      </w:r>
      <w:r>
        <w:rPr>
          <w:rFonts w:ascii="Times New Roman" w:hAnsi="Times New Roman" w:cs="Times New Roman" w:eastAsia="Times New Roman" w:hint="default"/>
          <w:spacing w:val="-1"/>
        </w:rPr>
        <w:t>(</w:t>
      </w:r>
      <w:r>
        <w:rPr>
          <w:spacing w:val="-1"/>
        </w:rPr>
        <w:t>中电普瑞科技有限公司</w:t>
      </w:r>
      <w:r>
        <w:rPr>
          <w:rFonts w:ascii="Times New Roman" w:hAnsi="Times New Roman" w:cs="Times New Roman" w:eastAsia="Times New Roman" w:hint="default"/>
          <w:spacing w:val="-1"/>
        </w:rPr>
        <w:t>)</w:t>
      </w:r>
      <w:r>
        <w:rPr>
          <w:spacing w:val="-1"/>
        </w:rPr>
        <w:t>优质电力事业部研发工程师，曾任北京华腾开元电气有限公司</w:t>
      </w:r>
      <w:r>
        <w:rPr>
          <w:spacing w:val="-57"/>
        </w:rPr>
        <w:t> </w:t>
      </w:r>
      <w:r>
        <w:rPr>
          <w:spacing w:val="-57"/>
        </w:rPr>
      </w:r>
      <w:r>
        <w:rPr/>
        <w:t>总工程师，现任安徽佑赛科技有限公司总工程师。</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六、公司员工情况" w:id="114"/>
      <w:bookmarkEnd w:id="114"/>
      <w:r>
        <w:rPr>
          <w:b w:val="0"/>
          <w:bCs w:val="0"/>
        </w:rPr>
      </w: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1"/>
        </w:rPr>
        <w:t>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日，本公司员工总人数为</w:t>
      </w:r>
      <w:r>
        <w:rPr>
          <w:rFonts w:ascii="Times New Roman" w:hAnsi="Times New Roman" w:cs="Times New Roman" w:eastAsia="Times New Roman" w:hint="default"/>
          <w:spacing w:val="-1"/>
        </w:rPr>
        <w:t>1,595</w:t>
      </w:r>
      <w:r>
        <w:rPr>
          <w:spacing w:val="-1"/>
        </w:rPr>
        <w:t>人，需承担费用的离退休职工人数为</w:t>
      </w:r>
      <w:r>
        <w:rPr>
          <w:rFonts w:ascii="Times New Roman" w:hAnsi="Times New Roman" w:cs="Times New Roman" w:eastAsia="Times New Roman" w:hint="default"/>
          <w:spacing w:val="-1"/>
        </w:rPr>
        <w:t>0</w:t>
      </w:r>
      <w:r>
        <w:rPr>
          <w:spacing w:val="-1"/>
        </w:rPr>
        <w:t>人。在职员工专业构成及教育程度以</w:t>
      </w:r>
      <w:r>
        <w:rPr>
          <w:spacing w:val="-70"/>
        </w:rPr>
        <w:t> </w:t>
      </w:r>
      <w:r>
        <w:rPr>
          <w:spacing w:val="-70"/>
        </w:rPr>
      </w:r>
      <w:r>
        <w:rPr/>
        <w:t>图表列示如下：</w:t>
      </w:r>
    </w:p>
    <w:p>
      <w:pPr>
        <w:pStyle w:val="BodyText"/>
        <w:spacing w:line="240" w:lineRule="auto" w:before="31"/>
        <w:ind w:right="0"/>
        <w:jc w:val="left"/>
      </w:pPr>
      <w:r>
        <w:rPr/>
        <w:t>（一）员工专业构成情况如下：</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35"/>
        <w:gridCol w:w="2081"/>
        <w:gridCol w:w="1900"/>
      </w:tblGrid>
      <w:tr>
        <w:trPr>
          <w:trHeight w:val="332" w:hRule="exact"/>
        </w:trPr>
        <w:tc>
          <w:tcPr>
            <w:tcW w:w="3035" w:type="dxa"/>
            <w:tcBorders>
              <w:top w:val="nil" w:sz="6" w:space="0" w:color="auto"/>
              <w:left w:val="nil" w:sz="6" w:space="0" w:color="auto"/>
              <w:bottom w:val="single" w:sz="8" w:space="0" w:color="000000"/>
              <w:right w:val="single" w:sz="8" w:space="0" w:color="000000"/>
            </w:tcBorders>
            <w:shd w:val="clear" w:color="auto" w:fill="C0C0C0"/>
          </w:tcPr>
          <w:p>
            <w:pPr>
              <w:pStyle w:val="TableParagraph"/>
              <w:spacing w:line="240" w:lineRule="auto" w:before="16"/>
              <w:ind w:left="974" w:right="0"/>
              <w:jc w:val="left"/>
              <w:rPr>
                <w:rFonts w:ascii="宋体" w:hAnsi="宋体" w:cs="宋体" w:eastAsia="宋体" w:hint="default"/>
                <w:sz w:val="18"/>
                <w:szCs w:val="18"/>
              </w:rPr>
            </w:pPr>
            <w:r>
              <w:rPr>
                <w:rFonts w:ascii="宋体" w:hAnsi="宋体" w:cs="宋体" w:eastAsia="宋体" w:hint="default"/>
                <w:sz w:val="18"/>
                <w:szCs w:val="18"/>
              </w:rPr>
              <w:t>专业构成类别</w:t>
            </w:r>
          </w:p>
        </w:tc>
        <w:tc>
          <w:tcPr>
            <w:tcW w:w="2081"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专业构成人数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1900"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342" w:hRule="exact"/>
        </w:trPr>
        <w:tc>
          <w:tcPr>
            <w:tcW w:w="3035"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0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760</w:t>
            </w:r>
          </w:p>
        </w:tc>
        <w:tc>
          <w:tcPr>
            <w:tcW w:w="19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47.65%</w:t>
            </w:r>
          </w:p>
        </w:tc>
      </w:tr>
      <w:tr>
        <w:trPr>
          <w:trHeight w:val="342" w:hRule="exact"/>
        </w:trPr>
        <w:tc>
          <w:tcPr>
            <w:tcW w:w="3035"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412</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25.83%</w:t>
            </w:r>
          </w:p>
        </w:tc>
      </w:tr>
      <w:tr>
        <w:trPr>
          <w:trHeight w:val="342" w:hRule="exact"/>
        </w:trPr>
        <w:tc>
          <w:tcPr>
            <w:tcW w:w="3035"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311</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19.50%</w:t>
            </w:r>
          </w:p>
        </w:tc>
      </w:tr>
      <w:tr>
        <w:trPr>
          <w:trHeight w:val="343" w:hRule="exact"/>
        </w:trPr>
        <w:tc>
          <w:tcPr>
            <w:tcW w:w="3035"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26</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3040"/>
        <w:gridCol w:w="2081"/>
        <w:gridCol w:w="1900"/>
      </w:tblGrid>
      <w:tr>
        <w:trPr>
          <w:trHeight w:val="337" w:hRule="exact"/>
        </w:trPr>
        <w:tc>
          <w:tcPr>
            <w:tcW w:w="3040" w:type="dxa"/>
            <w:tcBorders>
              <w:top w:val="nil" w:sz="6" w:space="0" w:color="auto"/>
              <w:left w:val="nil" w:sz="6" w:space="0" w:color="auto"/>
              <w:bottom w:val="single" w:sz="8" w:space="0" w:color="000000"/>
              <w:right w:val="single" w:sz="8" w:space="0" w:color="000000"/>
            </w:tcBorders>
            <w:shd w:val="clear" w:color="auto" w:fill="C0C0C0"/>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2081"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86</w:t>
            </w:r>
          </w:p>
        </w:tc>
        <w:tc>
          <w:tcPr>
            <w:tcW w:w="19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5.39%</w:t>
            </w:r>
          </w:p>
        </w:tc>
      </w:tr>
      <w:tr>
        <w:trPr>
          <w:trHeight w:val="342" w:hRule="exact"/>
        </w:trPr>
        <w:tc>
          <w:tcPr>
            <w:tcW w:w="3040"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1595</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5"/>
        <w:rPr>
          <w:rFonts w:ascii="宋体" w:hAnsi="宋体" w:cs="宋体" w:eastAsia="宋体" w:hint="default"/>
          <w:sz w:val="26"/>
          <w:szCs w:val="26"/>
        </w:rPr>
      </w:pPr>
    </w:p>
    <w:p>
      <w:pPr>
        <w:spacing w:line="3675" w:lineRule="exact"/>
        <w:ind w:left="154"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056546" cy="233362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4056546" cy="2333625"/>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0"/>
        <w:rPr>
          <w:rFonts w:ascii="宋体" w:hAnsi="宋体" w:cs="宋体" w:eastAsia="宋体" w:hint="default"/>
          <w:sz w:val="24"/>
          <w:szCs w:val="24"/>
        </w:rPr>
      </w:pPr>
    </w:p>
    <w:p>
      <w:pPr>
        <w:pStyle w:val="BodyText"/>
        <w:spacing w:line="240" w:lineRule="auto" w:before="44"/>
        <w:ind w:right="0"/>
        <w:jc w:val="left"/>
      </w:pPr>
      <w:r>
        <w:rPr/>
        <w:t>（二）员工受教育程度如下：</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41"/>
        <w:gridCol w:w="2082"/>
        <w:gridCol w:w="1904"/>
      </w:tblGrid>
      <w:tr>
        <w:trPr>
          <w:trHeight w:val="332" w:hRule="exact"/>
        </w:trPr>
        <w:tc>
          <w:tcPr>
            <w:tcW w:w="3041" w:type="dxa"/>
            <w:tcBorders>
              <w:top w:val="nil" w:sz="6" w:space="0" w:color="auto"/>
              <w:left w:val="nil" w:sz="6" w:space="0" w:color="auto"/>
              <w:bottom w:val="single" w:sz="8" w:space="0" w:color="000000"/>
              <w:right w:val="single" w:sz="8" w:space="0" w:color="000000"/>
            </w:tcBorders>
            <w:shd w:val="clear" w:color="auto" w:fill="C0C0C0"/>
          </w:tcPr>
          <w:p>
            <w:pPr>
              <w:pStyle w:val="TableParagraph"/>
              <w:spacing w:line="240" w:lineRule="auto" w:before="16"/>
              <w:ind w:left="97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2082"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员工人数（人）</w:t>
            </w:r>
          </w:p>
        </w:tc>
        <w:tc>
          <w:tcPr>
            <w:tcW w:w="1904"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342"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208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823</w:t>
            </w:r>
          </w:p>
        </w:tc>
        <w:tc>
          <w:tcPr>
            <w:tcW w:w="190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51.60%</w:t>
            </w:r>
          </w:p>
        </w:tc>
      </w:tr>
      <w:tr>
        <w:trPr>
          <w:trHeight w:val="342"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516</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32.35%</w:t>
            </w:r>
          </w:p>
        </w:tc>
      </w:tr>
      <w:tr>
        <w:trPr>
          <w:trHeight w:val="342"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243</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15.24%</w:t>
            </w:r>
          </w:p>
        </w:tc>
      </w:tr>
      <w:tr>
        <w:trPr>
          <w:trHeight w:val="342"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2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11</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0.69%</w:t>
            </w:r>
          </w:p>
        </w:tc>
      </w:tr>
      <w:tr>
        <w:trPr>
          <w:trHeight w:val="342"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2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0.06%</w:t>
            </w:r>
          </w:p>
        </w:tc>
      </w:tr>
      <w:tr>
        <w:trPr>
          <w:trHeight w:val="342"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博士后</w:t>
            </w:r>
          </w:p>
        </w:tc>
        <w:tc>
          <w:tcPr>
            <w:tcW w:w="2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0.06%</w:t>
            </w:r>
          </w:p>
        </w:tc>
      </w:tr>
      <w:tr>
        <w:trPr>
          <w:trHeight w:val="343"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1595</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9"/>
        <w:rPr>
          <w:rFonts w:ascii="宋体" w:hAnsi="宋体" w:cs="宋体" w:eastAsia="宋体" w:hint="default"/>
          <w:sz w:val="25"/>
          <w:szCs w:val="25"/>
        </w:rPr>
      </w:pPr>
    </w:p>
    <w:p>
      <w:pPr>
        <w:spacing w:line="3705" w:lineRule="exact"/>
        <w:ind w:left="154"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105910" cy="235267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6" cstate="print"/>
                    <a:stretch>
                      <a:fillRect/>
                    </a:stretch>
                  </pic:blipFill>
                  <pic:spPr>
                    <a:xfrm>
                      <a:off x="0" y="0"/>
                      <a:ext cx="4105910" cy="2352675"/>
                    </a:xfrm>
                    <a:prstGeom prst="rect">
                      <a:avLst/>
                    </a:prstGeom>
                  </pic:spPr>
                </pic:pic>
              </a:graphicData>
            </a:graphic>
          </wp:inline>
        </w:drawing>
      </w:r>
      <w:r>
        <w:rPr>
          <w:rFonts w:ascii="宋体" w:hAnsi="宋体" w:cs="宋体" w:eastAsia="宋体" w:hint="default"/>
          <w:position w:val="-73"/>
          <w:sz w:val="20"/>
          <w:szCs w:val="20"/>
        </w:rPr>
      </w:r>
    </w:p>
    <w:p>
      <w:pPr>
        <w:pStyle w:val="BodyText"/>
        <w:spacing w:line="319" w:lineRule="auto" w:before="30"/>
        <w:ind w:right="0" w:firstLine="360"/>
        <w:jc w:val="left"/>
      </w:pPr>
      <w:r>
        <w:rPr>
          <w:spacing w:val="-2"/>
        </w:rPr>
        <w:t>公司已与全体员工签署了劳动合同，为员工办理了社会保险，同时建立了住房公积金制度，在执行国家用工制度、劳动</w:t>
      </w:r>
      <w:r>
        <w:rPr/>
        <w:t> 保护制度、社会保障制度和医疗保障制度等方面不存在违法、违规情况。</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63"/>
        <w:jc w:val="center"/>
        <w:rPr>
          <w:b w:val="0"/>
          <w:bCs w:val="0"/>
        </w:rPr>
      </w:pPr>
      <w:bookmarkStart w:name="_TOC_250003" w:id="115"/>
      <w:bookmarkStart w:name="第九节 公司治理" w:id="116"/>
      <w:r>
        <w:rPr>
          <w:b w:val="0"/>
          <w:bCs w:val="0"/>
        </w:rPr>
      </w:r>
      <w:r>
        <w:rPr/>
        <w:t>第九节</w:t>
      </w:r>
      <w:r>
        <w:rPr>
          <w:spacing w:val="-5"/>
        </w:rPr>
        <w:t> </w:t>
      </w:r>
      <w:r>
        <w:rPr/>
        <w:t>公司治理</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bookmarkStart w:name="一、公司治理的基本状况" w:id="117"/>
      <w:bookmarkEnd w:id="117"/>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8"/>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圳证券交易所中小企业板上市公司规范运作指引》和中国证监会有关法律法规的要求，不断完善公司治理结构，建立健全内</w:t>
      </w:r>
      <w:r>
        <w:rPr>
          <w:spacing w:val="-66"/>
        </w:rPr>
        <w:t> </w:t>
      </w:r>
      <w:r>
        <w:rPr>
          <w:spacing w:val="-66"/>
        </w:rPr>
      </w:r>
      <w:r>
        <w:rPr>
          <w:spacing w:val="-2"/>
        </w:rPr>
        <w:t>部管理和控制制度，进一步提高公司治理水平。截止报告期末，公司治理的实际运行情况与中国证监会、深证证券交易所上</w:t>
      </w:r>
      <w:r>
        <w:rPr>
          <w:spacing w:val="-66"/>
        </w:rPr>
        <w:t> </w:t>
      </w:r>
      <w:r>
        <w:rPr>
          <w:spacing w:val="-66"/>
        </w:rPr>
      </w:r>
      <w:r>
        <w:rPr>
          <w:spacing w:val="-2"/>
        </w:rPr>
        <w:t>市公司治理规范性文件基本相符，不存在尚未解决的治理问题。截止报告期末，公司对照中国证监会发布的有关上市公司治</w:t>
      </w:r>
      <w:r>
        <w:rPr>
          <w:spacing w:val="-66"/>
        </w:rPr>
        <w:t> </w:t>
      </w:r>
      <w:r>
        <w:rPr>
          <w:spacing w:val="-66"/>
        </w:rPr>
      </w:r>
      <w:r>
        <w:rPr/>
        <w:t>理的规范性文件，公司认为：公司法人治理结构的实际状况基本符合中国证监会发布的有关上市公司治理的规范性文件。</w:t>
      </w:r>
    </w:p>
    <w:p>
      <w:pPr>
        <w:pStyle w:val="BodyText"/>
        <w:spacing w:line="240" w:lineRule="auto" w:before="19"/>
        <w:ind w:left="633" w:right="0"/>
        <w:jc w:val="left"/>
      </w:pPr>
      <w:r>
        <w:rPr/>
        <w:t>公司治理的具体情况如下：</w:t>
      </w:r>
    </w:p>
    <w:p>
      <w:pPr>
        <w:pStyle w:val="BodyText"/>
        <w:spacing w:line="300" w:lineRule="auto" w:before="76"/>
        <w:ind w:left="634" w:right="0"/>
        <w:jc w:val="left"/>
      </w:pPr>
      <w:r>
        <w:rPr>
          <w:rFonts w:ascii="Times New Roman" w:hAnsi="Times New Roman" w:cs="Times New Roman" w:eastAsia="Times New Roman" w:hint="default"/>
        </w:rPr>
        <w:t>1</w:t>
      </w:r>
      <w:r>
        <w:rPr/>
        <w:t>、关于股东与股东大会 </w:t>
      </w:r>
      <w:r>
        <w:rPr>
          <w:spacing w:val="-1"/>
        </w:rPr>
        <w:t>公司严格按照《公司章程》和《股东大会议事规则》的规定，规范股东大会的召集、召开及表决程序，并聘请律师出</w:t>
      </w:r>
    </w:p>
    <w:p>
      <w:pPr>
        <w:pStyle w:val="BodyText"/>
        <w:spacing w:line="316" w:lineRule="auto" w:before="31"/>
        <w:ind w:left="154" w:right="1131"/>
        <w:jc w:val="both"/>
      </w:pPr>
      <w:r>
        <w:rPr>
          <w:spacing w:val="-2"/>
        </w:rPr>
        <w:t>席见证，确保全体股东、特别是中小股东享有平等地位，公司通过建立与股东沟通的有效渠道，确保全体股东充分地行使自</w:t>
      </w:r>
      <w:r>
        <w:rPr>
          <w:spacing w:val="-66"/>
        </w:rPr>
        <w:t> </w:t>
      </w:r>
      <w:r>
        <w:rPr>
          <w:spacing w:val="-66"/>
        </w:rPr>
      </w:r>
      <w:r>
        <w:rPr/>
        <w:t>己的合法权利。</w:t>
      </w:r>
    </w:p>
    <w:p>
      <w:pPr>
        <w:pStyle w:val="BodyText"/>
        <w:spacing w:line="300" w:lineRule="auto" w:before="19"/>
        <w:ind w:left="634" w:right="1272"/>
        <w:jc w:val="left"/>
      </w:pPr>
      <w:r>
        <w:rPr>
          <w:rFonts w:ascii="Times New Roman" w:hAnsi="Times New Roman" w:cs="Times New Roman" w:eastAsia="Times New Roman" w:hint="default"/>
        </w:rPr>
        <w:t>2</w:t>
      </w:r>
      <w:r>
        <w:rPr/>
        <w:t>、关于公司与控股股东 公司控股股东对公司依法通过股东大会行使出资人的权利，没有超越股东大会直接或间接干预公司的决策和经营活</w:t>
      </w:r>
    </w:p>
    <w:p>
      <w:pPr>
        <w:pStyle w:val="BodyText"/>
        <w:spacing w:line="316" w:lineRule="auto" w:before="31"/>
        <w:ind w:left="154" w:right="1050"/>
        <w:jc w:val="both"/>
      </w:pPr>
      <w:r>
        <w:rPr>
          <w:spacing w:val="-2"/>
        </w:rPr>
        <w:t>动。公司拥有独立的业务和经营自主能力，在业务、人员、资产、机构、财务上独立于控股股东，公司董事会、监事会和内</w:t>
      </w:r>
      <w:r>
        <w:rPr>
          <w:spacing w:val="-67"/>
        </w:rPr>
        <w:t> </w:t>
      </w:r>
      <w:r>
        <w:rPr>
          <w:spacing w:val="-67"/>
        </w:rPr>
      </w:r>
      <w:r>
        <w:rPr>
          <w:spacing w:val="-2"/>
        </w:rPr>
        <w:t>部机构独立运作。公司控股股东能严格规范自己的行为，依法行使其权利并承担相应义务，没有超越公司股东大会直接或间</w:t>
      </w:r>
      <w:r>
        <w:rPr>
          <w:spacing w:val="-65"/>
        </w:rPr>
        <w:t> </w:t>
      </w:r>
      <w:r>
        <w:rPr>
          <w:spacing w:val="-65"/>
        </w:rPr>
      </w:r>
      <w:r>
        <w:rPr/>
        <w:t>接干预公司的决策和经营活动的行为。公司不存在控股股东占用公司资金的现象，公司也没有为控股股东提供担保的情形。</w:t>
      </w:r>
    </w:p>
    <w:p>
      <w:pPr>
        <w:pStyle w:val="BodyText"/>
        <w:spacing w:line="300" w:lineRule="auto" w:before="19"/>
        <w:ind w:left="634" w:right="0"/>
        <w:jc w:val="left"/>
      </w:pPr>
      <w:r>
        <w:rPr>
          <w:rFonts w:ascii="Times New Roman" w:hAnsi="Times New Roman" w:cs="Times New Roman" w:eastAsia="Times New Roman" w:hint="default"/>
        </w:rPr>
        <w:t>3</w:t>
      </w:r>
      <w:r>
        <w:rPr/>
        <w:t>、关于董事与董事会 </w:t>
      </w:r>
      <w:r>
        <w:rPr>
          <w:spacing w:val="-3"/>
        </w:rPr>
        <w:t>公司严格按照《公司法》、《公司章程》的规定，严格董事的选聘程序，确保公司董事选聘公开、公平、公正、独立。</w:t>
      </w:r>
    </w:p>
    <w:p>
      <w:pPr>
        <w:pStyle w:val="BodyText"/>
        <w:spacing w:line="316" w:lineRule="auto" w:before="31"/>
        <w:ind w:left="154" w:right="1129"/>
        <w:jc w:val="both"/>
      </w:pPr>
      <w:r>
        <w:rPr>
          <w:spacing w:val="-2"/>
        </w:rPr>
        <w:t>公司目前有董事七名，其中独立董事三名，占全体董事的三分之一以上，董事会成员构成符合法律法规的要求。公司全体董</w:t>
      </w:r>
      <w:r>
        <w:rPr>
          <w:spacing w:val="-66"/>
        </w:rPr>
        <w:t> </w:t>
      </w:r>
      <w:r>
        <w:rPr>
          <w:spacing w:val="-66"/>
        </w:rPr>
      </w:r>
      <w:r>
        <w:rPr>
          <w:spacing w:val="-2"/>
        </w:rPr>
        <w:t>事能够按照《董事会议事规则》、《公司独立董事制度》、《深圳证券交易所中小企业板上市公司规范运作指引》的要求开</w:t>
      </w:r>
      <w:r>
        <w:rPr>
          <w:spacing w:val="-67"/>
        </w:rPr>
        <w:t> </w:t>
      </w:r>
      <w:r>
        <w:rPr>
          <w:spacing w:val="-67"/>
        </w:rPr>
      </w:r>
      <w:r>
        <w:rPr>
          <w:spacing w:val="-2"/>
        </w:rPr>
        <w:t>展工作，认真出席董事会和股东大会，认真履行董事诚实守信、勤勉尽责的义务。董事会下设战略委员会、审计委员会、薪</w:t>
      </w:r>
      <w:r>
        <w:rPr>
          <w:spacing w:val="-67"/>
        </w:rPr>
        <w:t> </w:t>
      </w:r>
      <w:r>
        <w:rPr>
          <w:spacing w:val="-67"/>
        </w:rPr>
      </w:r>
      <w:r>
        <w:rPr/>
        <w:t>酬与考核委员会、提名委员会四个专门委员会，各尽其责，提高了董事会的办事效率。</w:t>
      </w:r>
    </w:p>
    <w:p>
      <w:pPr>
        <w:pStyle w:val="BodyText"/>
        <w:spacing w:line="300" w:lineRule="auto" w:before="19"/>
        <w:ind w:left="634" w:right="0"/>
        <w:jc w:val="left"/>
      </w:pPr>
      <w:r>
        <w:rPr>
          <w:rFonts w:ascii="Times New Roman" w:hAnsi="Times New Roman" w:cs="Times New Roman" w:eastAsia="Times New Roman" w:hint="default"/>
        </w:rPr>
        <w:t>4</w:t>
      </w:r>
      <w:r>
        <w:rPr/>
        <w:t>、关于监事与监事会 </w:t>
      </w:r>
      <w:r>
        <w:rPr>
          <w:spacing w:val="-1"/>
        </w:rPr>
        <w:t>公司严格按照《公司章程》、《监事会议事规则》的规定，严格监事的选聘程序，确保公司监事选聘公开、公平、公</w:t>
      </w:r>
    </w:p>
    <w:p>
      <w:pPr>
        <w:pStyle w:val="BodyText"/>
        <w:spacing w:line="316" w:lineRule="auto" w:before="31"/>
        <w:ind w:right="1131"/>
        <w:jc w:val="both"/>
      </w:pPr>
      <w:r>
        <w:rPr/>
        <w:t>正、独立。公司监事会由三名监事组成，其中一名为职工代表监事，监事会成员构成符合相关法律法规的要求。</w:t>
      </w:r>
      <w:r>
        <w:rPr>
          <w:spacing w:val="-16"/>
        </w:rPr>
        <w:t> </w:t>
      </w:r>
      <w:r>
        <w:rPr/>
        <w:t>公司全体</w:t>
      </w:r>
      <w:r>
        <w:rPr/>
        <w:t> </w:t>
      </w:r>
      <w:r>
        <w:rPr>
          <w:spacing w:val="-2"/>
        </w:rPr>
        <w:t>监事能够按照《公司章程》、《监事会议事规则》等制度，认真履行自己的职责，能够本着对股东负责的精神，认真出席监</w:t>
      </w:r>
      <w:r>
        <w:rPr>
          <w:spacing w:val="-67"/>
        </w:rPr>
        <w:t> </w:t>
      </w:r>
      <w:r>
        <w:rPr>
          <w:spacing w:val="-67"/>
        </w:rPr>
      </w:r>
      <w:r>
        <w:rPr>
          <w:spacing w:val="-2"/>
        </w:rPr>
        <w:t>事会和股东大会，列席董事会，对公司财务以及公司董事、总经理和其他高级管理人员履行职责的合法合规性进行监督，维</w:t>
      </w:r>
      <w:r>
        <w:rPr>
          <w:spacing w:val="-66"/>
        </w:rPr>
        <w:t> </w:t>
      </w:r>
      <w:r>
        <w:rPr>
          <w:spacing w:val="-66"/>
        </w:rPr>
      </w:r>
      <w:r>
        <w:rPr>
          <w:spacing w:val="-2"/>
        </w:rPr>
        <w:t>护公司及股东的合法权益。对公司运营情况、重大事项、关联交易对关联交易以及公司董事的选举、高级管理人员的聘任履</w:t>
      </w:r>
      <w:r>
        <w:rPr>
          <w:spacing w:val="-66"/>
        </w:rPr>
        <w:t> </w:t>
      </w:r>
      <w:r>
        <w:rPr>
          <w:spacing w:val="-66"/>
        </w:rPr>
      </w:r>
      <w:r>
        <w:rPr/>
        <w:t>行程序、职责的合法合规性进行监督，维护了公司及股东的合法权益。</w:t>
      </w:r>
    </w:p>
    <w:p>
      <w:pPr>
        <w:pStyle w:val="BodyText"/>
        <w:spacing w:line="300" w:lineRule="auto" w:before="19"/>
        <w:ind w:left="633" w:right="0"/>
        <w:jc w:val="left"/>
      </w:pPr>
      <w:r>
        <w:rPr>
          <w:rFonts w:ascii="Times New Roman" w:hAnsi="Times New Roman" w:cs="Times New Roman" w:eastAsia="Times New Roman" w:hint="default"/>
        </w:rPr>
        <w:t>5</w:t>
      </w:r>
      <w:r>
        <w:rPr/>
        <w:t>、关于绩效评价与激励约束机制 </w:t>
      </w:r>
      <w:r>
        <w:rPr>
          <w:spacing w:val="-1"/>
        </w:rPr>
        <w:t>公司已建立较为完善的员工绩效评价和激励约束机制，同时建立了公正、透明的董事、监事和经营层人员等的绩效评</w:t>
      </w:r>
    </w:p>
    <w:p>
      <w:pPr>
        <w:pStyle w:val="BodyText"/>
        <w:spacing w:line="316" w:lineRule="auto" w:before="30"/>
        <w:ind w:right="1133"/>
        <w:jc w:val="both"/>
      </w:pPr>
      <w:r>
        <w:rPr>
          <w:spacing w:val="-2"/>
        </w:rPr>
        <w:t>价标准和激励约束机制，公司管理人员的聘任公开、透明，符合法律法规的规定。根据公司的发展，公司将进一步明确高级</w:t>
      </w:r>
      <w:r>
        <w:rPr>
          <w:spacing w:val="-66"/>
        </w:rPr>
        <w:t> </w:t>
      </w:r>
      <w:r>
        <w:rPr>
          <w:spacing w:val="-66"/>
        </w:rPr>
      </w:r>
      <w:r>
        <w:rPr/>
        <w:t>管理人员的职责范围和工作指引。</w:t>
      </w:r>
    </w:p>
    <w:p>
      <w:pPr>
        <w:pStyle w:val="BodyText"/>
        <w:spacing w:line="300" w:lineRule="auto" w:before="19"/>
        <w:ind w:left="634" w:right="0"/>
        <w:jc w:val="left"/>
      </w:pPr>
      <w:r>
        <w:rPr>
          <w:rFonts w:ascii="Times New Roman" w:hAnsi="Times New Roman" w:cs="Times New Roman" w:eastAsia="Times New Roman" w:hint="default"/>
        </w:rPr>
        <w:t>6</w:t>
      </w:r>
      <w:r>
        <w:rPr/>
        <w:t>、关于相关利益者 </w:t>
      </w:r>
      <w:r>
        <w:rPr>
          <w:spacing w:val="-1"/>
        </w:rPr>
        <w:t>公司在保持稳健发展、实现股东利益最大化的同时，充分尊重和维护相关利益者的合法利益，积极与相关利益者沟通</w:t>
      </w:r>
    </w:p>
    <w:p>
      <w:pPr>
        <w:pStyle w:val="BodyText"/>
        <w:spacing w:line="316" w:lineRule="auto" w:before="32"/>
        <w:ind w:left="154" w:right="1133"/>
        <w:jc w:val="both"/>
      </w:pPr>
      <w:r>
        <w:rPr>
          <w:spacing w:val="-2"/>
        </w:rPr>
        <w:t>和交流，努力实现股东、员工、社会等各方利益的均衡，在经营中秉承诚实守信，公平公开的原则，共同推进公司持续、健</w:t>
      </w:r>
      <w:r>
        <w:rPr>
          <w:spacing w:val="-71"/>
        </w:rPr>
        <w:t> </w:t>
      </w:r>
      <w:r>
        <w:rPr>
          <w:spacing w:val="-71"/>
        </w:rPr>
      </w:r>
      <w:r>
        <w:rPr/>
        <w:t>康地发展。</w:t>
      </w:r>
    </w:p>
    <w:p>
      <w:pPr>
        <w:pStyle w:val="BodyText"/>
        <w:spacing w:line="300" w:lineRule="auto" w:before="19"/>
        <w:ind w:left="516" w:right="0" w:firstLine="117"/>
        <w:jc w:val="left"/>
      </w:pPr>
      <w:r>
        <w:rPr>
          <w:rFonts w:ascii="Times New Roman" w:hAnsi="Times New Roman" w:cs="Times New Roman" w:eastAsia="Times New Roman" w:hint="default"/>
        </w:rPr>
        <w:t>7</w:t>
      </w:r>
      <w:r>
        <w:rPr/>
        <w:t>、关于信息披露与透明度 </w:t>
      </w:r>
      <w:r>
        <w:rPr>
          <w:spacing w:val="-2"/>
        </w:rPr>
        <w:t>公司已指定董事会秘书为公司的投资者关系管理负责人，负责公司的信息披露与投资者关系的管理，接待股东的来访和</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0"/>
        <w:jc w:val="left"/>
      </w:pPr>
      <w:r>
        <w:rPr>
          <w:spacing w:val="-1"/>
        </w:rPr>
        <w:t>咨询；指定《证券时报》、《中国证券报》、《上海证券报》和巨潮资讯网</w:t>
      </w:r>
      <w:r>
        <w:rPr>
          <w:rFonts w:ascii="Times New Roman" w:hAnsi="Times New Roman" w:cs="Times New Roman" w:eastAsia="Times New Roman" w:hint="default"/>
          <w:spacing w:val="-1"/>
        </w:rPr>
        <w:t>(www.cinfo.com.cn)</w:t>
      </w:r>
      <w:r>
        <w:rPr>
          <w:spacing w:val="-1"/>
        </w:rPr>
        <w:t>作为公司指定信息披露媒体，</w:t>
      </w:r>
      <w:r>
        <w:rPr>
          <w:spacing w:val="-78"/>
        </w:rPr>
        <w:t> </w:t>
      </w:r>
      <w:r>
        <w:rPr>
          <w:spacing w:val="-78"/>
        </w:rPr>
      </w:r>
      <w:r>
        <w:rPr>
          <w:spacing w:val="-2"/>
        </w:rPr>
        <w:t>公司严格按照有关法律法规和《公司信息披露管理制度》的规定，做到公平、真实、准确、及时、完整的披露公司信息，并</w:t>
      </w:r>
      <w:r>
        <w:rPr>
          <w:spacing w:val="-68"/>
        </w:rPr>
        <w:t> </w:t>
      </w:r>
      <w:r>
        <w:rPr>
          <w:spacing w:val="-68"/>
        </w:rPr>
      </w:r>
      <w:r>
        <w:rPr>
          <w:spacing w:val="-2"/>
        </w:rPr>
        <w:t>确保所有股东有公平的机会获得信息。公司注重与投资者沟通交流，还通过深圳证券交易所互动平台和接待来访等方式与投</w:t>
      </w:r>
      <w:r>
        <w:rPr>
          <w:spacing w:val="-65"/>
        </w:rPr>
        <w:t> </w:t>
      </w:r>
      <w:r>
        <w:rPr>
          <w:spacing w:val="-65"/>
        </w:rPr>
      </w:r>
      <w:r>
        <w:rPr/>
        <w:t>资者的沟通和交流。</w:t>
      </w:r>
    </w:p>
    <w:p>
      <w:pPr>
        <w:pStyle w:val="BodyText"/>
        <w:spacing w:line="240" w:lineRule="auto" w:before="63"/>
        <w:ind w:right="0"/>
        <w:jc w:val="left"/>
      </w:pPr>
      <w:r>
        <w:rPr/>
        <w:t>公司治理与《公司法》和中国证监会相关规定的要求是否存在差异</w:t>
      </w:r>
    </w:p>
    <w:p>
      <w:pPr>
        <w:pStyle w:val="BodyText"/>
        <w:spacing w:line="338" w:lineRule="auto" w:before="117"/>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2"/>
        <w:ind w:right="0"/>
        <w:jc w:val="left"/>
      </w:pPr>
      <w:r>
        <w:rPr/>
        <w:t>公司治理专项活动开展情况以及内幕信息知情人登记管理制度的制定、实施情况</w:t>
      </w:r>
    </w:p>
    <w:p>
      <w:pPr>
        <w:pStyle w:val="BodyText"/>
        <w:spacing w:line="314" w:lineRule="auto" w:before="116"/>
        <w:ind w:right="1032" w:firstLine="36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spacing w:val="-3"/>
        </w:rPr>
        <w:t>年，公司严格按照公司治理的相关制度要求规范运作，公司制定了《内幕信息知情人登记管理制度》，并严格依据</w:t>
      </w:r>
      <w:r>
        <w:rPr/>
        <w:t> </w:t>
      </w:r>
      <w:r>
        <w:rPr>
          <w:spacing w:val="-4"/>
        </w:rPr>
        <w:t>制度要求做好内部信息知情人的登记备案工作。报告期内，公司能够认真执行该项制度，在编制、披露公司报告期内一季报、</w:t>
      </w:r>
      <w:r>
        <w:rPr>
          <w:spacing w:val="-46"/>
        </w:rPr>
        <w:t> </w:t>
      </w:r>
      <w:r>
        <w:rPr>
          <w:spacing w:val="-46"/>
        </w:rPr>
      </w:r>
      <w:r>
        <w:rPr>
          <w:spacing w:val="-2"/>
        </w:rPr>
        <w:t>半年度报告、三季报等工作时，及时向深圳证券交易所报备《内幕信息知情人登记表》。报告期内，公司未发现内幕信息知</w:t>
      </w:r>
      <w:r>
        <w:rPr>
          <w:spacing w:val="-72"/>
        </w:rPr>
        <w:t> </w:t>
      </w:r>
      <w:r>
        <w:rPr>
          <w:spacing w:val="-72"/>
        </w:rPr>
      </w:r>
      <w:r>
        <w:rPr>
          <w:spacing w:val="-2"/>
        </w:rPr>
        <w:t>情人在影响公司股价的重大敏感信息披露前利用内幕信息买卖本公司股票情况，也未受到监管部门因上述原因进行的查处及</w:t>
      </w:r>
      <w:r>
        <w:rPr>
          <w:spacing w:val="-64"/>
        </w:rPr>
        <w:t> </w:t>
      </w:r>
      <w:r>
        <w:rPr>
          <w:spacing w:val="-64"/>
        </w:rPr>
      </w:r>
      <w:r>
        <w:rPr/>
        <w:t>整改。</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二、报告期内召开的年度股东大会和临时股东大会的有关情况" w:id="118"/>
      <w:bookmarkEnd w:id="118"/>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pict>
          <v:group style="position:absolute;margin-left:296.200012pt;margin-top:51.923668pt;width:79.2pt;height:156.050pt;mso-position-horizontal-relative:page;mso-position-vertical-relative:paragraph;z-index:-852304" coordorigin="5924,1038" coordsize="1584,3121">
            <v:shape style="position:absolute;left:5924;top:1038;width:1584;height:3121" coordorigin="5924,1038" coordsize="1584,3121" path="m5924,4159l7508,4159,7508,1038,5924,1038,5924,4159xe" filled="true" fillcolor="#ffffff" stroked="false">
              <v:path arrowok="t"/>
              <v:fill type="solid"/>
            </v:shape>
            <w10:wrap type="none"/>
          </v:group>
        </w:pict>
      </w:r>
      <w:bookmarkStart w:name="1、本报告期年度股东大会情况" w:id="119"/>
      <w:bookmarkEnd w:id="119"/>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95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 会工作报告》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09" w:lineRule="auto" w:before="13"/>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 </w:t>
            </w:r>
            <w:r>
              <w:rPr>
                <w:rFonts w:ascii="宋体" w:hAnsi="宋体" w:cs="宋体" w:eastAsia="宋体" w:hint="default"/>
                <w:spacing w:val="-15"/>
                <w:sz w:val="18"/>
                <w:szCs w:val="18"/>
              </w:rPr>
              <w:t>工作报告》</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年度财务决算报告 </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年度利润分配的预 </w:t>
            </w:r>
            <w:r>
              <w:rPr>
                <w:rFonts w:ascii="宋体" w:hAnsi="宋体" w:cs="宋体" w:eastAsia="宋体" w:hint="default"/>
                <w:spacing w:val="-10"/>
                <w:sz w:val="18"/>
                <w:szCs w:val="18"/>
              </w:rPr>
              <w:t>案》</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w:t>
            </w:r>
            <w:r>
              <w:rPr>
                <w:rFonts w:ascii="宋体" w:hAnsi="宋体" w:cs="宋体" w:eastAsia="宋体" w:hint="default"/>
                <w:spacing w:val="-18"/>
                <w:sz w:val="18"/>
                <w:szCs w:val="18"/>
              </w:rPr>
              <w:t>报告及摘要》</w:t>
            </w:r>
            <w:r>
              <w:rPr>
                <w:rFonts w:ascii="Times New Roman" w:hAnsi="Times New Roman" w:cs="Times New Roman" w:eastAsia="Times New Roman" w:hint="default"/>
                <w:spacing w:val="-18"/>
                <w:sz w:val="18"/>
                <w:szCs w:val="18"/>
              </w:rPr>
              <w:t>6</w:t>
            </w:r>
            <w:r>
              <w:rPr>
                <w:rFonts w:ascii="宋体" w:hAnsi="宋体" w:cs="宋体" w:eastAsia="宋体" w:hint="default"/>
                <w:spacing w:val="-18"/>
                <w:sz w:val="18"/>
                <w:szCs w:val="18"/>
              </w:rPr>
              <w:t>、《募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集资金年度存放与 使用情况的专项报 </w:t>
            </w:r>
            <w:r>
              <w:rPr>
                <w:rFonts w:ascii="宋体" w:hAnsi="宋体" w:cs="宋体" w:eastAsia="宋体" w:hint="default"/>
                <w:spacing w:val="-13"/>
                <w:sz w:val="18"/>
                <w:szCs w:val="18"/>
              </w:rPr>
              <w:t>告》</w:t>
            </w:r>
            <w:r>
              <w:rPr>
                <w:rFonts w:ascii="Times New Roman" w:hAnsi="Times New Roman" w:cs="Times New Roman" w:eastAsia="Times New Roman" w:hint="default"/>
                <w:spacing w:val="-13"/>
                <w:sz w:val="18"/>
                <w:szCs w:val="18"/>
              </w:rPr>
              <w:t>7</w:t>
            </w:r>
            <w:r>
              <w:rPr>
                <w:rFonts w:ascii="宋体" w:hAnsi="宋体" w:cs="宋体" w:eastAsia="宋体" w:hint="default"/>
                <w:spacing w:val="-13"/>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年度为控股子公司 提供担保额度及控 股子公司之间的担 保额度的议案》</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p>
            <w:pPr>
              <w:pStyle w:val="TableParagraph"/>
              <w:spacing w:line="312"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《关于续聘公司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年度财务审计 </w:t>
            </w:r>
            <w:r>
              <w:rPr>
                <w:rFonts w:ascii="宋体" w:hAnsi="宋体" w:cs="宋体" w:eastAsia="宋体" w:hint="default"/>
                <w:spacing w:val="-18"/>
                <w:sz w:val="18"/>
                <w:szCs w:val="18"/>
              </w:rPr>
              <w:t>机构的议案》</w:t>
            </w:r>
            <w:r>
              <w:rPr>
                <w:rFonts w:ascii="Times New Roman" w:hAnsi="Times New Roman" w:cs="Times New Roman" w:eastAsia="Times New Roman" w:hint="default"/>
                <w:spacing w:val="-18"/>
                <w:sz w:val="18"/>
                <w:szCs w:val="18"/>
              </w:rPr>
              <w:t>9</w:t>
            </w:r>
            <w:r>
              <w:rPr>
                <w:rFonts w:ascii="宋体" w:hAnsi="宋体" w:cs="宋体" w:eastAsia="宋体" w:hint="default"/>
                <w:spacing w:val="-18"/>
                <w:sz w:val="18"/>
                <w:szCs w:val="18"/>
              </w:rPr>
              <w:t>、《关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于补选第六届监事 会股东代表监事的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所有议案经审议全 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9" w:lineRule="auto" w:before="75"/>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2014-028</w:t>
            </w:r>
            <w:r>
              <w:rPr>
                <w:rFonts w:ascii="宋体" w:hAnsi="宋体" w:cs="宋体" w:eastAsia="宋体" w:hint="default"/>
                <w:sz w:val="18"/>
                <w:szCs w:val="18"/>
              </w:rPr>
              <w:t>；公告名 </w:t>
            </w:r>
            <w:r>
              <w:rPr>
                <w:rFonts w:ascii="宋体" w:hAnsi="宋体" w:cs="宋体" w:eastAsia="宋体" w:hint="default"/>
                <w:spacing w:val="-19"/>
                <w:sz w:val="18"/>
                <w:szCs w:val="18"/>
              </w:rPr>
              <w:t>称：《</w:t>
            </w:r>
            <w:r>
              <w:rPr>
                <w:rFonts w:ascii="Times New Roman" w:hAnsi="Times New Roman" w:cs="Times New Roman" w:eastAsia="Times New Roman" w:hint="default"/>
                <w:spacing w:val="-19"/>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 </w:t>
            </w:r>
            <w:r>
              <w:rPr>
                <w:rFonts w:ascii="宋体" w:hAnsi="宋体" w:cs="宋体" w:eastAsia="宋体" w:hint="default"/>
                <w:spacing w:val="-10"/>
                <w:sz w:val="18"/>
                <w:szCs w:val="18"/>
              </w:rPr>
              <w:t>大会决议的公告》；</w:t>
            </w:r>
            <w:r>
              <w:rPr>
                <w:rFonts w:ascii="宋体" w:hAnsi="宋体" w:cs="宋体" w:eastAsia="宋体" w:hint="default"/>
                <w:sz w:val="18"/>
                <w:szCs w:val="18"/>
              </w:rPr>
              <w:t> </w:t>
            </w:r>
            <w:r>
              <w:rPr>
                <w:rFonts w:ascii="宋体" w:hAnsi="宋体" w:cs="宋体" w:eastAsia="宋体" w:hint="default"/>
                <w:spacing w:val="-10"/>
                <w:sz w:val="18"/>
                <w:szCs w:val="18"/>
              </w:rPr>
              <w:t>公告网站：巨潮资讯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302" w:lineRule="auto" w:before="24"/>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2、本报告期临时股东大会情况" w:id="120"/>
      <w:bookmarkEnd w:id="120"/>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p>
      <w:pPr>
        <w:pStyle w:val="BodyText"/>
        <w:spacing w:line="240" w:lineRule="auto" w:before="44"/>
        <w:ind w:left="0" w:right="1140"/>
        <w:jc w:val="right"/>
      </w:pPr>
      <w:r>
        <w:rPr/>
        <w:pict>
          <v:shape style="position:absolute;margin-left:56.459999pt;margin-top:-106.76825pt;width:479.1pt;height:326.0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、《关于终止实施</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VA-12</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智能化固封极柱式</w:t>
                        </w:r>
                        <w:r>
                          <w:rPr>
                            <w:rFonts w:ascii="宋体" w:hAnsi="宋体" w:cs="宋体" w:eastAsia="宋体" w:hint="default"/>
                            <w:w w:val="99"/>
                            <w:sz w:val="18"/>
                            <w:szCs w:val="18"/>
                          </w:rPr>
                          <w:t> </w:t>
                        </w:r>
                        <w:r>
                          <w:rPr>
                            <w:rFonts w:ascii="宋体" w:hAnsi="宋体" w:cs="宋体" w:eastAsia="宋体" w:hint="default"/>
                            <w:sz w:val="18"/>
                            <w:szCs w:val="18"/>
                          </w:rPr>
                          <w:t>高压真空断路器项</w:t>
                        </w:r>
                        <w:r>
                          <w:rPr>
                            <w:rFonts w:ascii="宋体" w:hAnsi="宋体" w:cs="宋体" w:eastAsia="宋体" w:hint="default"/>
                            <w:w w:val="99"/>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并使用剩余募集 </w:t>
                        </w:r>
                        <w:r>
                          <w:rPr>
                            <w:rFonts w:ascii="宋体" w:hAnsi="宋体" w:cs="宋体" w:eastAsia="宋体" w:hint="default"/>
                            <w:spacing w:val="-10"/>
                            <w:sz w:val="18"/>
                            <w:szCs w:val="18"/>
                          </w:rPr>
                          <w:t>资金（含利息）永久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补充流动资金的议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、《关于继续使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用部分闲置募集资 金暂时补充流动资 金的议案》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所有议案经审议全 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9" w:lineRule="auto" w:before="7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2014-009</w:t>
                        </w:r>
                        <w:r>
                          <w:rPr>
                            <w:rFonts w:ascii="宋体" w:hAnsi="宋体" w:cs="宋体" w:eastAsia="宋体" w:hint="default"/>
                            <w:sz w:val="18"/>
                            <w:szCs w:val="18"/>
                          </w:rPr>
                          <w:t>；公告名 </w:t>
                        </w:r>
                        <w:r>
                          <w:rPr>
                            <w:rFonts w:ascii="宋体" w:hAnsi="宋体" w:cs="宋体" w:eastAsia="宋体" w:hint="default"/>
                            <w:spacing w:val="-19"/>
                            <w:sz w:val="18"/>
                            <w:szCs w:val="18"/>
                          </w:rPr>
                          <w:t>称：《</w:t>
                        </w:r>
                        <w:r>
                          <w:rPr>
                            <w:rFonts w:ascii="Times New Roman" w:hAnsi="Times New Roman" w:cs="Times New Roman" w:eastAsia="Times New Roman" w:hint="default"/>
                            <w:spacing w:val="-19"/>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 临时股东大会决议 </w:t>
                        </w:r>
                        <w:r>
                          <w:rPr>
                            <w:rFonts w:ascii="宋体" w:hAnsi="宋体" w:cs="宋体" w:eastAsia="宋体" w:hint="default"/>
                            <w:spacing w:val="-20"/>
                            <w:sz w:val="18"/>
                            <w:szCs w:val="18"/>
                          </w:rPr>
                          <w:t>的公告》；公告网站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302" w:lineRule="auto" w:before="24"/>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119"/>
                          <w:jc w:val="both"/>
                          <w:rPr>
                            <w:rFonts w:ascii="宋体" w:hAnsi="宋体" w:cs="宋体" w:eastAsia="宋体" w:hint="default"/>
                            <w:sz w:val="18"/>
                            <w:szCs w:val="18"/>
                          </w:rPr>
                        </w:pPr>
                        <w:r>
                          <w:rPr>
                            <w:rFonts w:ascii="宋体" w:hAnsi="宋体" w:cs="宋体" w:eastAsia="宋体" w:hint="default"/>
                            <w:sz w:val="18"/>
                            <w:szCs w:val="18"/>
                          </w:rPr>
                          <w:t>《关于部分变更募 集资金投向暨收购 资产的议案》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议案经审议通过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9" w:lineRule="auto" w:before="7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2014-039</w:t>
                        </w:r>
                        <w:r>
                          <w:rPr>
                            <w:rFonts w:ascii="宋体" w:hAnsi="宋体" w:cs="宋体" w:eastAsia="宋体" w:hint="default"/>
                            <w:sz w:val="18"/>
                            <w:szCs w:val="18"/>
                          </w:rPr>
                          <w:t>；公告名 </w:t>
                        </w:r>
                        <w:r>
                          <w:rPr>
                            <w:rFonts w:ascii="宋体" w:hAnsi="宋体" w:cs="宋体" w:eastAsia="宋体" w:hint="default"/>
                            <w:spacing w:val="-19"/>
                            <w:sz w:val="18"/>
                            <w:szCs w:val="18"/>
                          </w:rPr>
                          <w:t>称：《</w:t>
                        </w:r>
                        <w:r>
                          <w:rPr>
                            <w:rFonts w:ascii="Times New Roman" w:hAnsi="Times New Roman" w:cs="Times New Roman" w:eastAsia="Times New Roman" w:hint="default"/>
                            <w:spacing w:val="-19"/>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 临时股东大会决议 </w:t>
                        </w:r>
                        <w:r>
                          <w:rPr>
                            <w:rFonts w:ascii="宋体" w:hAnsi="宋体" w:cs="宋体" w:eastAsia="宋体" w:hint="default"/>
                            <w:spacing w:val="-20"/>
                            <w:sz w:val="18"/>
                            <w:szCs w:val="18"/>
                          </w:rPr>
                          <w:t>的公告》；公告网站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302" w:lineRule="auto" w:before="24"/>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5"/>
        <w:spacing w:line="240" w:lineRule="auto" w:before="35"/>
        <w:ind w:left="154" w:right="0"/>
        <w:jc w:val="left"/>
        <w:rPr>
          <w:b w:val="0"/>
          <w:bCs w:val="0"/>
        </w:rPr>
      </w:pPr>
      <w:bookmarkStart w:name="3、表决权恢夊的优先股股东请求召开临时股东大会" w:id="121"/>
      <w:bookmarkEnd w:id="121"/>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三、报告期内独立董事履行职责的情况" w:id="122"/>
      <w:bookmarkEnd w:id="122"/>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23"/>
      <w:bookmarkEnd w:id="12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姚禄仕</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54" w:right="0"/>
        <w:jc w:val="left"/>
      </w:pPr>
      <w:r>
        <w:rPr/>
        <w:t>连续两次未亲自出席董事会的说明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独立董事对公司有关事项提出异议的情况" w:id="124"/>
      <w:bookmarkEnd w:id="12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独立董事履行职责的其他说明" w:id="125"/>
      <w:bookmarkEnd w:id="12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1" w:firstLine="360"/>
        <w:jc w:val="both"/>
      </w:pPr>
      <w:r>
        <w:rPr>
          <w:spacing w:val="-2"/>
        </w:rPr>
        <w:t>报告期内，公司独立董事根据《公司法》、《证券法》、《股票上市规则》、《上市公司治理准则》、《公司章程》等</w:t>
      </w:r>
      <w:r>
        <w:rPr/>
        <w:t> </w:t>
      </w:r>
      <w:r>
        <w:rPr>
          <w:spacing w:val="-2"/>
        </w:rPr>
        <w:t>规定，关注公司运作的规范性，认真独立履行职责，对公司的制度完善和日常经营决策等方面提出了很多专业性建议，对报</w:t>
      </w:r>
      <w:r>
        <w:rPr>
          <w:spacing w:val="-66"/>
        </w:rPr>
        <w:t> </w:t>
      </w:r>
      <w:r>
        <w:rPr>
          <w:spacing w:val="-66"/>
        </w:rPr>
      </w:r>
      <w:r>
        <w:rPr/>
        <w:t>告期内公司发生的日常关联及其他需要独立董事发表意见的事项进行审核并出具了独立董事意见，</w:t>
      </w:r>
      <w:r>
        <w:rPr>
          <w:spacing w:val="-18"/>
        </w:rPr>
        <w:t> </w:t>
      </w:r>
      <w:r>
        <w:rPr/>
        <w:t>为完善公司监督机制，</w:t>
      </w:r>
      <w:r>
        <w:rPr/>
        <w:t> 切实维护了公司和中小股东的利益。</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四、董事会下设专门委员会在报告期内履行职责情况" w:id="126"/>
      <w:bookmarkEnd w:id="126"/>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71" w:right="0"/>
        <w:jc w:val="left"/>
      </w:pPr>
      <w:r>
        <w:rPr/>
        <w:t>公司董事会下设审计委员会、提名委员会、薪酬与考核委员会、战略委员会四个专业委员会，</w:t>
      </w:r>
      <w:r>
        <w:rPr>
          <w:rFonts w:ascii="Times New Roman" w:hAnsi="Times New Roman" w:cs="Times New Roman" w:eastAsia="Times New Roman" w:hint="default"/>
        </w:rPr>
        <w:t>2014</w:t>
      </w:r>
      <w:r>
        <w:rPr/>
        <w:t>年，专业委员会根据</w:t>
      </w:r>
    </w:p>
    <w:p>
      <w:pPr>
        <w:pStyle w:val="BodyText"/>
        <w:spacing w:line="316" w:lineRule="auto" w:before="63"/>
        <w:ind w:right="0"/>
        <w:jc w:val="left"/>
      </w:pPr>
      <w:r>
        <w:rPr>
          <w:spacing w:val="-2"/>
        </w:rPr>
        <w:t>《上市公司治理准则》、《公司章程》、《董事会议事规则》以及各专业委员会实施细则赋予的职权和义务，认真履行了职</w:t>
      </w:r>
      <w:r>
        <w:rPr>
          <w:spacing w:val="-67"/>
        </w:rPr>
        <w:t> </w:t>
      </w:r>
      <w:r>
        <w:rPr>
          <w:spacing w:val="-67"/>
        </w:rPr>
      </w:r>
      <w:r>
        <w:rPr/>
        <w:t>责。现将各专门委员会具体工作报告如下：</w:t>
      </w:r>
    </w:p>
    <w:p>
      <w:pPr>
        <w:pStyle w:val="BodyText"/>
        <w:spacing w:line="300" w:lineRule="auto" w:before="19"/>
        <w:ind w:right="3823"/>
        <w:jc w:val="left"/>
      </w:pPr>
      <w:r>
        <w:rPr>
          <w:rFonts w:ascii="Times New Roman" w:hAnsi="Times New Roman" w:cs="Times New Roman" w:eastAsia="Times New Roman" w:hint="default"/>
        </w:rPr>
        <w:t>1</w:t>
      </w:r>
      <w:r>
        <w:rPr/>
        <w:t>、董事会审计委员会的履职情况 公司董事会审计委员会由</w:t>
      </w:r>
      <w:r>
        <w:rPr>
          <w:rFonts w:ascii="Times New Roman" w:hAnsi="Times New Roman" w:cs="Times New Roman" w:eastAsia="Times New Roman" w:hint="default"/>
        </w:rPr>
        <w:t>3</w:t>
      </w:r>
      <w:r>
        <w:rPr/>
        <w:t>名董事组成，其中主任委员由专业会计人士汪和俊先生担任。</w:t>
      </w:r>
    </w:p>
    <w:p>
      <w:pPr>
        <w:pStyle w:val="BodyText"/>
        <w:spacing w:line="300" w:lineRule="auto" w:before="13"/>
        <w:ind w:left="514" w:right="0" w:hanging="360"/>
        <w:jc w:val="left"/>
      </w:pPr>
      <w:r>
        <w:rPr/>
        <w:t>（</w:t>
      </w:r>
      <w:r>
        <w:rPr>
          <w:rFonts w:ascii="Times New Roman" w:hAnsi="Times New Roman" w:cs="Times New Roman" w:eastAsia="Times New Roman" w:hint="default"/>
        </w:rPr>
        <w:t>1</w:t>
      </w:r>
      <w:r>
        <w:rPr/>
        <w:t>）对会计师事务所审计工作的督促情况 </w:t>
      </w:r>
      <w:r>
        <w:rPr>
          <w:spacing w:val="-2"/>
        </w:rPr>
        <w:t>在本次年度审计前，审计委员会与会计师事务所协商制订了公司</w:t>
      </w:r>
      <w:r>
        <w:rPr>
          <w:rFonts w:ascii="Times New Roman" w:hAnsi="Times New Roman" w:cs="Times New Roman" w:eastAsia="Times New Roman" w:hint="default"/>
          <w:spacing w:val="-2"/>
        </w:rPr>
        <w:t>2014</w:t>
      </w:r>
      <w:r>
        <w:rPr>
          <w:spacing w:val="-2"/>
        </w:rPr>
        <w:t>年度财务报告审计工作计划，并进行了深入沟通和</w:t>
      </w:r>
    </w:p>
    <w:p>
      <w:pPr>
        <w:pStyle w:val="BodyText"/>
        <w:spacing w:line="300" w:lineRule="auto" w:before="13"/>
        <w:ind w:left="154" w:right="0"/>
        <w:jc w:val="left"/>
      </w:pPr>
      <w:r>
        <w:rPr>
          <w:spacing w:val="-2"/>
        </w:rPr>
        <w:t>交流。审计委员会认为大华会计师事务所（特殊普通合伙）</w:t>
      </w:r>
      <w:r>
        <w:rPr>
          <w:rFonts w:ascii="Times New Roman" w:hAnsi="Times New Roman" w:cs="Times New Roman" w:eastAsia="Times New Roman" w:hint="default"/>
          <w:spacing w:val="-2"/>
        </w:rPr>
        <w:t>2014</w:t>
      </w:r>
      <w:r>
        <w:rPr>
          <w:spacing w:val="-2"/>
        </w:rPr>
        <w:t>年度审计工作完全按照审计工作安排时间表进行，会计师事</w:t>
      </w:r>
      <w:r>
        <w:rPr>
          <w:spacing w:val="-61"/>
        </w:rPr>
        <w:t> </w:t>
      </w:r>
      <w:r>
        <w:rPr>
          <w:spacing w:val="-61"/>
        </w:rPr>
      </w:r>
      <w:r>
        <w:rPr/>
        <w:t>务所完全履行其审计责任。</w:t>
      </w:r>
    </w:p>
    <w:p>
      <w:pPr>
        <w:pStyle w:val="BodyText"/>
        <w:spacing w:line="300" w:lineRule="auto" w:before="31"/>
        <w:ind w:right="1130" w:firstLine="360"/>
        <w:jc w:val="both"/>
      </w:pPr>
      <w:r>
        <w:rPr>
          <w:spacing w:val="-2"/>
        </w:rPr>
        <w:t>本年度审计工作进展顺利，大华会计师事务所（特殊普通合伙）在双方约定时间内完成了公司</w:t>
      </w:r>
      <w:r>
        <w:rPr>
          <w:rFonts w:ascii="Times New Roman" w:hAnsi="Times New Roman" w:cs="Times New Roman" w:eastAsia="Times New Roman" w:hint="default"/>
          <w:spacing w:val="-2"/>
        </w:rPr>
        <w:t>2014</w:t>
      </w:r>
      <w:r>
        <w:rPr>
          <w:spacing w:val="-2"/>
        </w:rPr>
        <w:t>年年度审计工作，并</w:t>
      </w:r>
      <w:r>
        <w:rPr/>
        <w:t> 出具了审计意见，审计委员会对审计结果进行了审核。</w:t>
      </w:r>
    </w:p>
    <w:p>
      <w:pPr>
        <w:pStyle w:val="BodyText"/>
        <w:spacing w:line="300" w:lineRule="auto" w:before="31"/>
        <w:ind w:left="514" w:right="0" w:hanging="360"/>
        <w:jc w:val="left"/>
      </w:pPr>
      <w:r>
        <w:rPr/>
        <w:t>（</w:t>
      </w:r>
      <w:r>
        <w:rPr>
          <w:rFonts w:ascii="Times New Roman" w:hAnsi="Times New Roman" w:cs="Times New Roman" w:eastAsia="Times New Roman" w:hint="default"/>
        </w:rPr>
        <w:t>2</w:t>
      </w:r>
      <w:r>
        <w:rPr/>
        <w:t>）对会计师事务所出具的财务报告的审计意见 </w:t>
      </w:r>
      <w:r>
        <w:rPr>
          <w:spacing w:val="-2"/>
        </w:rPr>
        <w:t>大华会计师事务所（特殊普通合伙）审计小组在本年度审计中按照中国注册会计师审计准则的要求执行了恰当的审计程</w:t>
      </w:r>
    </w:p>
    <w:p>
      <w:pPr>
        <w:pStyle w:val="BodyText"/>
        <w:spacing w:line="316" w:lineRule="auto" w:before="31"/>
        <w:ind w:left="154" w:right="1132"/>
        <w:jc w:val="both"/>
      </w:pPr>
      <w:r>
        <w:rPr>
          <w:spacing w:val="-2"/>
        </w:rPr>
        <w:t>序。董事会审计委员会根据会计师事务所对相关财务报表审计后出具的初步审计意见，对相关财务会计报表及附注进行了审</w:t>
      </w:r>
      <w:r>
        <w:rPr>
          <w:spacing w:val="-64"/>
        </w:rPr>
        <w:t> </w:t>
      </w:r>
      <w:r>
        <w:rPr>
          <w:spacing w:val="-64"/>
        </w:rPr>
      </w:r>
      <w:r>
        <w:rPr>
          <w:spacing w:val="-2"/>
        </w:rPr>
        <w:t>阅，认为：公司财务报表已经按照《企业会计准则》的规定编制，符合国家颁布的《企业会计准则》的要求，在所有重大方</w:t>
      </w:r>
      <w:r>
        <w:rPr>
          <w:spacing w:val="-67"/>
        </w:rPr>
        <w:t> </w:t>
      </w:r>
      <w:r>
        <w:rPr>
          <w:spacing w:val="-67"/>
        </w:rPr>
      </w:r>
      <w:r>
        <w:rPr/>
        <w:t>面公允地反映了公司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2014</w:t>
      </w:r>
      <w:r>
        <w:rPr/>
        <w:t>年度的经营成果和现金流量。</w:t>
      </w:r>
    </w:p>
    <w:p>
      <w:pPr>
        <w:pStyle w:val="BodyText"/>
        <w:spacing w:line="300" w:lineRule="auto"/>
        <w:ind w:left="514" w:right="0" w:hanging="360"/>
        <w:jc w:val="left"/>
      </w:pPr>
      <w:r>
        <w:rPr/>
        <w:t>（</w:t>
      </w:r>
      <w:r>
        <w:rPr>
          <w:rFonts w:ascii="Times New Roman" w:hAnsi="Times New Roman" w:cs="Times New Roman" w:eastAsia="Times New Roman" w:hint="default"/>
        </w:rPr>
        <w:t>3</w:t>
      </w:r>
      <w:r>
        <w:rPr/>
        <w:t>）关于续聘会计师事务所决议 </w:t>
      </w:r>
      <w:r>
        <w:rPr>
          <w:spacing w:val="-2"/>
        </w:rPr>
        <w:t>大华会计师事务所（特殊普通合伙）在担任公司审计机构以来，公司与该所保持了良好的合作关系，审计委员会同意公</w:t>
      </w:r>
    </w:p>
    <w:p>
      <w:pPr>
        <w:pStyle w:val="BodyText"/>
        <w:spacing w:line="240" w:lineRule="auto" w:before="31"/>
        <w:ind w:left="154" w:right="0"/>
        <w:jc w:val="left"/>
      </w:pPr>
      <w:r>
        <w:rPr/>
        <w:t>司续聘大华会计师事务所（特殊普通合伙）为公司</w:t>
      </w:r>
      <w:r>
        <w:rPr>
          <w:rFonts w:ascii="Times New Roman" w:hAnsi="Times New Roman" w:cs="Times New Roman" w:eastAsia="Times New Roman" w:hint="default"/>
        </w:rPr>
        <w:t>2014</w:t>
      </w:r>
      <w:r>
        <w:rPr/>
        <w:t>年度财务审计机构。</w:t>
      </w:r>
    </w:p>
    <w:p>
      <w:pPr>
        <w:pStyle w:val="BodyText"/>
        <w:spacing w:line="300" w:lineRule="auto" w:before="63"/>
        <w:ind w:left="514" w:right="0" w:hanging="360"/>
        <w:jc w:val="left"/>
      </w:pPr>
      <w:r>
        <w:rPr>
          <w:rFonts w:ascii="Times New Roman" w:hAnsi="Times New Roman" w:cs="Times New Roman" w:eastAsia="Times New Roman" w:hint="default"/>
        </w:rPr>
        <w:t>2</w:t>
      </w:r>
      <w:r>
        <w:rPr/>
        <w:t>、董事会提名委员会的履职情况 </w:t>
      </w:r>
      <w:r>
        <w:rPr>
          <w:spacing w:val="-2"/>
        </w:rPr>
        <w:t>为强化董事会决策功能，董事会下设提名委员会，由</w:t>
      </w:r>
      <w:r>
        <w:rPr>
          <w:rFonts w:ascii="Times New Roman" w:hAnsi="Times New Roman" w:cs="Times New Roman" w:eastAsia="Times New Roman" w:hint="default"/>
          <w:spacing w:val="-2"/>
        </w:rPr>
        <w:t>3</w:t>
      </w:r>
      <w:r>
        <w:rPr>
          <w:spacing w:val="-2"/>
        </w:rPr>
        <w:t>名董事组成，其中</w:t>
      </w:r>
      <w:r>
        <w:rPr>
          <w:rFonts w:ascii="Times New Roman" w:hAnsi="Times New Roman" w:cs="Times New Roman" w:eastAsia="Times New Roman" w:hint="default"/>
          <w:spacing w:val="-2"/>
        </w:rPr>
        <w:t>2</w:t>
      </w:r>
      <w:r>
        <w:rPr>
          <w:spacing w:val="-2"/>
        </w:rPr>
        <w:t>名为独立董事、并由</w:t>
      </w:r>
      <w:r>
        <w:rPr>
          <w:rFonts w:ascii="Times New Roman" w:hAnsi="Times New Roman" w:cs="Times New Roman" w:eastAsia="Times New Roman" w:hint="default"/>
          <w:spacing w:val="-2"/>
        </w:rPr>
        <w:t>1</w:t>
      </w:r>
      <w:r>
        <w:rPr>
          <w:spacing w:val="-2"/>
        </w:rPr>
        <w:t>名独立董事担任召集人，</w:t>
      </w:r>
    </w:p>
    <w:p>
      <w:pPr>
        <w:pStyle w:val="BodyText"/>
        <w:spacing w:line="319" w:lineRule="auto" w:before="13"/>
        <w:ind w:left="514" w:right="0" w:hanging="360"/>
        <w:jc w:val="left"/>
      </w:pPr>
      <w:r>
        <w:rPr/>
        <w:t>主要负责对公司董事、高级管理人员的人选、选择标准和程序审核并提出建议。 </w:t>
      </w:r>
      <w:r>
        <w:rPr>
          <w:spacing w:val="-4"/>
        </w:rPr>
        <w:t>报告期内，公司董事会提名委员会严格按照《独立董事制度》、《董事会提名委员会实施细则》等相关制度的规定工作，</w:t>
      </w:r>
    </w:p>
    <w:p>
      <w:pPr>
        <w:pStyle w:val="BodyText"/>
        <w:spacing w:line="240" w:lineRule="auto" w:before="17"/>
        <w:ind w:left="154" w:right="0"/>
        <w:jc w:val="left"/>
      </w:pPr>
      <w:r>
        <w:rPr/>
        <w:t>持续研究与关注董事、高级管理人员选拔制度，认真审核与评价公司董事、高级管理人员候选，勤勉尽责地履行职责。</w:t>
      </w:r>
    </w:p>
    <w:p>
      <w:pPr>
        <w:pStyle w:val="BodyText"/>
        <w:spacing w:line="300" w:lineRule="auto" w:before="76"/>
        <w:ind w:left="514" w:right="1122" w:hanging="360"/>
        <w:jc w:val="left"/>
      </w:pPr>
      <w:r>
        <w:rPr>
          <w:rFonts w:ascii="Times New Roman" w:hAnsi="Times New Roman" w:cs="Times New Roman" w:eastAsia="Times New Roman" w:hint="default"/>
        </w:rPr>
        <w:t>3</w:t>
      </w:r>
      <w:r>
        <w:rPr/>
        <w:t>、董事会薪酬与考核委员会履职情况 为强化董事会决策功能，董事会下设薪酬与考核委员会，由</w:t>
      </w:r>
      <w:r>
        <w:rPr>
          <w:rFonts w:ascii="Times New Roman" w:hAnsi="Times New Roman" w:cs="Times New Roman" w:eastAsia="Times New Roman" w:hint="default"/>
        </w:rPr>
        <w:t>3</w:t>
      </w:r>
      <w:r>
        <w:rPr/>
        <w:t>名董事组成，其中</w:t>
      </w:r>
      <w:r>
        <w:rPr>
          <w:rFonts w:ascii="Times New Roman" w:hAnsi="Times New Roman" w:cs="Times New Roman" w:eastAsia="Times New Roman" w:hint="default"/>
        </w:rPr>
        <w:t>2</w:t>
      </w:r>
      <w:r>
        <w:rPr/>
        <w:t>名为独立董事、并由</w:t>
      </w:r>
      <w:r>
        <w:rPr>
          <w:rFonts w:ascii="Times New Roman" w:hAnsi="Times New Roman" w:cs="Times New Roman" w:eastAsia="Times New Roman" w:hint="default"/>
        </w:rPr>
        <w:t>1</w:t>
      </w:r>
      <w:r>
        <w:rPr/>
        <w:t>名独立董事担任</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召集人，主要负责制定公司董事及高级管理人员的考核标准并进行考核、制定和审查公司董事及高级管理人员的薪酬政策与</w:t>
      </w:r>
      <w:r>
        <w:rPr>
          <w:spacing w:val="-64"/>
        </w:rPr>
        <w:t> </w:t>
      </w:r>
      <w:r>
        <w:rPr>
          <w:spacing w:val="-64"/>
        </w:rPr>
      </w:r>
      <w:r>
        <w:rPr>
          <w:spacing w:val="-2"/>
        </w:rPr>
        <w:t>方案等。公司董事会薪酬与考核委员会成立以来，积极参加公司关于薪酬与考核方面的会议，委员会成员积极工作，指导公</w:t>
      </w:r>
      <w:r>
        <w:rPr>
          <w:spacing w:val="-66"/>
        </w:rPr>
        <w:t> </w:t>
      </w:r>
      <w:r>
        <w:rPr>
          <w:spacing w:val="-66"/>
        </w:rPr>
      </w:r>
      <w:r>
        <w:rPr/>
        <w:t>司董事会完善了公司薪酬体系。</w:t>
      </w:r>
    </w:p>
    <w:p>
      <w:pPr>
        <w:pStyle w:val="BodyText"/>
        <w:spacing w:line="300" w:lineRule="auto" w:before="19"/>
        <w:ind w:left="514" w:right="1122" w:hanging="360"/>
        <w:jc w:val="left"/>
      </w:pPr>
      <w:r>
        <w:rPr>
          <w:rFonts w:ascii="Times New Roman" w:hAnsi="Times New Roman" w:cs="Times New Roman" w:eastAsia="Times New Roman" w:hint="default"/>
        </w:rPr>
        <w:t>4</w:t>
      </w:r>
      <w:r>
        <w:rPr/>
        <w:t>、董事会战略委员会履职情况 为强化董事会决策功能，董事会下设战略委员会，由</w:t>
      </w:r>
      <w:r>
        <w:rPr>
          <w:rFonts w:ascii="Times New Roman" w:hAnsi="Times New Roman" w:cs="Times New Roman" w:eastAsia="Times New Roman" w:hint="default"/>
        </w:rPr>
        <w:t>3</w:t>
      </w:r>
      <w:r>
        <w:rPr/>
        <w:t>名董事组成，主要负责公司长期发展战略和重大投资决策研究并</w:t>
      </w:r>
    </w:p>
    <w:p>
      <w:pPr>
        <w:pStyle w:val="BodyText"/>
        <w:spacing w:line="240" w:lineRule="auto" w:before="13"/>
        <w:ind w:left="154" w:right="0"/>
        <w:jc w:val="left"/>
      </w:pPr>
      <w:r>
        <w:rPr/>
        <w:t>提出建议。</w:t>
      </w:r>
    </w:p>
    <w:p>
      <w:pPr>
        <w:pStyle w:val="BodyText"/>
        <w:spacing w:line="316" w:lineRule="auto" w:before="76"/>
        <w:ind w:left="154" w:right="0" w:firstLine="360"/>
        <w:jc w:val="left"/>
      </w:pPr>
      <w:r>
        <w:rPr>
          <w:spacing w:val="-4"/>
        </w:rPr>
        <w:t>报告期内，公司董事会战略委员会密切跟踪和关注国家宏观经济政策、结构调整对公司的影响，结合公司战略发展要求，</w:t>
      </w:r>
      <w:r>
        <w:rPr/>
        <w:t> </w:t>
      </w:r>
      <w:r>
        <w:rPr>
          <w:spacing w:val="-2"/>
        </w:rPr>
        <w:t>向公司董事会提出有关结构调整、资本运作、长远发展等事项的建议，对促进公司持续、稳定发展，规避市场风险，起到了</w:t>
      </w:r>
      <w:r>
        <w:rPr>
          <w:spacing w:val="-68"/>
        </w:rPr>
        <w:t> </w:t>
      </w:r>
      <w:r>
        <w:rPr>
          <w:spacing w:val="-68"/>
        </w:rPr>
      </w:r>
      <w:r>
        <w:rPr/>
        <w:t>积极良好的作用。</w:t>
      </w:r>
    </w:p>
    <w:p>
      <w:pPr>
        <w:spacing w:line="240" w:lineRule="auto" w:before="10"/>
        <w:rPr>
          <w:rFonts w:ascii="宋体" w:hAnsi="宋体" w:cs="宋体" w:eastAsia="宋体" w:hint="default"/>
          <w:sz w:val="20"/>
          <w:szCs w:val="20"/>
        </w:rPr>
      </w:pPr>
    </w:p>
    <w:p>
      <w:pPr>
        <w:pStyle w:val="Heading3"/>
        <w:spacing w:line="240" w:lineRule="auto"/>
        <w:ind w:left="154" w:right="0"/>
        <w:jc w:val="left"/>
        <w:rPr>
          <w:b w:val="0"/>
          <w:bCs w:val="0"/>
        </w:rPr>
      </w:pPr>
      <w:bookmarkStart w:name="五、监事会工作情况" w:id="127"/>
      <w:bookmarkEnd w:id="127"/>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六、公司相对于控股股东在业务、人员、资产、机构、财务等方面的独立完整情况" w:id="128"/>
      <w:bookmarkEnd w:id="128"/>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123"/>
        <w:jc w:val="left"/>
      </w:pPr>
      <w:r>
        <w:rPr>
          <w:spacing w:val="-2"/>
        </w:rPr>
        <w:t>公司与控股股东在业务、资产、人员、财务、机构等方面完全分开，具有独立完整的业务及自主经营能力。具体的独立运营</w:t>
      </w:r>
      <w:r>
        <w:rPr>
          <w:spacing w:val="-68"/>
        </w:rPr>
        <w:t> </w:t>
      </w:r>
      <w:r>
        <w:rPr>
          <w:spacing w:val="-68"/>
        </w:rPr>
      </w:r>
      <w:r>
        <w:rPr/>
        <w:t>情况如下： </w:t>
      </w:r>
      <w:r>
        <w:rPr>
          <w:rFonts w:ascii="Times New Roman" w:hAnsi="Times New Roman" w:cs="Times New Roman" w:eastAsia="Times New Roman" w:hint="default"/>
        </w:rPr>
        <w:t>1</w:t>
      </w:r>
      <w:r>
        <w:rPr/>
        <w:t>、业务方面：公司业务结构完整，自主独立经营，与控股股东之间无同业竞争，控股股东不存在直接或间接干预公司经营</w:t>
      </w:r>
    </w:p>
    <w:p>
      <w:pPr>
        <w:pStyle w:val="BodyText"/>
        <w:spacing w:line="218" w:lineRule="exact"/>
        <w:ind w:left="154" w:right="0"/>
        <w:jc w:val="left"/>
      </w:pPr>
      <w:r>
        <w:rPr/>
        <w:t>运作的情形。</w:t>
      </w:r>
    </w:p>
    <w:p>
      <w:pPr>
        <w:pStyle w:val="BodyText"/>
        <w:spacing w:line="302" w:lineRule="auto" w:before="115"/>
        <w:ind w:right="1123"/>
        <w:jc w:val="left"/>
      </w:pPr>
      <w:r>
        <w:rPr>
          <w:rFonts w:ascii="Times New Roman" w:hAnsi="Times New Roman" w:cs="Times New Roman" w:eastAsia="Times New Roman" w:hint="default"/>
        </w:rPr>
        <w:t>2</w:t>
      </w:r>
      <w:r>
        <w:rPr/>
        <w:t>、人员方面：公司在劳动、人事及工资管理等各方面均独立于控股股东。总经理、副总经理、董事会秘书、财务负责人等 高级管理人员均专职在本公司工作并领取报酬，未在股东单位担任任何行政职务。</w:t>
      </w:r>
    </w:p>
    <w:p>
      <w:pPr>
        <w:pStyle w:val="BodyText"/>
        <w:spacing w:line="302" w:lineRule="auto" w:before="69"/>
        <w:ind w:left="154" w:right="1122"/>
        <w:jc w:val="left"/>
      </w:pPr>
      <w:r>
        <w:rPr>
          <w:rFonts w:ascii="Times New Roman" w:hAnsi="Times New Roman" w:cs="Times New Roman" w:eastAsia="Times New Roman" w:hint="default"/>
        </w:rPr>
        <w:t>3</w:t>
      </w:r>
      <w:r>
        <w:rPr/>
        <w:t>、资产方面：公司有独立的办公场地，拥有独立完整的生产、供应、销售体系及辅助配套设施，拥有独立的工业产权、商 标、非专利技术等无形资产。</w:t>
      </w:r>
    </w:p>
    <w:p>
      <w:pPr>
        <w:pStyle w:val="BodyText"/>
        <w:spacing w:line="302" w:lineRule="auto" w:before="68"/>
        <w:ind w:left="154" w:right="1122"/>
        <w:jc w:val="left"/>
      </w:pPr>
      <w:r>
        <w:rPr>
          <w:rFonts w:ascii="Times New Roman" w:hAnsi="Times New Roman" w:cs="Times New Roman" w:eastAsia="Times New Roman" w:hint="default"/>
        </w:rPr>
        <w:t>4</w:t>
      </w:r>
      <w:r>
        <w:rPr/>
        <w:t>、机构方面：公司设立了健全的组织体系，董事会、监事会、经理层、技术部、生产部等内部机构独立运作，不存在与控 股股东之间的从属关系。</w:t>
      </w:r>
    </w:p>
    <w:p>
      <w:pPr>
        <w:pStyle w:val="BodyText"/>
        <w:spacing w:line="302" w:lineRule="auto" w:before="68"/>
        <w:ind w:left="154" w:right="1122"/>
        <w:jc w:val="left"/>
      </w:pPr>
      <w:r>
        <w:rPr>
          <w:rFonts w:ascii="Times New Roman" w:hAnsi="Times New Roman" w:cs="Times New Roman" w:eastAsia="Times New Roman" w:hint="default"/>
        </w:rPr>
        <w:t>5</w:t>
      </w:r>
      <w:r>
        <w:rPr/>
        <w:t>、财务方面：公司设有独立的财务部门，并建立了独立的会计核算体系和财务管理制度，独立在银行开户、并依法独立纳 税。</w:t>
      </w:r>
    </w:p>
    <w:p>
      <w:pPr>
        <w:spacing w:line="240" w:lineRule="auto" w:before="6"/>
        <w:rPr>
          <w:rFonts w:ascii="宋体" w:hAnsi="宋体" w:cs="宋体" w:eastAsia="宋体" w:hint="default"/>
          <w:sz w:val="21"/>
          <w:szCs w:val="21"/>
        </w:rPr>
      </w:pPr>
    </w:p>
    <w:p>
      <w:pPr>
        <w:pStyle w:val="Heading3"/>
        <w:spacing w:line="240" w:lineRule="auto"/>
        <w:ind w:left="154" w:right="0"/>
        <w:jc w:val="left"/>
        <w:rPr>
          <w:b w:val="0"/>
          <w:bCs w:val="0"/>
        </w:rPr>
      </w:pPr>
      <w:bookmarkStart w:name="七、同业竞争情况" w:id="129"/>
      <w:bookmarkEnd w:id="129"/>
      <w:r>
        <w:rPr>
          <w:b w:val="0"/>
          <w:bCs w:val="0"/>
        </w:rPr>
      </w:r>
      <w:r>
        <w:rPr/>
        <w:t>七、同业竞争情况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八、高级管理人员的考评及激励情况" w:id="130"/>
      <w:bookmarkEnd w:id="13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122"/>
        <w:jc w:val="left"/>
      </w:pPr>
      <w:r>
        <w:rPr>
          <w:rFonts w:ascii="Times New Roman" w:hAnsi="Times New Roman" w:cs="Times New Roman" w:eastAsia="Times New Roman" w:hint="default"/>
        </w:rPr>
        <w:t>1</w:t>
      </w:r>
      <w:r>
        <w:rPr/>
        <w:t>、公司根据年度财务预算、生产经营指标、管理目标的完成情况，对高级管理人员的绩效进行全面综合考核，将工作绩效 </w:t>
      </w:r>
      <w:r>
        <w:rPr>
          <w:spacing w:val="-2"/>
        </w:rPr>
        <w:t>与其收入直接挂钩，完善了绩效考核体系。为了加快企业发展，促进公司的规范运作，增强公司高管人员的诚信意识，责任</w:t>
      </w:r>
      <w:r>
        <w:rPr>
          <w:spacing w:val="-66"/>
        </w:rPr>
        <w:t> </w:t>
      </w:r>
      <w:r>
        <w:rPr>
          <w:spacing w:val="-66"/>
        </w:rPr>
      </w:r>
      <w:r>
        <w:rPr>
          <w:spacing w:val="-2"/>
        </w:rPr>
        <w:t>意识，提升公司法人治理水平，建立和健全年薪绩效评价和激励、约束机制，最大限度地调动公司高管人员的积极性及创造</w:t>
      </w:r>
      <w:r>
        <w:rPr>
          <w:spacing w:val="-66"/>
        </w:rPr>
        <w:t> </w:t>
      </w:r>
      <w:r>
        <w:rPr>
          <w:spacing w:val="-66"/>
        </w:rPr>
      </w:r>
      <w:r>
        <w:rPr/>
        <w:t>性。 </w:t>
      </w:r>
      <w:r>
        <w:rPr>
          <w:rFonts w:ascii="Times New Roman" w:hAnsi="Times New Roman" w:cs="Times New Roman" w:eastAsia="Times New Roman" w:hint="default"/>
        </w:rPr>
        <w:t>2</w:t>
      </w:r>
      <w:r>
        <w:rPr/>
        <w:t>、为了更好激发管理团队的积极，提高经营效率，促进公司业绩提升，对高级管理人员、核心技术及业务骨干人员实施股 权激励计划。</w:t>
      </w:r>
    </w:p>
    <w:p>
      <w:pPr>
        <w:spacing w:after="0" w:line="31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63"/>
        <w:jc w:val="center"/>
        <w:rPr>
          <w:b w:val="0"/>
          <w:bCs w:val="0"/>
        </w:rPr>
      </w:pPr>
      <w:bookmarkStart w:name="_TOC_250002" w:id="131"/>
      <w:bookmarkStart w:name="第十节 内部控制" w:id="132"/>
      <w:r>
        <w:rPr>
          <w:b w:val="0"/>
          <w:bCs w:val="0"/>
        </w:rPr>
      </w:r>
      <w:r>
        <w:rPr/>
        <w:t>第十节</w:t>
      </w:r>
      <w:r>
        <w:rPr>
          <w:spacing w:val="-5"/>
        </w:rPr>
        <w:t> </w:t>
      </w:r>
      <w:r>
        <w:rPr/>
        <w:t>内部控制</w:t>
      </w:r>
      <w:bookmarkEnd w:id="13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内部控制建设情况" w:id="133"/>
      <w:bookmarkEnd w:id="133"/>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为规范经营管理，控制风险，保证经营业务活动的正常开展，公司根据《公司法》、《证券法》、《企业内部控制基本</w:t>
      </w:r>
      <w:r>
        <w:rPr/>
        <w:t> </w:t>
      </w:r>
      <w:r>
        <w:rPr>
          <w:spacing w:val="-2"/>
        </w:rPr>
        <w:t>规范》及相关配套指引等有关法律、法规和规章制度，结合公司的实际情况、自身特点和管理需要，制定了贯穿于公司生产</w:t>
      </w:r>
      <w:r>
        <w:rPr>
          <w:spacing w:val="-66"/>
        </w:rPr>
        <w:t> </w:t>
      </w:r>
      <w:r>
        <w:rPr>
          <w:spacing w:val="-66"/>
        </w:rPr>
      </w:r>
      <w:r>
        <w:rPr>
          <w:spacing w:val="-2"/>
        </w:rPr>
        <w:t>经营各层面、各环节的内部控制体系，并不断完善。报告期内，公司持续推进公司治理整改专项活动，不断健全法人治理结</w:t>
      </w:r>
      <w:r>
        <w:rPr>
          <w:spacing w:val="-66"/>
        </w:rPr>
        <w:t> </w:t>
      </w:r>
      <w:r>
        <w:rPr>
          <w:spacing w:val="-66"/>
        </w:rPr>
      </w:r>
      <w:r>
        <w:rPr>
          <w:spacing w:val="-2"/>
        </w:rPr>
        <w:t>构，完善内部控制体系，加深对公司的业务流程和管理制度的梳理与检查，基本已建立起一套相对完整、合理的内部控制制</w:t>
      </w:r>
      <w:r>
        <w:rPr>
          <w:spacing w:val="-66"/>
        </w:rPr>
        <w:t> </w:t>
      </w:r>
      <w:r>
        <w:rPr>
          <w:spacing w:val="-66"/>
        </w:rPr>
      </w:r>
      <w:r>
        <w:rPr/>
        <w:t>度体系，包括了内部治理、信息与沟通、内部监督等要素。公司的内部控制机制基本达到内部控制的目标要求。</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二、董事会关于内部控制责任的声明" w:id="134"/>
      <w:bookmarkEnd w:id="134"/>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0" w:firstLine="360"/>
        <w:jc w:val="left"/>
      </w:pPr>
      <w:r>
        <w:rPr>
          <w:spacing w:val="-2"/>
        </w:rPr>
        <w:t>按照企业内部控制规范体系的规定，建立健全和有效实施内部控制，评价其有效性，并如实披露内部控制评价报告是公</w:t>
      </w:r>
      <w:r>
        <w:rPr/>
        <w:t> 司董事会的责任。监事会对董事会建立和实施内部控制进行监督。经理层负责组织领导企业内部控制的日常运行。</w:t>
      </w:r>
    </w:p>
    <w:p>
      <w:pPr>
        <w:pStyle w:val="BodyText"/>
        <w:spacing w:line="316" w:lineRule="auto" w:before="19"/>
        <w:ind w:left="154" w:right="0" w:firstLine="360"/>
        <w:jc w:val="left"/>
      </w:pPr>
      <w:r>
        <w:rPr>
          <w:spacing w:val="-2"/>
        </w:rPr>
        <w:t>公司董事会、监事会及董事、监事、高级管理人员保证本报告内容不存在任何虚假记载、误导性陈述或重大遗漏，并对</w:t>
      </w:r>
      <w:r>
        <w:rPr/>
        <w:t> 报告内容的真实性、准确性和完整性承担个别及连带法律责任。</w:t>
      </w:r>
    </w:p>
    <w:p>
      <w:pPr>
        <w:pStyle w:val="BodyText"/>
        <w:spacing w:line="316" w:lineRule="auto" w:before="19"/>
        <w:ind w:left="154" w:right="1032" w:firstLine="360"/>
        <w:jc w:val="left"/>
      </w:pPr>
      <w:r>
        <w:rPr/>
        <w:t>公司内部控制的目标是合理保证经营管理合法合规、资产安全、财务报告及相关信息真实完整，提高经营效率和效果， </w:t>
      </w:r>
      <w:r>
        <w:rPr>
          <w:spacing w:val="-2"/>
        </w:rPr>
        <w:t>促进实现发展战略。由于内部控制存在的固有局限性，故仅能为实现上述目标提供合理保证。此外，由于情况的变化可能导</w:t>
      </w:r>
      <w:r>
        <w:rPr>
          <w:spacing w:val="-66"/>
        </w:rPr>
        <w:t> </w:t>
      </w:r>
      <w:r>
        <w:rPr>
          <w:spacing w:val="-66"/>
        </w:rPr>
      </w:r>
      <w:r>
        <w:rPr>
          <w:spacing w:val="-2"/>
        </w:rPr>
        <w:t>致内部控制变得不恰当，或对控制政策和程序遵循的程度降低，根据内部控制评价结果推测未来内部控制的有效性具有一定</w:t>
      </w:r>
      <w:r>
        <w:rPr>
          <w:spacing w:val="-64"/>
        </w:rPr>
        <w:t> </w:t>
      </w:r>
      <w:r>
        <w:rPr>
          <w:spacing w:val="-64"/>
        </w:rPr>
      </w:r>
      <w:r>
        <w:rPr/>
        <w:t>的风险。</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三、建立财务报告内部控制的依据" w:id="135"/>
      <w:bookmarkEnd w:id="135"/>
      <w:r>
        <w:rPr>
          <w:b w:val="0"/>
          <w:bCs w:val="0"/>
        </w:rPr>
      </w: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0" w:firstLine="360"/>
        <w:jc w:val="left"/>
      </w:pPr>
      <w:r>
        <w:rPr>
          <w:spacing w:val="-2"/>
        </w:rPr>
        <w:t>公司依据《公司法》、《会计法》、《企业会计准则》、《企业内部控制基本规范》和《深圳证券交易所上市公司内部</w:t>
      </w:r>
      <w:r>
        <w:rPr/>
        <w:t> 控制指引》等法规性文件的要求，建立了财务报告内部控制。报告期内，公司财务报告内部控制不存在重大缺陷。</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四、内部控制评价报告" w:id="136"/>
      <w:bookmarkEnd w:id="136"/>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3"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刊登于巨潮资讯网</w:t>
            </w:r>
            <w:r>
              <w:rPr>
                <w:rFonts w:ascii="宋体" w:hAnsi="宋体" w:cs="宋体" w:eastAsia="宋体" w:hint="default"/>
                <w:spacing w:val="-46"/>
                <w:sz w:val="18"/>
                <w:szCs w:val="18"/>
              </w:rPr>
              <w:t> </w:t>
            </w:r>
            <w:hyperlink r:id="rId9">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.com.cn</w:t>
              </w:r>
              <w:r>
                <w:rPr>
                  <w:rFonts w:ascii="Times New Roman" w:hAnsi="Times New Roman" w:cs="Times New Roman" w:eastAsia="Times New Roman" w:hint="default"/>
                  <w:spacing w:val="-1"/>
                  <w:sz w:val="18"/>
                  <w:szCs w:val="18"/>
                </w:rPr>
                <w:t> </w:t>
              </w:r>
            </w:hyperlink>
            <w:r>
              <w:rPr>
                <w:rFonts w:ascii="宋体" w:hAnsi="宋体" w:cs="宋体" w:eastAsia="宋体" w:hint="default"/>
                <w:sz w:val="18"/>
                <w:szCs w:val="18"/>
              </w:rPr>
              <w:t>上</w:t>
            </w:r>
            <w:r>
              <w:rPr>
                <w:rFonts w:ascii="宋体" w:hAnsi="宋体" w:cs="宋体" w:eastAsia="宋体" w:hint="default"/>
                <w:spacing w:val="-74"/>
                <w:sz w:val="18"/>
                <w:szCs w:val="18"/>
              </w:rPr>
              <w:t>的</w:t>
            </w:r>
            <w:r>
              <w:rPr>
                <w:rFonts w:ascii="宋体" w:hAnsi="宋体" w:cs="宋体" w:eastAsia="宋体" w:hint="default"/>
                <w:sz w:val="18"/>
                <w:szCs w:val="18"/>
              </w:rPr>
              <w:t>《安徽鑫龙电器股份有限公司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内部控制评价报告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五、内部控制审计报告或鉴证报告" w:id="137"/>
      <w:bookmarkEnd w:id="137"/>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9" w:firstLine="180"/>
              <w:jc w:val="left"/>
              <w:rPr>
                <w:rFonts w:ascii="宋体" w:hAnsi="宋体" w:cs="宋体" w:eastAsia="宋体" w:hint="default"/>
                <w:sz w:val="18"/>
                <w:szCs w:val="18"/>
              </w:rPr>
            </w:pPr>
            <w:r>
              <w:rPr>
                <w:rFonts w:ascii="宋体" w:hAnsi="宋体" w:cs="宋体" w:eastAsia="宋体" w:hint="default"/>
                <w:spacing w:val="-5"/>
                <w:sz w:val="18"/>
                <w:szCs w:val="18"/>
              </w:rPr>
              <w:t>我们认为，鑫龙电器公司按照《内部会计控制规范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基本规范（试行）》和相关规定于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 保持了与财务报表相关的有效的内部控制。</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刊登于巨潮资讯网</w:t>
            </w:r>
            <w:r>
              <w:rPr>
                <w:rFonts w:ascii="宋体" w:hAnsi="宋体" w:cs="宋体" w:eastAsia="宋体" w:hint="default"/>
                <w:spacing w:val="-53"/>
                <w:sz w:val="18"/>
                <w:szCs w:val="18"/>
              </w:rPr>
              <w:t> </w:t>
            </w:r>
            <w:hyperlink r:id="rId9">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上的《安徽鑫龙电器股份有限公司内部控制 </w:t>
            </w:r>
            <w:r>
              <w:rPr>
                <w:rFonts w:ascii="宋体" w:hAnsi="宋体" w:cs="宋体" w:eastAsia="宋体" w:hint="default"/>
                <w:spacing w:val="-15"/>
                <w:sz w:val="18"/>
                <w:szCs w:val="18"/>
              </w:rPr>
              <w:t>鉴证报告》。</w:t>
            </w:r>
          </w:p>
        </w:tc>
      </w:tr>
    </w:tbl>
    <w:p>
      <w:pPr>
        <w:pStyle w:val="BodyText"/>
        <w:spacing w:line="240" w:lineRule="auto" w:before="51"/>
        <w:ind w:left="15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六、年度报告重大差错责任追究制度的建立与执行情况" w:id="138"/>
      <w:bookmarkEnd w:id="138"/>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217"/>
        <w:jc w:val="left"/>
      </w:pPr>
      <w:r>
        <w:rPr/>
        <w:t>公司已建立了《年报信息披露重大差错责任追究制度》，对年报信息披露重大差错责任追究做了明确规定。公司董事、 </w:t>
      </w:r>
      <w:r>
        <w:rPr>
          <w:spacing w:val="-2"/>
        </w:rPr>
        <w:t>监事、高级管理人员以及年报信息披露相关的其他人员在年报信息披露工作中按照国家有关法律、法规、规范性文件以及公</w:t>
      </w:r>
      <w:r>
        <w:rPr>
          <w:spacing w:val="-66"/>
        </w:rPr>
        <w:t> </w:t>
      </w:r>
      <w:r>
        <w:rPr>
          <w:spacing w:val="-66"/>
        </w:rPr>
      </w:r>
      <w:r>
        <w:rPr/>
        <w:t>司规章制度要求严格执行，勤勉尽责，并认真对照相关制度努力提高公司规范运作水平，增强信息披露的真实性、准确性、 </w:t>
      </w:r>
      <w:r>
        <w:rPr>
          <w:spacing w:val="-4"/>
        </w:rPr>
        <w:t>完整性和及时性，提高年报信息披露的质量和透明度。报告期内，公司未发生重大会计差错更正、重大遗漏信息补充等情况。</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_TOC_250001" w:id="139"/>
      <w:bookmarkStart w:name="第十一节 财务报告" w:id="140"/>
      <w:r>
        <w:rPr>
          <w:b w:val="0"/>
          <w:bCs w:val="0"/>
        </w:rPr>
      </w:r>
      <w:r>
        <w:rPr/>
        <w:t>第十一节</w:t>
      </w:r>
      <w:r>
        <w:rPr>
          <w:spacing w:val="-6"/>
        </w:rPr>
        <w:t> </w:t>
      </w:r>
      <w:r>
        <w:rPr/>
        <w:t>财务报告</w:t>
      </w:r>
      <w:bookmarkEnd w:id="13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41"/>
      <w:bookmarkEnd w:id="141"/>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[2015]002468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吕勇军、王海涛</w:t>
            </w:r>
          </w:p>
        </w:tc>
      </w:tr>
    </w:tbl>
    <w:p>
      <w:pPr>
        <w:pStyle w:val="BodyText"/>
        <w:spacing w:line="240" w:lineRule="auto" w:before="51"/>
        <w:ind w:left="2786" w:right="3762"/>
        <w:jc w:val="center"/>
      </w:pPr>
      <w:r>
        <w:rPr/>
        <w:t>审计报告正文</w:t>
      </w:r>
    </w:p>
    <w:p>
      <w:pPr>
        <w:spacing w:before="157"/>
        <w:ind w:left="2784" w:right="3763"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5"/>
        <w:spacing w:line="240" w:lineRule="auto" w:before="35"/>
        <w:ind w:left="0" w:right="1130"/>
        <w:jc w:val="right"/>
        <w:rPr>
          <w:b w:val="0"/>
          <w:bCs w:val="0"/>
        </w:rPr>
      </w:pPr>
      <w:r>
        <w:rPr>
          <w:w w:val="95"/>
        </w:rPr>
        <w:t>大华审字</w:t>
      </w:r>
      <w:r>
        <w:rPr>
          <w:rFonts w:ascii="Times New Roman" w:hAnsi="Times New Roman" w:cs="Times New Roman" w:eastAsia="Times New Roman" w:hint="default"/>
          <w:w w:val="95"/>
        </w:rPr>
        <w:t>[2015]002468</w:t>
      </w:r>
      <w:r>
        <w:rPr>
          <w:w w:val="95"/>
        </w:rPr>
        <w:t>号</w:t>
      </w:r>
      <w:r>
        <w:rPr>
          <w:b w:val="0"/>
          <w:bCs w:val="0"/>
        </w:rPr>
      </w:r>
    </w:p>
    <w:p>
      <w:pPr>
        <w:spacing w:line="240" w:lineRule="auto" w:before="0"/>
        <w:rPr>
          <w:rFonts w:ascii="宋体" w:hAnsi="宋体" w:cs="宋体" w:eastAsia="宋体" w:hint="default"/>
          <w:b/>
          <w:bCs/>
          <w:sz w:val="20"/>
          <w:szCs w:val="20"/>
        </w:rPr>
      </w:pPr>
    </w:p>
    <w:p>
      <w:pPr>
        <w:spacing w:line="408" w:lineRule="auto" w:before="171"/>
        <w:ind w:left="714" w:right="0" w:hanging="561"/>
        <w:jc w:val="left"/>
        <w:rPr>
          <w:rFonts w:ascii="宋体" w:hAnsi="宋体" w:cs="宋体" w:eastAsia="宋体" w:hint="default"/>
          <w:sz w:val="28"/>
          <w:szCs w:val="28"/>
        </w:rPr>
      </w:pPr>
      <w:r>
        <w:rPr>
          <w:rFonts w:ascii="宋体" w:hAnsi="宋体" w:cs="宋体" w:eastAsia="宋体" w:hint="default"/>
          <w:b/>
          <w:bCs/>
          <w:sz w:val="28"/>
          <w:szCs w:val="28"/>
        </w:rPr>
        <w:t>安徽鑫龙电器股份有限公司全体股东：</w:t>
      </w:r>
      <w:r>
        <w:rPr>
          <w:rFonts w:ascii="宋体" w:hAnsi="宋体" w:cs="宋体" w:eastAsia="宋体" w:hint="default"/>
          <w:b/>
          <w:bCs/>
          <w:w w:val="99"/>
          <w:sz w:val="28"/>
          <w:szCs w:val="28"/>
        </w:rPr>
        <w:t> </w:t>
      </w:r>
      <w:r>
        <w:rPr>
          <w:rFonts w:ascii="宋体" w:hAnsi="宋体" w:cs="宋体" w:eastAsia="宋体" w:hint="default"/>
          <w:w w:val="95"/>
          <w:sz w:val="28"/>
          <w:szCs w:val="28"/>
        </w:rPr>
        <w:t>我们审计了后附的安徽鑫龙电器股份有限公司</w:t>
      </w:r>
      <w:r>
        <w:rPr>
          <w:rFonts w:ascii="Times New Roman" w:hAnsi="Times New Roman" w:cs="Times New Roman" w:eastAsia="Times New Roman" w:hint="default"/>
          <w:w w:val="95"/>
          <w:sz w:val="28"/>
          <w:szCs w:val="28"/>
        </w:rPr>
        <w:t>(</w:t>
      </w:r>
      <w:r>
        <w:rPr>
          <w:rFonts w:ascii="宋体" w:hAnsi="宋体" w:cs="宋体" w:eastAsia="宋体" w:hint="default"/>
          <w:w w:val="95"/>
          <w:sz w:val="28"/>
          <w:szCs w:val="28"/>
        </w:rPr>
        <w:t>以下简称鑫龙电器公司</w:t>
      </w:r>
      <w:r>
        <w:rPr>
          <w:rFonts w:ascii="Times New Roman" w:hAnsi="Times New Roman" w:cs="Times New Roman" w:eastAsia="Times New Roman" w:hint="default"/>
          <w:w w:val="95"/>
          <w:sz w:val="28"/>
          <w:szCs w:val="28"/>
        </w:rPr>
        <w:t>)</w:t>
      </w:r>
      <w:r>
        <w:rPr>
          <w:rFonts w:ascii="宋体" w:hAnsi="宋体" w:cs="宋体" w:eastAsia="宋体" w:hint="default"/>
          <w:w w:val="95"/>
          <w:sz w:val="28"/>
          <w:szCs w:val="28"/>
        </w:rPr>
        <w:t>财</w:t>
      </w:r>
      <w:r>
        <w:rPr>
          <w:rFonts w:ascii="宋体" w:hAnsi="宋体" w:cs="宋体" w:eastAsia="宋体" w:hint="default"/>
          <w:sz w:val="28"/>
          <w:szCs w:val="28"/>
        </w:rPr>
      </w:r>
    </w:p>
    <w:p>
      <w:pPr>
        <w:pStyle w:val="Heading2"/>
        <w:spacing w:line="398" w:lineRule="auto" w:before="19"/>
        <w:ind w:right="1253"/>
        <w:jc w:val="both"/>
      </w:pPr>
      <w:r>
        <w:rPr>
          <w:w w:val="95"/>
        </w:rPr>
        <w:t>务报表，包括</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日的合并及母公司资产负债表，</w:t>
      </w:r>
      <w:r>
        <w:rPr>
          <w:rFonts w:ascii="Times New Roman" w:hAnsi="Times New Roman" w:cs="Times New Roman" w:eastAsia="Times New Roman" w:hint="default"/>
          <w:w w:val="95"/>
        </w:rPr>
        <w:t>2014</w:t>
      </w:r>
      <w:r>
        <w:rPr>
          <w:w w:val="95"/>
        </w:rPr>
        <w:t>年度的合并及</w:t>
      </w:r>
      <w:r>
        <w:rPr>
          <w:spacing w:val="61"/>
          <w:w w:val="95"/>
        </w:rPr>
        <w:t> </w:t>
      </w:r>
      <w:r>
        <w:rPr>
          <w:w w:val="95"/>
        </w:rPr>
        <w:t>母公司利润表、合并及母公司现金流量表、合并及母公司股东权益变动表，以</w:t>
      </w:r>
      <w:r>
        <w:rPr>
          <w:spacing w:val="63"/>
          <w:w w:val="95"/>
        </w:rPr>
        <w:t> </w:t>
      </w:r>
      <w:r>
        <w:rPr/>
        <w:t>及财务报表附注。</w:t>
      </w:r>
    </w:p>
    <w:p>
      <w:pPr>
        <w:spacing w:line="408" w:lineRule="auto" w:before="72"/>
        <w:ind w:left="714" w:right="0" w:firstLine="1"/>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w w:val="95"/>
          <w:sz w:val="28"/>
          <w:szCs w:val="28"/>
        </w:rPr>
        <w:t>编制和公允列报财务报表是鑫龙电器公司管理层的责任，这种责任包括：</w:t>
      </w:r>
      <w:r>
        <w:rPr>
          <w:rFonts w:ascii="宋体" w:hAnsi="宋体" w:cs="宋体" w:eastAsia="宋体" w:hint="default"/>
          <w:sz w:val="28"/>
          <w:szCs w:val="28"/>
        </w:rPr>
      </w:r>
    </w:p>
    <w:p>
      <w:pPr>
        <w:pStyle w:val="Heading2"/>
        <w:spacing w:line="396" w:lineRule="auto"/>
        <w:ind w:right="1252"/>
        <w:jc w:val="both"/>
      </w:pPr>
      <w:r>
        <w:rPr/>
        <w:t>（</w:t>
      </w:r>
      <w:r>
        <w:rPr>
          <w:rFonts w:ascii="Times New Roman" w:hAnsi="Times New Roman" w:cs="Times New Roman" w:eastAsia="Times New Roman" w:hint="default"/>
        </w:rPr>
        <w:t>1</w:t>
      </w:r>
      <w:r>
        <w:rPr/>
        <w:t>）按照企业会计准则的规定编制财务报表，并使其实现公允反映；（</w:t>
      </w:r>
      <w:r>
        <w:rPr>
          <w:rFonts w:ascii="Times New Roman" w:hAnsi="Times New Roman" w:cs="Times New Roman" w:eastAsia="Times New Roman" w:hint="default"/>
        </w:rPr>
        <w:t>2</w:t>
      </w:r>
      <w:r>
        <w:rPr/>
        <w:t>）设</w:t>
      </w:r>
      <w:r>
        <w:rPr>
          <w:w w:val="99"/>
        </w:rPr>
        <w:t> </w:t>
      </w:r>
      <w:r>
        <w:rPr>
          <w:w w:val="95"/>
        </w:rPr>
        <w:t>计、执行和维护必要的内部控制，以使财务报表不存在由于舞弊或错误导致的</w:t>
      </w:r>
      <w:r>
        <w:rPr>
          <w:spacing w:val="63"/>
          <w:w w:val="95"/>
        </w:rPr>
        <w:t> </w:t>
      </w:r>
      <w:r>
        <w:rPr/>
        <w:t>重大错报。</w:t>
      </w:r>
    </w:p>
    <w:p>
      <w:pPr>
        <w:spacing w:line="408" w:lineRule="auto" w:before="76"/>
        <w:ind w:left="714" w:right="0" w:firstLine="1"/>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w w:val="95"/>
          <w:sz w:val="28"/>
          <w:szCs w:val="28"/>
        </w:rPr>
        <w:t>我们的责任是在执行审计工作的基础上对财务报表发表审计意见。我们按</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408" w:lineRule="auto" w:before="13"/>
        <w:ind w:right="1257"/>
        <w:jc w:val="both"/>
      </w:pPr>
      <w:r>
        <w:rPr>
          <w:w w:val="95"/>
        </w:rPr>
        <w:t>照中国注册会计师审计准则的规定执行了审计工作。中国注册会计师审计准则</w:t>
      </w:r>
      <w:r>
        <w:rPr>
          <w:spacing w:val="63"/>
          <w:w w:val="95"/>
        </w:rPr>
        <w:t> </w:t>
      </w:r>
      <w:r>
        <w:rPr>
          <w:w w:val="95"/>
        </w:rPr>
        <w:t>要求我们遵守职业道德守则，计划和执行审计工作以对财务报表是否不存在重</w:t>
      </w:r>
      <w:r>
        <w:rPr>
          <w:spacing w:val="63"/>
          <w:w w:val="95"/>
        </w:rPr>
        <w:t> </w:t>
      </w:r>
      <w:r>
        <w:rPr/>
        <w:t>大错报获取合理保证。</w:t>
      </w:r>
    </w:p>
    <w:p>
      <w:pPr>
        <w:pStyle w:val="Heading2"/>
        <w:spacing w:line="408" w:lineRule="auto"/>
        <w:ind w:right="986" w:firstLine="560"/>
        <w:jc w:val="left"/>
      </w:pPr>
      <w:r>
        <w:rPr>
          <w:spacing w:val="-1"/>
        </w:rPr>
        <w:t>审计工作涉及实施审计程序，以获取有关财务报表金额和披露的审计证据。</w:t>
      </w:r>
      <w:r>
        <w:rPr>
          <w:w w:val="99"/>
        </w:rPr>
        <w:t> </w:t>
      </w:r>
      <w:r>
        <w:rPr/>
        <w:t>选择的审计程序取决于注册会计师的判断，包括对由于舞弊或错误导致的财务</w:t>
      </w:r>
      <w:r>
        <w:rPr>
          <w:w w:val="99"/>
        </w:rPr>
        <w:t> </w:t>
      </w:r>
      <w:r>
        <w:rPr/>
        <w:t>报表重大错报风险的评估。在进行风险评估时，注册会计师考虑与财务报表编</w:t>
      </w:r>
      <w:r>
        <w:rPr>
          <w:w w:val="99"/>
        </w:rPr>
        <w:t> </w:t>
      </w:r>
      <w:r>
        <w:rPr/>
        <w:t>制和公允列报相关的内部控制，以设计恰当的审计程序。审计工作还包括评价</w:t>
      </w:r>
      <w:r>
        <w:rPr>
          <w:w w:val="99"/>
        </w:rPr>
        <w:t> </w:t>
      </w:r>
      <w:r>
        <w:rPr/>
        <w:t>管理层选用会计政策的恰当性和作出会计估计的合理性，以及评价财务报表的</w:t>
      </w:r>
      <w:r>
        <w:rPr>
          <w:w w:val="99"/>
        </w:rPr>
        <w:t> </w:t>
      </w:r>
      <w:r>
        <w:rPr/>
        <w:t>总体列报。</w:t>
      </w:r>
    </w:p>
    <w:p>
      <w:pPr>
        <w:pStyle w:val="Heading2"/>
        <w:spacing w:line="408" w:lineRule="auto"/>
        <w:ind w:right="1118" w:firstLine="560"/>
        <w:jc w:val="left"/>
      </w:pPr>
      <w:r>
        <w:rPr>
          <w:w w:val="95"/>
        </w:rPr>
        <w:t>我们相信，我们获取的审计证据是充分、适当的，为发表审计意见提供了</w:t>
      </w:r>
      <w:r>
        <w:rPr>
          <w:w w:val="99"/>
        </w:rPr>
        <w:t> </w:t>
      </w:r>
      <w:r>
        <w:rPr/>
        <w:t>基础。</w:t>
      </w:r>
    </w:p>
    <w:p>
      <w:pPr>
        <w:pStyle w:val="Heading2"/>
        <w:spacing w:line="408" w:lineRule="auto" w:before="62"/>
        <w:ind w:left="714" w:right="1118" w:firstLine="1"/>
        <w:jc w:val="left"/>
      </w:pPr>
      <w:r>
        <w:rPr>
          <w:rFonts w:ascii="宋体" w:hAnsi="宋体" w:cs="宋体" w:eastAsia="宋体" w:hint="default"/>
          <w:b/>
          <w:bCs/>
        </w:rPr>
        <w:t>三、审计意见</w:t>
      </w:r>
      <w:r>
        <w:rPr>
          <w:rFonts w:ascii="宋体" w:hAnsi="宋体" w:cs="宋体" w:eastAsia="宋体" w:hint="default"/>
          <w:b/>
          <w:bCs/>
          <w:w w:val="99"/>
        </w:rPr>
        <w:t> </w:t>
      </w:r>
      <w:r>
        <w:rPr>
          <w:w w:val="95"/>
        </w:rPr>
        <w:t>我们认为，鑫龙电器公司的财务报表在所有重大方面按照企业会计准则的</w:t>
      </w:r>
      <w:r>
        <w:rPr/>
      </w:r>
    </w:p>
    <w:p>
      <w:pPr>
        <w:pStyle w:val="Heading2"/>
        <w:spacing w:line="386" w:lineRule="auto"/>
        <w:ind w:right="1254"/>
        <w:jc w:val="both"/>
      </w:pPr>
      <w:r>
        <w:rPr>
          <w:w w:val="95"/>
        </w:rPr>
        <w:t>规定编制，公允反映了鑫龙电器公司</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日的合并及母公司财务状况</w:t>
      </w:r>
      <w:r>
        <w:rPr>
          <w:spacing w:val="64"/>
          <w:w w:val="95"/>
        </w:rPr>
        <w:t> </w:t>
      </w:r>
      <w:r>
        <w:rPr/>
        <w:t>以及</w:t>
      </w:r>
      <w:r>
        <w:rPr>
          <w:rFonts w:ascii="Times New Roman" w:hAnsi="Times New Roman" w:cs="Times New Roman" w:eastAsia="Times New Roman" w:hint="default"/>
        </w:rPr>
        <w:t>2014</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263" w:type="dxa"/>
        <w:tblLayout w:type="fixed"/>
        <w:tblCellMar>
          <w:top w:w="0" w:type="dxa"/>
          <w:left w:w="0" w:type="dxa"/>
          <w:bottom w:w="0" w:type="dxa"/>
          <w:right w:w="0" w:type="dxa"/>
        </w:tblCellMar>
        <w:tblLook w:val="01E0"/>
      </w:tblPr>
      <w:tblGrid>
        <w:gridCol w:w="4677"/>
        <w:gridCol w:w="3929"/>
      </w:tblGrid>
      <w:tr>
        <w:trPr>
          <w:trHeight w:val="470" w:hRule="exact"/>
        </w:trPr>
        <w:tc>
          <w:tcPr>
            <w:tcW w:w="4677" w:type="dxa"/>
            <w:tcBorders>
              <w:top w:val="nil" w:sz="6" w:space="0" w:color="auto"/>
              <w:left w:val="nil" w:sz="6" w:space="0" w:color="auto"/>
              <w:bottom w:val="nil" w:sz="6" w:space="0" w:color="auto"/>
              <w:right w:val="nil" w:sz="6" w:space="0" w:color="auto"/>
            </w:tcBorders>
          </w:tcPr>
          <w:p>
            <w:pPr>
              <w:pStyle w:val="TableParagraph"/>
              <w:spacing w:line="301" w:lineRule="exact"/>
              <w:ind w:right="169"/>
              <w:jc w:val="center"/>
              <w:rPr>
                <w:rFonts w:ascii="Times New Roman" w:hAnsi="Times New Roman" w:cs="Times New Roman" w:eastAsia="Times New Roman" w:hint="default"/>
                <w:sz w:val="28"/>
                <w:szCs w:val="28"/>
              </w:rPr>
            </w:pPr>
            <w:r>
              <w:rPr>
                <w:rFonts w:ascii="宋体" w:hAnsi="宋体" w:cs="宋体" w:eastAsia="宋体" w:hint="default"/>
                <w:sz w:val="28"/>
                <w:szCs w:val="28"/>
              </w:rPr>
              <w:t>大华会计师事务所</w:t>
            </w:r>
            <w:r>
              <w:rPr>
                <w:rFonts w:ascii="Times New Roman" w:hAnsi="Times New Roman" w:cs="Times New Roman" w:eastAsia="Times New Roman" w:hint="default"/>
                <w:sz w:val="28"/>
                <w:szCs w:val="28"/>
              </w:rPr>
              <w:t>(</w:t>
            </w:r>
            <w:r>
              <w:rPr>
                <w:rFonts w:ascii="宋体" w:hAnsi="宋体" w:cs="宋体" w:eastAsia="宋体" w:hint="default"/>
                <w:sz w:val="28"/>
                <w:szCs w:val="28"/>
              </w:rPr>
              <w:t>特殊普通合伙</w:t>
            </w:r>
            <w:r>
              <w:rPr>
                <w:rFonts w:ascii="Times New Roman" w:hAnsi="Times New Roman" w:cs="Times New Roman" w:eastAsia="Times New Roman" w:hint="default"/>
                <w:sz w:val="28"/>
                <w:szCs w:val="28"/>
              </w:rPr>
              <w:t>)</w:t>
            </w:r>
          </w:p>
        </w:tc>
        <w:tc>
          <w:tcPr>
            <w:tcW w:w="3929" w:type="dxa"/>
            <w:tcBorders>
              <w:top w:val="nil" w:sz="6" w:space="0" w:color="auto"/>
              <w:left w:val="nil" w:sz="6" w:space="0" w:color="auto"/>
              <w:bottom w:val="nil" w:sz="6" w:space="0" w:color="auto"/>
              <w:right w:val="nil" w:sz="6" w:space="0" w:color="auto"/>
            </w:tcBorders>
          </w:tcPr>
          <w:p>
            <w:pPr>
              <w:pStyle w:val="TableParagraph"/>
              <w:spacing w:line="280" w:lineRule="exact"/>
              <w:ind w:left="371" w:right="0"/>
              <w:jc w:val="left"/>
              <w:rPr>
                <w:rFonts w:ascii="宋体" w:hAnsi="宋体" w:cs="宋体" w:eastAsia="宋体" w:hint="default"/>
                <w:sz w:val="28"/>
                <w:szCs w:val="28"/>
              </w:rPr>
            </w:pPr>
            <w:r>
              <w:rPr>
                <w:rFonts w:ascii="宋体" w:hAnsi="宋体" w:cs="宋体" w:eastAsia="宋体" w:hint="default"/>
                <w:sz w:val="28"/>
                <w:szCs w:val="28"/>
              </w:rPr>
              <w:t>中国注册会计师：</w:t>
            </w:r>
          </w:p>
        </w:tc>
      </w:tr>
      <w:tr>
        <w:trPr>
          <w:trHeight w:val="644" w:hRule="exact"/>
        </w:trPr>
        <w:tc>
          <w:tcPr>
            <w:tcW w:w="46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9"/>
              <w:jc w:val="center"/>
              <w:rPr>
                <w:rFonts w:ascii="宋体" w:hAnsi="宋体" w:cs="宋体" w:eastAsia="宋体" w:hint="default"/>
                <w:sz w:val="28"/>
                <w:szCs w:val="28"/>
              </w:rPr>
            </w:pPr>
            <w:r>
              <w:rPr>
                <w:rFonts w:ascii="宋体" w:hAnsi="宋体" w:cs="宋体" w:eastAsia="宋体" w:hint="default"/>
                <w:sz w:val="28"/>
                <w:szCs w:val="28"/>
              </w:rPr>
              <w:t>中国</w:t>
            </w:r>
            <w:r>
              <w:rPr>
                <w:rFonts w:ascii="Times New Roman" w:hAnsi="Times New Roman" w:cs="Times New Roman" w:eastAsia="Times New Roman" w:hint="default"/>
                <w:b/>
                <w:bCs/>
                <w:sz w:val="28"/>
                <w:szCs w:val="28"/>
              </w:rPr>
              <w:t>·</w:t>
            </w:r>
            <w:r>
              <w:rPr>
                <w:rFonts w:ascii="宋体" w:hAnsi="宋体" w:cs="宋体" w:eastAsia="宋体" w:hint="default"/>
                <w:sz w:val="28"/>
                <w:szCs w:val="28"/>
              </w:rPr>
              <w:t>北京</w:t>
            </w:r>
          </w:p>
        </w:tc>
        <w:tc>
          <w:tcPr>
            <w:tcW w:w="3929" w:type="dxa"/>
            <w:tcBorders>
              <w:top w:val="nil" w:sz="6" w:space="0" w:color="auto"/>
              <w:left w:val="nil" w:sz="6" w:space="0" w:color="auto"/>
              <w:bottom w:val="nil" w:sz="6" w:space="0" w:color="auto"/>
              <w:right w:val="nil" w:sz="6" w:space="0" w:color="auto"/>
            </w:tcBorders>
          </w:tcPr>
          <w:p>
            <w:pPr/>
          </w:p>
        </w:tc>
      </w:tr>
      <w:tr>
        <w:trPr>
          <w:trHeight w:val="959" w:hRule="exact"/>
        </w:trPr>
        <w:tc>
          <w:tcPr>
            <w:tcW w:w="4677" w:type="dxa"/>
            <w:tcBorders>
              <w:top w:val="nil" w:sz="6" w:space="0" w:color="auto"/>
              <w:left w:val="nil" w:sz="6" w:space="0" w:color="auto"/>
              <w:bottom w:val="nil" w:sz="6" w:space="0" w:color="auto"/>
              <w:right w:val="nil" w:sz="6" w:space="0" w:color="auto"/>
            </w:tcBorders>
          </w:tcPr>
          <w:p>
            <w:pPr/>
          </w:p>
        </w:tc>
        <w:tc>
          <w:tcPr>
            <w:tcW w:w="392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71" w:right="0"/>
              <w:jc w:val="left"/>
              <w:rPr>
                <w:rFonts w:ascii="宋体" w:hAnsi="宋体" w:cs="宋体" w:eastAsia="宋体" w:hint="default"/>
                <w:sz w:val="28"/>
                <w:szCs w:val="28"/>
              </w:rPr>
            </w:pPr>
            <w:r>
              <w:rPr>
                <w:rFonts w:ascii="宋体" w:hAnsi="宋体" w:cs="宋体" w:eastAsia="宋体" w:hint="default"/>
                <w:sz w:val="28"/>
                <w:szCs w:val="28"/>
              </w:rPr>
              <w:t>中国注册会计师：</w:t>
            </w:r>
          </w:p>
        </w:tc>
      </w:tr>
      <w:tr>
        <w:trPr>
          <w:trHeight w:val="784" w:hRule="exact"/>
        </w:trPr>
        <w:tc>
          <w:tcPr>
            <w:tcW w:w="4677" w:type="dxa"/>
            <w:tcBorders>
              <w:top w:val="nil" w:sz="6" w:space="0" w:color="auto"/>
              <w:left w:val="nil" w:sz="6" w:space="0" w:color="auto"/>
              <w:bottom w:val="nil" w:sz="6" w:space="0" w:color="auto"/>
              <w:right w:val="nil" w:sz="6" w:space="0" w:color="auto"/>
            </w:tcBorders>
          </w:tcPr>
          <w:p>
            <w:pPr/>
          </w:p>
        </w:tc>
        <w:tc>
          <w:tcPr>
            <w:tcW w:w="3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31"/>
                <w:szCs w:val="31"/>
              </w:rPr>
            </w:pPr>
          </w:p>
          <w:p>
            <w:pPr>
              <w:pStyle w:val="TableParagraph"/>
              <w:spacing w:line="240" w:lineRule="auto"/>
              <w:ind w:left="931" w:right="0"/>
              <w:jc w:val="left"/>
              <w:rPr>
                <w:rFonts w:ascii="宋体" w:hAnsi="宋体" w:cs="宋体" w:eastAsia="宋体" w:hint="default"/>
                <w:sz w:val="28"/>
                <w:szCs w:val="28"/>
              </w:rPr>
            </w:pPr>
            <w:r>
              <w:rPr>
                <w:rFonts w:ascii="宋体" w:hAnsi="宋体" w:cs="宋体" w:eastAsia="宋体" w:hint="default"/>
                <w:sz w:val="28"/>
                <w:szCs w:val="28"/>
              </w:rPr>
              <w:t>二〇一五年三月二十日</w:t>
            </w:r>
          </w:p>
        </w:tc>
      </w:tr>
    </w:tbl>
    <w:p>
      <w:pPr>
        <w:spacing w:after="0" w:line="240"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二、财务报表" w:id="142"/>
      <w:bookmarkEnd w:id="14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合并资产负债表" w:id="143"/>
      <w:bookmarkEnd w:id="14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编制单位：安徽鑫龙电器股份有限公司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286,017,613.33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438,726,413.28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57,925,594.08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83,798,338.95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683,977,250.76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687,642,459.39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11,406,326.79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22,172,698.53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26,730,275.04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44,219,997.63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575,149,728.83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519,424,692.14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1,641,206,788.83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1,795,984,599.92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26,069,598.77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27,111,207.44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321,371,396.05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302,584,336.29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90,046,982.82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59,598,987.48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85,993,733.78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87,771,838.95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78,884,309.82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1,781,789.12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16,534,519.21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11,356,224.47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2,910,402.29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4,023,094.12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629,592,731.86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498,445,688.75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2,270,799,520.69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2,294,430,288.67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102,567,210.00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114,685,436.35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148,251,284.19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48,885,852.53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34,084,132.15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18,917,719.94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7,182,280.58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16,302,307.59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16,776,973.18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4,520,775.97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4,386,708.33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6,968,499.05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4,561,230.38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148,462,081.53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801,309,882.96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833,472,608.81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145,705,986.21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24,592,193.80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20,887,713.22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3,115,127.61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148,707,321.41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166,593,699.43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950,017,204.37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1,000,066,308.24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413,848,300.00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413,848,300.00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517,051,810.07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514,694,436.86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43,564,661.41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42,462,337.50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306,051,489.11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306,639,964.47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1,280,516,260.59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1,277,645,038.83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40,266,055.73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16,718,941.60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1,320,782,316.32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1,294,363,980.43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2,270,799,520.69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2,294,430,288.67</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法定代表人：束龙胜</w:t>
        <w:tab/>
        <w:t>主管会计工作负责人：陶黎明</w:t>
        <w:tab/>
        <w:t>会计机构负责人：杨勇</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母公司资产负债表" w:id="144"/>
      <w:bookmarkEnd w:id="14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212,202,097.13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285,995,568.52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46,464,669.20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76,638,641.94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646,147,042.16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669,512,580.28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14,159,004.85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19,588,971.74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24,502,993.83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36,043,868.24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541,794,274.18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483,222,209.54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1,485,270,081.35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1,571,001,840.26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698,470,461.07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526,005,861.58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244,595,118.00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251,839,374.16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90,046,982.82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59,598,987.48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57,931,079.89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59,259,316.54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13,183,949.35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10,904,378.37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2,910,402.29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4,023,094.12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1,113,137,993.42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917,631,012.25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2,598,408,074.77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2,488,632,852.51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68,435,500.00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93,810,000.00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142,857,739.83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172,660,447.97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44,934,470.84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28,488,422.05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13,081,758.38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5,735,254.08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7,769,332.96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10,523,182.59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4,515,309.31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4,386,708.33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494,469,758.14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391,543,756.68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148,462,081.53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1,264,525,950.99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1,127,147,771.70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145,705,986.21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24,452,193.80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20,887,713.22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142,452,193.80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166,593,699.43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1,406,978,144.79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1,293,741,471.13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413,848,300.00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413,848,300.00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517,174,001.57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517,174,001.57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42,086,551.16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40,984,227.25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218,321,077.25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222,884,852.56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1,191,429,929.98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1,194,891,381.38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2,598,408,074.77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2,488,632,852.51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3、合并利润表" w:id="145"/>
      <w:bookmarkEnd w:id="14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809,408,929.77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905,195,459.03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809,408,929.77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905,195,459.03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793,482,747.21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844,923,538.89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489,819,787.87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534,160,881.94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21.320007pt;width:157.7pt;height:19.650pt;mso-position-horizontal-relative:page;mso-position-vertical-relative:page;z-index:-852256" coordorigin="4245,10426" coordsize="3154,393">
            <v:shape style="position:absolute;left:4245;top:10426;width:3154;height:393" coordorigin="4245,10426" coordsize="3154,393" path="m4245,10819l7399,10819,7399,10426,4245,10426,4245,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5,596,884.88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5,007,665.43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103,199,089.98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120,667,818.70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147,636,252.97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139,959,631.02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35,440,701.32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26,696,095.08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11,790,030.19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18,431,446.72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30,780.00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-6,776,286.90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-6,960,502.01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-6,886,055.22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-7,106,502.01</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9,180,675.66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53,311,418.13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11,320,467.66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46,453,903.88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14,308.43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7,652.20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150,086.59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30,132.16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119,756.99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16,530.68</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20,351,056.73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99,735,189.85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3,696,564.88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12,175,683.33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16,654,491.85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87,559,506.52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14,998,539.05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87,486,738.75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1,655,952.80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72,767.77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67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16,654,491.85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87,559,506.52</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14,998,539.05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87,486,738.75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1,655,952.80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72,767.77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0.2125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0.2123</w:t>
            </w:r>
          </w:p>
        </w:tc>
      </w:tr>
    </w:tbl>
    <w:p>
      <w:pPr>
        <w:pStyle w:val="BodyText"/>
        <w:tabs>
          <w:tab w:pos="3664" w:val="left" w:leader="none"/>
          <w:tab w:pos="7895" w:val="left" w:leader="none"/>
        </w:tabs>
        <w:spacing w:line="624" w:lineRule="auto" w:before="51"/>
        <w:ind w:right="1229"/>
        <w:jc w:val="left"/>
      </w:pPr>
      <w:r>
        <w:rPr/>
        <w:t>本期发生同一控制下企业合并的，被合并方在合并前实现的净利润为：元，上期被合并方实现的净利润为：元。 法定代表人：束龙胜</w:t>
        <w:tab/>
        <w:t>主管会计工作负责人：陶黎明</w:t>
        <w:tab/>
        <w:t>会计机构负责人：杨勇</w:t>
      </w:r>
    </w:p>
    <w:p>
      <w:pPr>
        <w:pStyle w:val="Heading5"/>
        <w:spacing w:line="240" w:lineRule="auto" w:before="63"/>
        <w:ind w:right="0"/>
        <w:jc w:val="left"/>
        <w:rPr>
          <w:b w:val="0"/>
          <w:bCs w:val="0"/>
        </w:rPr>
      </w:pPr>
      <w:bookmarkStart w:name="4、母公司利润表" w:id="146"/>
      <w:bookmarkEnd w:id="14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672,301,244.88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863,652,624.09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474,921,839.07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613,264,984.96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3,284,092.52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2,814,207.48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44,914,139.11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56,887,366.18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97,156,591.05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102,568,246.60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38,546,651.54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28,626,378.89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11,691,528.61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17,943,044.45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134,486.07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92,291.93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-53,708.07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1,920,889.05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41,640,687.46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9,590,032.99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44,709,594.98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7,652.20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70,831.35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23,158.38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50,124.08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11,658.38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11,440,090.69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86,327,124.06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416,851.59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9,114,454.32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11,023,239.10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77,212,669.74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11,023,239.10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77,212,669.74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5、合并现金流量表" w:id="147"/>
      <w:bookmarkEnd w:id="14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1,010,492,580.68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999,897,882.81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53,908,688.01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70,450,964.39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1,064,401,268.69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1,070,348,847.20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739,731,141.52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836,481,963.58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106,533,485.85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87,500,615.08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76,789,840.97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81,405,601.23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119,224,730.87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148,808,856.54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1,042,279,199.21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1,154,197,036.43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22,122,069.48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-83,848,189.23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738,148.00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152,062.25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368,060.73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109,349.43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1,258,270.98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255,349.43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58,788,177.82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150,137,139.23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95,764,730.14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154,552,907.96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150,887,139.23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-153,294,636.98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-150,631,789.80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37,992,059.00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5,613,777.97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651,605,836.97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52,488,521.15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32,435,679.26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710,568,521.15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482,855,679.26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-12,568,521.15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168,750,157.71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1,339.77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-143,739,748.88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-65,729,821.32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408,670,145.41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474,399,966.73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264,930,396.53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408,670,145.41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6、母公司现金流量表" w:id="148"/>
      <w:bookmarkEnd w:id="14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849,846,193.74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907,750,107.08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134,327,757.11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204,998,228.25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984,173,950.85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1,112,748,335.33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648,314,120.61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958,239,382.68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64,671,744.00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63,127,595.28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45,616,911.39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54,152,127.96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66,148,650.80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79,675,736.78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824,751,426.80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1,155,194,842.70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159,422,524.05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-42,446,507.37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684,778.00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74,656.41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905,434.41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54,760,592.66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142,108,619.68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55,670,000.00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218,700,592.66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197,778,619.68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-217,795,158.25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-197,609,119.68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37,992,059.00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2,312,066.02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648,304,125.02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52,009,499.66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30,998,624.48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699,009,499.66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456,498,624.48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-14,009,499.66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191,805,500.54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-72,382,133.86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-48,250,126.51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267,234,502.93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315,484,629.44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194,852,369.07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267,234,502.93</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7、合并所有者权益变动表" w:id="149"/>
      <w:bookmarkEnd w:id="14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413,84</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514,694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,436.86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42,462,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337.50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306,639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,964.47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16,718,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941.60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413,84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514,694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,436.86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42,462,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337.50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306,639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,964.47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16,718,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941.60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2,357,3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73.21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23.91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-588,47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5.36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23,547,</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114.13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26,418,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335.89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14,998,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539.05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1,655,9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52.80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16,654,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491.85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2,357,3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73.21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21,891,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161.33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24,248,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534.54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17,707,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796.06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17,707,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796.06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-3,529,2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91.42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3,529,2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91.42</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5,886,6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64.63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654,073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6,540,7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38.48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23.91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-15,587,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014.41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-14,484,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690.50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23.91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-14,484,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690.50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-14,484,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690.50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413,84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517,051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,810.07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661.41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306,051</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,489.11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40,266,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055.73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408,86</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484,880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,825.61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34,741,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070.53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235,051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,872.69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19,839,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430.27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1,183,3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82,199.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408,86</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484,880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,825.61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34,741,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070.53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235,051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,872.69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19,839,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430.27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1,183,3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82,199.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4,979,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29,813,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611.25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7,721,2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71,588,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091.78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-3,120,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488.67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110,981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,781.33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87,486,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738.75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87,559,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506.52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4,979,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29,813,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611.25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-3,193,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256.44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31,599,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654.81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4,979,</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33,012,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9" w:right="0"/>
              <w:jc w:val="left"/>
              <w:rPr>
                <w:rFonts w:ascii="Times New Roman" w:hAnsi="Times New Roman" w:cs="Times New Roman" w:eastAsia="Times New Roman" w:hint="default"/>
                <w:sz w:val="18"/>
                <w:szCs w:val="18"/>
              </w:rPr>
            </w:pPr>
            <w:r>
              <w:rPr>
                <w:rFonts w:ascii="Times New Roman"/>
                <w:sz w:val="18"/>
              </w:rPr>
              <w:t>-3,000,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34,992,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300.00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Times New Roman" w:hAnsi="Times New Roman" w:cs="Times New Roman" w:eastAsia="Times New Roman" w:hint="default"/>
                <w:sz w:val="18"/>
                <w:szCs w:val="18"/>
              </w:rPr>
            </w:pPr>
            <w:r>
              <w:rPr>
                <w:rFonts w:ascii="Times New Roman"/>
                <w:sz w:val="18"/>
              </w:rPr>
              <w:t>759.00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059.00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-392,40</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-392,40</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4.19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-2,806,7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43.56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-193,25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7,721,2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-15,898,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646.97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-8,177,3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7,721,2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-7,721,2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66.97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-8,177,3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-8,177,3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413,84</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514,694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,436.86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42,462,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337.50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306,639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,964.47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16,718,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941.60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8、母公司所有者权益变动表" w:id="150"/>
      <w:bookmarkEnd w:id="15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413,848,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517,174,0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01.57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40,984,22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222,884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,852.56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1,194,891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,381.38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413,848,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517,174,0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01.57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40,984,22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222,884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,852.56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1,194,891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,381.38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1,102,323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-4,563,7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75.31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-3,461,45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1.40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239.10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11,023,23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9.10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1,102,323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-15,587,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014.41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-14,484,6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90.50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1,102,323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23.91</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-14,484,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690.50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-14,484,6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90.50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413,848,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517,174,0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42,086,55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218,321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,077.25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1,191,429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,929.98</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408,869,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484,553,6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46.76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33,262,96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161,570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,829.79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1,088,256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,436.83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408,869,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484,553,6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46.76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33,262,96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161,570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,829.79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1,088,256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,436.83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4,979,30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32,620,35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7,721,266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61,314,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022.77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106,634,9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44.55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77,212,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669.74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77,212,66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9.74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4,979,30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32,620,35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37,599,65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4.81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4,979,30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33,012,75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37,992,05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-392,404.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-392,404.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7,721,266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-15,898,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646.97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-8,177,38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7,721,266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-7,721,2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66.97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-8,177,3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-8,177,38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413,848,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517,174,0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01.57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40,984,22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222,884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,852.56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1,194,891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,381.38</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三、公司基本情况" w:id="151"/>
      <w:bookmarkEnd w:id="15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spacing w:before="0"/>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、公司注册地、组织形式和总部地址</w:t>
      </w:r>
      <w:r>
        <w:rPr>
          <w:rFonts w:ascii="宋体" w:hAnsi="宋体" w:cs="宋体" w:eastAsia="宋体" w:hint="default"/>
          <w:sz w:val="18"/>
          <w:szCs w:val="18"/>
        </w:rPr>
      </w:r>
    </w:p>
    <w:p>
      <w:pPr>
        <w:spacing w:line="240" w:lineRule="auto" w:before="7"/>
        <w:rPr>
          <w:rFonts w:ascii="宋体" w:hAnsi="宋体" w:cs="宋体" w:eastAsia="宋体" w:hint="default"/>
          <w:b/>
          <w:bCs/>
          <w:sz w:val="12"/>
          <w:szCs w:val="12"/>
        </w:rPr>
      </w:pPr>
    </w:p>
    <w:p>
      <w:pPr>
        <w:pStyle w:val="BodyText"/>
        <w:spacing w:line="300" w:lineRule="auto"/>
        <w:ind w:right="1115" w:firstLine="360"/>
        <w:jc w:val="left"/>
      </w:pPr>
      <w:r>
        <w:rPr/>
        <w:t>安徽鑫龙电器股份有限公司（以下简称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spacing w:val="-42"/>
        </w:rPr>
        <w:t> </w:t>
      </w:r>
      <w:r>
        <w:rPr/>
        <w:t>成立于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日，经安徽省工商行政管理局核准登记 </w:t>
      </w:r>
      <w:r>
        <w:rPr>
          <w:spacing w:val="-1"/>
        </w:rPr>
        <w:t>注册，企业法人营业执照的注册号为：</w:t>
      </w:r>
      <w:r>
        <w:rPr>
          <w:rFonts w:ascii="Times New Roman" w:hAnsi="Times New Roman" w:cs="Times New Roman" w:eastAsia="Times New Roman" w:hint="default"/>
          <w:spacing w:val="-1"/>
        </w:rPr>
        <w:t>3400002400030</w:t>
      </w:r>
      <w:r>
        <w:rPr>
          <w:spacing w:val="-1"/>
        </w:rPr>
        <w:t>，注册资本</w:t>
      </w:r>
      <w:r>
        <w:rPr>
          <w:rFonts w:ascii="Times New Roman" w:hAnsi="Times New Roman" w:cs="Times New Roman" w:eastAsia="Times New Roman" w:hint="default"/>
          <w:spacing w:val="-1"/>
        </w:rPr>
        <w:t>8,200</w:t>
      </w:r>
      <w:r>
        <w:rPr>
          <w:spacing w:val="-1"/>
        </w:rPr>
        <w:t>万元，注册地址：芜湖市经济技术开发区电器部件园</w:t>
      </w:r>
    </w:p>
    <w:p>
      <w:pPr>
        <w:pStyle w:val="BodyText"/>
        <w:spacing w:line="240" w:lineRule="auto" w:before="14"/>
        <w:ind w:right="0"/>
        <w:jc w:val="left"/>
      </w:pPr>
      <w:r>
        <w:rPr/>
        <w:t>（九华北路</w:t>
      </w:r>
      <w:r>
        <w:rPr>
          <w:rFonts w:ascii="Times New Roman" w:hAnsi="Times New Roman" w:cs="Times New Roman" w:eastAsia="Times New Roman" w:hint="default"/>
        </w:rPr>
        <w:t>118</w:t>
      </w:r>
      <w:r>
        <w:rPr/>
        <w:t>号），法定代表人：束龙胜。</w:t>
      </w:r>
    </w:p>
    <w:p>
      <w:pPr>
        <w:spacing w:line="240" w:lineRule="auto" w:before="5"/>
        <w:rPr>
          <w:rFonts w:ascii="宋体" w:hAnsi="宋体" w:cs="宋体" w:eastAsia="宋体" w:hint="default"/>
          <w:sz w:val="12"/>
          <w:szCs w:val="12"/>
        </w:rPr>
      </w:pPr>
    </w:p>
    <w:p>
      <w:pPr>
        <w:pStyle w:val="BodyText"/>
        <w:spacing w:line="300" w:lineRule="auto"/>
        <w:ind w:right="0" w:firstLine="360"/>
        <w:jc w:val="left"/>
      </w:pPr>
      <w:r>
        <w:rPr/>
        <w:t>根据本公司</w:t>
      </w:r>
      <w:r>
        <w:rPr>
          <w:rFonts w:ascii="Times New Roman" w:hAnsi="Times New Roman" w:cs="Times New Roman" w:eastAsia="Times New Roman" w:hint="default"/>
        </w:rPr>
        <w:t>2008</w:t>
      </w:r>
      <w:r>
        <w:rPr/>
        <w:t>年第一次临时股东大会决议及中国证券监督管理委员会证监许可</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rFonts w:ascii="Times New Roman" w:hAnsi="Times New Roman" w:cs="Times New Roman" w:eastAsia="Times New Roman" w:hint="default"/>
        </w:rPr>
        <w:t>929</w:t>
      </w:r>
      <w:r>
        <w:rPr/>
        <w:t>号文</w:t>
      </w:r>
      <w:r>
        <w:rPr>
          <w:rFonts w:ascii="Times New Roman" w:hAnsi="Times New Roman" w:cs="Times New Roman" w:eastAsia="Times New Roman" w:hint="default"/>
        </w:rPr>
        <w:t>“</w:t>
      </w:r>
      <w:r>
        <w:rPr/>
        <w:t>关于核准安徽鑫龙电 </w:t>
      </w:r>
      <w:r>
        <w:rPr>
          <w:spacing w:val="-2"/>
        </w:rPr>
        <w:t>器股份有限公司首次公开发行股票的批复</w:t>
      </w:r>
      <w:r>
        <w:rPr>
          <w:rFonts w:ascii="Times New Roman" w:hAnsi="Times New Roman" w:cs="Times New Roman" w:eastAsia="Times New Roman" w:hint="default"/>
          <w:spacing w:val="-2"/>
        </w:rPr>
        <w:t>”</w:t>
      </w:r>
      <w:r>
        <w:rPr>
          <w:spacing w:val="-2"/>
        </w:rPr>
        <w:t>，本公司分别于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日采用网下配售方式向询价对象公开发行人民币普通</w:t>
      </w:r>
      <w:r>
        <w:rPr>
          <w:spacing w:val="-46"/>
        </w:rPr>
        <w:t> </w:t>
      </w:r>
      <w:r>
        <w:rPr>
          <w:spacing w:val="-1"/>
        </w:rPr>
        <w:t>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560</w:t>
      </w:r>
      <w:r>
        <w:rPr>
          <w:spacing w:val="-1"/>
        </w:rPr>
        <w:t>万股，</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日采用网上定价方式公开发行人民币普通股（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2,240</w:t>
      </w:r>
      <w:r>
        <w:rPr>
          <w:spacing w:val="-1"/>
        </w:rPr>
        <w:t>万股，共计公开发行人民币普通</w:t>
      </w:r>
      <w:r>
        <w:rPr>
          <w:spacing w:val="-59"/>
        </w:rPr>
        <w:t> </w:t>
      </w:r>
      <w:r>
        <w:rPr>
          <w:spacing w:val="-59"/>
        </w:rPr>
      </w:r>
      <w:r>
        <w:rPr>
          <w:spacing w:val="-1"/>
        </w:rPr>
        <w:t>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2,800</w:t>
      </w:r>
      <w:r>
        <w:rPr>
          <w:spacing w:val="-1"/>
        </w:rPr>
        <w:t>万股，每股发行价格为</w:t>
      </w:r>
      <w:r>
        <w:rPr>
          <w:rFonts w:ascii="Times New Roman" w:hAnsi="Times New Roman" w:cs="Times New Roman" w:eastAsia="Times New Roman" w:hint="default"/>
          <w:spacing w:val="-1"/>
        </w:rPr>
        <w:t>9.50</w:t>
      </w:r>
      <w:r>
        <w:rPr>
          <w:spacing w:val="-1"/>
        </w:rPr>
        <w:t>元。公司发行后社会公众股为</w:t>
      </w:r>
      <w:r>
        <w:rPr>
          <w:rFonts w:ascii="Times New Roman" w:hAnsi="Times New Roman" w:cs="Times New Roman" w:eastAsia="Times New Roman" w:hint="default"/>
          <w:spacing w:val="-1"/>
        </w:rPr>
        <w:t>2800</w:t>
      </w:r>
      <w:r>
        <w:rPr>
          <w:spacing w:val="-1"/>
        </w:rPr>
        <w:t>万股，出资方式全部为货币资金。本次发行后</w:t>
      </w:r>
      <w:r>
        <w:rPr>
          <w:spacing w:val="-64"/>
        </w:rPr>
        <w:t> </w:t>
      </w:r>
      <w:r>
        <w:rPr>
          <w:spacing w:val="-64"/>
        </w:rPr>
      </w:r>
      <w:r>
        <w:rPr/>
        <w:t>本公司的注册资本为</w:t>
      </w:r>
      <w:r>
        <w:rPr>
          <w:rFonts w:ascii="Times New Roman" w:hAnsi="Times New Roman" w:cs="Times New Roman" w:eastAsia="Times New Roman" w:hint="default"/>
        </w:rPr>
        <w:t>11,000</w:t>
      </w:r>
      <w:r>
        <w:rPr/>
        <w:t>万元。</w:t>
      </w:r>
    </w:p>
    <w:p>
      <w:pPr>
        <w:pStyle w:val="BodyText"/>
        <w:spacing w:line="300" w:lineRule="auto" w:before="13"/>
        <w:ind w:left="154" w:right="0" w:firstLine="362"/>
        <w:jc w:val="left"/>
      </w:pPr>
      <w:r>
        <w:rPr/>
        <w:t>根据本公司</w:t>
      </w:r>
      <w:r>
        <w:rPr>
          <w:rFonts w:ascii="Times New Roman" w:hAnsi="Times New Roman" w:cs="Times New Roman" w:eastAsia="Times New Roman" w:hint="default"/>
        </w:rPr>
        <w:t>2009</w:t>
      </w:r>
      <w:r>
        <w:rPr/>
        <w:t>年度股东大会审议通过的《关于公司</w:t>
      </w:r>
      <w:r>
        <w:rPr>
          <w:rFonts w:ascii="Times New Roman" w:hAnsi="Times New Roman" w:cs="Times New Roman" w:eastAsia="Times New Roman" w:hint="default"/>
        </w:rPr>
        <w:t>2009</w:t>
      </w:r>
      <w:r>
        <w:rPr/>
        <w:t>年度利润分配的预</w:t>
      </w:r>
      <w:r>
        <w:rPr>
          <w:spacing w:val="-18"/>
        </w:rPr>
        <w:t> </w:t>
      </w:r>
      <w:r>
        <w:rPr/>
        <w:t>案》，以</w:t>
      </w:r>
      <w:r>
        <w:rPr>
          <w:rFonts w:ascii="Times New Roman" w:hAnsi="Times New Roman" w:cs="Times New Roman" w:eastAsia="Times New Roman" w:hint="default"/>
        </w:rPr>
        <w:t>2009</w:t>
      </w:r>
      <w:r>
        <w:rPr/>
        <w:t>年末</w:t>
      </w:r>
      <w:r>
        <w:rPr>
          <w:rFonts w:ascii="Times New Roman" w:hAnsi="Times New Roman" w:cs="Times New Roman" w:eastAsia="Times New Roman" w:hint="default"/>
        </w:rPr>
        <w:t>11,000</w:t>
      </w:r>
      <w:r>
        <w:rPr/>
        <w:t>万股本为基数， </w:t>
      </w:r>
      <w:r>
        <w:rPr>
          <w:spacing w:val="-2"/>
        </w:rPr>
        <w:t>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股的利润分配方案，公司总股本由</w:t>
      </w:r>
      <w:r>
        <w:rPr>
          <w:rFonts w:ascii="Times New Roman" w:hAnsi="Times New Roman" w:cs="Times New Roman" w:eastAsia="Times New Roman" w:hint="default"/>
          <w:spacing w:val="-2"/>
        </w:rPr>
        <w:t>11,000</w:t>
      </w:r>
      <w:r>
        <w:rPr>
          <w:spacing w:val="-2"/>
        </w:rPr>
        <w:t>万股增加到</w:t>
      </w:r>
      <w:r>
        <w:rPr>
          <w:rFonts w:ascii="Times New Roman" w:hAnsi="Times New Roman" w:cs="Times New Roman" w:eastAsia="Times New Roman" w:hint="default"/>
          <w:spacing w:val="-2"/>
        </w:rPr>
        <w:t>16,500</w:t>
      </w:r>
      <w:r>
        <w:rPr>
          <w:spacing w:val="-2"/>
        </w:rPr>
        <w:t>万股。本次资本公积转增资本</w:t>
      </w:r>
      <w:r>
        <w:rPr>
          <w:spacing w:val="-52"/>
        </w:rPr>
        <w:t> </w:t>
      </w:r>
      <w:r>
        <w:rPr>
          <w:spacing w:val="-52"/>
        </w:rPr>
      </w:r>
      <w:r>
        <w:rPr/>
        <w:t>后公司的注册资本变更为</w:t>
      </w:r>
      <w:r>
        <w:rPr>
          <w:rFonts w:ascii="Times New Roman" w:hAnsi="Times New Roman" w:cs="Times New Roman" w:eastAsia="Times New Roman" w:hint="default"/>
        </w:rPr>
        <w:t>16,500</w:t>
      </w:r>
      <w:r>
        <w:rPr/>
        <w:t>万元。</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31" w:firstLine="363"/>
        <w:jc w:val="both"/>
      </w:pPr>
      <w:r>
        <w:rPr>
          <w:spacing w:val="-1"/>
        </w:rPr>
        <w:t>根据本公司</w:t>
      </w:r>
      <w:r>
        <w:rPr>
          <w:rFonts w:ascii="Times New Roman" w:hAnsi="Times New Roman" w:cs="Times New Roman" w:eastAsia="Times New Roman" w:hint="default"/>
          <w:spacing w:val="-1"/>
        </w:rPr>
        <w:t>2011</w:t>
      </w:r>
      <w:r>
        <w:rPr>
          <w:spacing w:val="-1"/>
        </w:rPr>
        <w:t>年度股东大会审议通过的《关于公司</w:t>
      </w:r>
      <w:r>
        <w:rPr>
          <w:rFonts w:ascii="Times New Roman" w:hAnsi="Times New Roman" w:cs="Times New Roman" w:eastAsia="Times New Roman" w:hint="default"/>
          <w:spacing w:val="-1"/>
        </w:rPr>
        <w:t>2011</w:t>
      </w:r>
      <w:r>
        <w:rPr>
          <w:spacing w:val="-1"/>
        </w:rPr>
        <w:t>年度利润分配的预案》，以</w:t>
      </w:r>
      <w:r>
        <w:rPr>
          <w:rFonts w:ascii="Times New Roman" w:hAnsi="Times New Roman" w:cs="Times New Roman" w:eastAsia="Times New Roman" w:hint="default"/>
          <w:spacing w:val="-1"/>
        </w:rPr>
        <w:t>2011</w:t>
      </w:r>
      <w:r>
        <w:rPr>
          <w:spacing w:val="-1"/>
        </w:rPr>
        <w:t>年末</w:t>
      </w:r>
      <w:r>
        <w:rPr>
          <w:rFonts w:ascii="Times New Roman" w:hAnsi="Times New Roman" w:cs="Times New Roman" w:eastAsia="Times New Roman" w:hint="default"/>
          <w:spacing w:val="-1"/>
        </w:rPr>
        <w:t>16,500</w:t>
      </w:r>
      <w:r>
        <w:rPr>
          <w:spacing w:val="-1"/>
        </w:rPr>
        <w:t>万股本为基数，公</w:t>
      </w:r>
      <w:r>
        <w:rPr/>
        <w:t> 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股的比例，以资本公积、未分配利润向全体股东转增股份总额</w:t>
      </w:r>
      <w:r>
        <w:rPr>
          <w:rFonts w:ascii="Times New Roman" w:hAnsi="Times New Roman" w:cs="Times New Roman" w:eastAsia="Times New Roman" w:hint="default"/>
        </w:rPr>
        <w:t>16,500</w:t>
      </w:r>
      <w:r>
        <w:rPr/>
        <w:t>万股，其中：由资本公积转增</w:t>
      </w:r>
      <w:r>
        <w:rPr>
          <w:rFonts w:ascii="Times New Roman" w:hAnsi="Times New Roman" w:cs="Times New Roman" w:eastAsia="Times New Roman" w:hint="default"/>
        </w:rPr>
        <w:t>13,200 </w:t>
      </w:r>
      <w:r>
        <w:rPr/>
        <w:t>万股，由未分配利润转增</w:t>
      </w:r>
      <w:r>
        <w:rPr>
          <w:rFonts w:ascii="Times New Roman" w:hAnsi="Times New Roman" w:cs="Times New Roman" w:eastAsia="Times New Roman" w:hint="default"/>
        </w:rPr>
        <w:t>3,300</w:t>
      </w:r>
      <w:r>
        <w:rPr/>
        <w:t>万股。本次转增资本后公司的注册资本变更为</w:t>
      </w:r>
      <w:r>
        <w:rPr>
          <w:rFonts w:ascii="Times New Roman" w:hAnsi="Times New Roman" w:cs="Times New Roman" w:eastAsia="Times New Roman" w:hint="default"/>
        </w:rPr>
        <w:t>33,000</w:t>
      </w:r>
      <w:r>
        <w:rPr/>
        <w:t>万元。</w:t>
      </w:r>
    </w:p>
    <w:p>
      <w:pPr>
        <w:pStyle w:val="BodyText"/>
        <w:spacing w:line="300" w:lineRule="auto" w:before="13"/>
        <w:ind w:right="0" w:firstLine="363"/>
        <w:jc w:val="left"/>
      </w:pPr>
      <w:r>
        <w:rPr>
          <w:spacing w:val="-2"/>
        </w:rPr>
        <w:t>根据公司第五届董事会第十八次会议、</w:t>
      </w:r>
      <w:r>
        <w:rPr>
          <w:rFonts w:ascii="Times New Roman" w:hAnsi="Times New Roman" w:cs="Times New Roman" w:eastAsia="Times New Roman" w:hint="default"/>
          <w:spacing w:val="-2"/>
        </w:rPr>
        <w:t>2011</w:t>
      </w:r>
      <w:r>
        <w:rPr>
          <w:spacing w:val="-2"/>
        </w:rPr>
        <w:t>年第四次临时股东大会的决议和修改后章程的规定，并经中国证券监督管理</w:t>
      </w:r>
      <w:r>
        <w:rPr/>
        <w:t> 委员会证监许可</w:t>
      </w:r>
      <w:r>
        <w:rPr>
          <w:rFonts w:ascii="Times New Roman" w:hAnsi="Times New Roman" w:cs="Times New Roman" w:eastAsia="Times New Roman" w:hint="default"/>
        </w:rPr>
        <w:t>[2012]648</w:t>
      </w:r>
      <w:r>
        <w:rPr/>
        <w:t>号文《关于核准安徽鑫龙电器股份有限公司非公开发行股票的批复》核准，鑫龙电器公司于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日向特定对象定价发行人民币普通股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7,886.90</w:t>
      </w:r>
      <w:r>
        <w:rPr/>
        <w:t>万股，每股发行认购价格为人民币</w:t>
      </w:r>
      <w:r>
        <w:rPr>
          <w:rFonts w:ascii="Times New Roman" w:hAnsi="Times New Roman" w:cs="Times New Roman" w:eastAsia="Times New Roman" w:hint="default"/>
        </w:rPr>
        <w:t>6.72</w:t>
      </w:r>
      <w:r>
        <w:rPr/>
        <w:t>元。经此发行后，注册资 本变更为人民币</w:t>
      </w:r>
      <w:r>
        <w:rPr>
          <w:rFonts w:ascii="Times New Roman" w:hAnsi="Times New Roman" w:cs="Times New Roman" w:eastAsia="Times New Roman" w:hint="default"/>
        </w:rPr>
        <w:t>40,886.90</w:t>
      </w:r>
      <w:r>
        <w:rPr/>
        <w:t>万元。</w:t>
      </w:r>
    </w:p>
    <w:p>
      <w:pPr>
        <w:pStyle w:val="BodyText"/>
        <w:spacing w:line="307" w:lineRule="auto" w:before="113"/>
        <w:ind w:right="1131" w:firstLine="360"/>
        <w:jc w:val="both"/>
      </w:pPr>
      <w:r>
        <w:rPr/>
        <w:t>根据公司</w:t>
      </w:r>
      <w:r>
        <w:rPr>
          <w:spacing w:val="-19"/>
        </w:rPr>
        <w:t> </w:t>
      </w:r>
      <w:r>
        <w:rPr>
          <w:rFonts w:ascii="Times New Roman" w:hAnsi="Times New Roman" w:cs="Times New Roman" w:eastAsia="Times New Roman" w:hint="default"/>
        </w:rPr>
        <w:t>2011</w:t>
      </w:r>
      <w:r>
        <w:rPr/>
        <w:t>年第一次临时股东大会审议通过的《安徽鑫龙电器股份有限公司股票期权激励计划（修订稿）》的相关 </w:t>
      </w:r>
      <w:r>
        <w:rPr>
          <w:spacing w:val="-2"/>
        </w:rPr>
        <w:t>规定，公司首期股票期权激励计划首次授予第一个行权期的行权条件已经满足，经公司第五届董事会第二十九次会议审议通</w:t>
      </w:r>
      <w:r>
        <w:rPr>
          <w:spacing w:val="-64"/>
        </w:rPr>
        <w:t> </w:t>
      </w:r>
      <w:r>
        <w:rPr>
          <w:spacing w:val="-64"/>
        </w:rPr>
      </w:r>
      <w:r>
        <w:rPr/>
        <w:t>过了《关于公司股票期权激励计划首次授予第一个行权期可行权的议案》。公司实际有</w:t>
      </w:r>
      <w:r>
        <w:rPr>
          <w:spacing w:val="-37"/>
        </w:rPr>
        <w:t> </w:t>
      </w:r>
      <w:r>
        <w:rPr>
          <w:rFonts w:ascii="Times New Roman" w:hAnsi="Times New Roman" w:cs="Times New Roman" w:eastAsia="Times New Roman" w:hint="default"/>
        </w:rPr>
        <w:t>101</w:t>
      </w:r>
      <w:r>
        <w:rPr/>
        <w:t>名股权激励对象合计行权</w:t>
      </w:r>
      <w:r>
        <w:rPr>
          <w:rFonts w:ascii="Times New Roman" w:hAnsi="Times New Roman" w:cs="Times New Roman" w:eastAsia="Times New Roman" w:hint="default"/>
        </w:rPr>
        <w:t>497.93 </w:t>
      </w:r>
      <w:r>
        <w:rPr/>
        <w:t>万份股票期权，每份股票期权行权价格为人民币</w:t>
      </w:r>
      <w:r>
        <w:rPr>
          <w:rFonts w:ascii="Times New Roman" w:hAnsi="Times New Roman" w:cs="Times New Roman" w:eastAsia="Times New Roman" w:hint="default"/>
        </w:rPr>
        <w:t>7.63</w:t>
      </w:r>
      <w:r>
        <w:rPr/>
        <w:t>元，行权后的注册资本变更为人民币</w:t>
      </w:r>
      <w:r>
        <w:rPr>
          <w:rFonts w:ascii="Times New Roman" w:hAnsi="Times New Roman" w:cs="Times New Roman" w:eastAsia="Times New Roman" w:hint="default"/>
        </w:rPr>
        <w:t>41,384.83</w:t>
      </w:r>
      <w:r>
        <w:rPr/>
        <w:t>万元。</w:t>
      </w:r>
    </w:p>
    <w:p>
      <w:pPr>
        <w:pStyle w:val="BodyText"/>
        <w:spacing w:line="300" w:lineRule="auto" w:before="127"/>
        <w:ind w:left="514" w:right="1118" w:firstLine="1"/>
        <w:jc w:val="left"/>
      </w:pPr>
      <w:r>
        <w:rPr>
          <w:rFonts w:ascii="Times New Roman" w:hAnsi="Times New Roman" w:cs="Times New Roman" w:eastAsia="Times New Roman" w:hint="default"/>
          <w:b/>
          <w:bCs/>
        </w:rPr>
        <w:t>2</w:t>
      </w:r>
      <w:r>
        <w:rPr>
          <w:rFonts w:ascii="宋体" w:hAnsi="宋体" w:cs="宋体" w:eastAsia="宋体" w:hint="default"/>
          <w:b/>
          <w:bCs/>
        </w:rPr>
        <w:t>、经营范围</w:t>
      </w:r>
      <w:r>
        <w:rPr>
          <w:rFonts w:ascii="宋体" w:hAnsi="宋体" w:cs="宋体" w:eastAsia="宋体" w:hint="default"/>
          <w:b/>
          <w:bCs/>
          <w:w w:val="99"/>
        </w:rPr>
        <w:t> </w:t>
      </w:r>
      <w:r>
        <w:rPr>
          <w:spacing w:val="-2"/>
        </w:rPr>
        <w:t>经营范围主要包括：电气机械及器材制造、工业过程控制及监控系统、计算机应用服务与综合信息网络工程、电子声像</w:t>
      </w:r>
    </w:p>
    <w:p>
      <w:pPr>
        <w:pStyle w:val="BodyText"/>
        <w:spacing w:line="316" w:lineRule="auto" w:before="31"/>
        <w:ind w:left="154" w:right="1131"/>
        <w:jc w:val="both"/>
      </w:pPr>
      <w:r>
        <w:rPr>
          <w:spacing w:val="-2"/>
        </w:rPr>
        <w:t>工程、各种智能化系统和技术防范工程设计、制造、施工、安装、维修、调试、销售及技术服务；经营本企业自产产品及相</w:t>
      </w:r>
      <w:r>
        <w:rPr>
          <w:spacing w:val="-67"/>
        </w:rPr>
        <w:t> </w:t>
      </w:r>
      <w:r>
        <w:rPr>
          <w:spacing w:val="-67"/>
        </w:rPr>
      </w:r>
      <w:r>
        <w:rPr>
          <w:spacing w:val="-2"/>
        </w:rPr>
        <w:t>关技术的出口和科研所需的原辅材料、仪器仪表、机械设备、零配件及相关技术的进口（国家限定经营或禁止进出口的商品</w:t>
      </w:r>
      <w:r>
        <w:rPr>
          <w:spacing w:val="-66"/>
        </w:rPr>
        <w:t> </w:t>
      </w:r>
      <w:r>
        <w:rPr>
          <w:spacing w:val="-66"/>
        </w:rPr>
      </w:r>
      <w:r>
        <w:rPr/>
        <w:t>除外），进料加工和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w:t>
      </w:r>
    </w:p>
    <w:p>
      <w:pPr>
        <w:spacing w:line="300" w:lineRule="auto" w:before="119"/>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、公司业务性质和主要经营活动</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本公司属于输配电及控制设备制造业。本公司的主要产品包括：高、低压成套开关设备、元器件、自动化产品等，主要</w:t>
      </w:r>
    </w:p>
    <w:p>
      <w:pPr>
        <w:pStyle w:val="BodyText"/>
        <w:spacing w:line="240" w:lineRule="auto" w:before="31"/>
        <w:ind w:right="0"/>
        <w:jc w:val="both"/>
      </w:pPr>
      <w:r>
        <w:rPr/>
        <w:t>应用于发电厂、变电所及城市、农村、工矿企业、交通运输、高层建筑、公用设施等领域的变、配电时接受和分配电能等。</w:t>
      </w:r>
    </w:p>
    <w:p>
      <w:pPr>
        <w:spacing w:line="240" w:lineRule="auto" w:before="0"/>
        <w:rPr>
          <w:rFonts w:ascii="宋体" w:hAnsi="宋体" w:cs="宋体" w:eastAsia="宋体" w:hint="default"/>
          <w:sz w:val="15"/>
          <w:szCs w:val="15"/>
        </w:rPr>
      </w:pPr>
    </w:p>
    <w:p>
      <w:pPr>
        <w:spacing w:line="340" w:lineRule="auto" w:before="0"/>
        <w:ind w:left="153" w:right="6343" w:firstLine="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、财务报表的批准报出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本财务报表业经公司董事会于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73" w:lineRule="auto" w:before="146"/>
        <w:ind w:left="574" w:right="5292" w:hanging="420"/>
        <w:jc w:val="left"/>
        <w:rPr>
          <w:rFonts w:ascii="宋体" w:hAnsi="宋体" w:cs="宋体" w:eastAsia="宋体" w:hint="default"/>
          <w:sz w:val="21"/>
          <w:szCs w:val="21"/>
        </w:rPr>
      </w:pPr>
      <w:r>
        <w:rPr>
          <w:rFonts w:ascii="宋体" w:hAnsi="宋体" w:cs="宋体" w:eastAsia="宋体" w:hint="default"/>
          <w:b/>
          <w:bCs/>
          <w:sz w:val="21"/>
          <w:szCs w:val="21"/>
        </w:rPr>
        <w:t>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本期纳入合并财务报表范围的主体共</w:t>
      </w:r>
      <w:r>
        <w:rPr>
          <w:rFonts w:ascii="Times New Roman" w:hAnsi="Times New Roman" w:cs="Times New Roman" w:eastAsia="Times New Roman" w:hint="default"/>
          <w:sz w:val="21"/>
          <w:szCs w:val="21"/>
        </w:rPr>
        <w:t>11</w:t>
      </w:r>
      <w:r>
        <w:rPr>
          <w:rFonts w:ascii="宋体" w:hAnsi="宋体" w:cs="宋体" w:eastAsia="宋体" w:hint="default"/>
          <w:sz w:val="21"/>
          <w:szCs w:val="21"/>
        </w:rPr>
        <w:t>户，具体包括：</w:t>
      </w:r>
    </w:p>
    <w:tbl>
      <w:tblPr>
        <w:tblW w:w="0" w:type="auto"/>
        <w:jc w:val="left"/>
        <w:tblInd w:w="146" w:type="dxa"/>
        <w:tblLayout w:type="fixed"/>
        <w:tblCellMar>
          <w:top w:w="0" w:type="dxa"/>
          <w:left w:w="0" w:type="dxa"/>
          <w:bottom w:w="0" w:type="dxa"/>
          <w:right w:w="0" w:type="dxa"/>
        </w:tblCellMar>
        <w:tblLook w:val="01E0"/>
      </w:tblPr>
      <w:tblGrid>
        <w:gridCol w:w="3510"/>
        <w:gridCol w:w="1260"/>
        <w:gridCol w:w="725"/>
        <w:gridCol w:w="1517"/>
        <w:gridCol w:w="1517"/>
      </w:tblGrid>
      <w:tr>
        <w:trPr>
          <w:trHeight w:val="355" w:hRule="exact"/>
        </w:trPr>
        <w:tc>
          <w:tcPr>
            <w:tcW w:w="3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子公司名称</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194" w:right="0"/>
              <w:jc w:val="left"/>
              <w:rPr>
                <w:rFonts w:ascii="宋体" w:hAnsi="宋体" w:cs="宋体" w:eastAsia="宋体" w:hint="default"/>
                <w:sz w:val="16"/>
                <w:szCs w:val="16"/>
              </w:rPr>
            </w:pPr>
            <w:r>
              <w:rPr>
                <w:rFonts w:ascii="宋体" w:hAnsi="宋体" w:cs="宋体" w:eastAsia="宋体" w:hint="default"/>
                <w:sz w:val="16"/>
                <w:szCs w:val="16"/>
              </w:rPr>
              <w:t>级次</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持股比例（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5"/>
              <w:jc w:val="center"/>
              <w:rPr>
                <w:rFonts w:ascii="宋体" w:hAnsi="宋体" w:cs="宋体" w:eastAsia="宋体" w:hint="default"/>
                <w:sz w:val="16"/>
                <w:szCs w:val="16"/>
              </w:rPr>
            </w:pPr>
            <w:r>
              <w:rPr>
                <w:rFonts w:ascii="宋体" w:hAnsi="宋体" w:cs="宋体" w:eastAsia="宋体" w:hint="default"/>
                <w:sz w:val="16"/>
                <w:szCs w:val="16"/>
              </w:rPr>
              <w:t>表决权比例（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安徽森源电器有限公司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hAnsi="宋体" w:cs="宋体" w:eastAsia="宋体" w:hint="default"/>
                <w:sz w:val="16"/>
                <w:szCs w:val="16"/>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6"/>
                <w:szCs w:val="16"/>
              </w:rPr>
            </w:pPr>
            <w:r>
              <w:rPr>
                <w:rFonts w:ascii="Times New Roman"/>
                <w:sz w:val="16"/>
              </w:rPr>
              <w:t>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6"/>
                <w:szCs w:val="16"/>
              </w:rPr>
            </w:pPr>
            <w:r>
              <w:rPr>
                <w:rFonts w:ascii="Times New Roman"/>
                <w:sz w:val="16"/>
              </w:rPr>
              <w:t>100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斯高思（安徽）电器有限公司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hAnsi="宋体" w:cs="宋体" w:eastAsia="宋体" w:hint="default"/>
                <w:sz w:val="16"/>
                <w:szCs w:val="16"/>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75</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6"/>
                <w:szCs w:val="16"/>
              </w:rPr>
            </w:pPr>
            <w:r>
              <w:rPr>
                <w:rFonts w:ascii="Times New Roman"/>
                <w:sz w:val="16"/>
              </w:rPr>
              <w:t>75</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安徽鑫龙电器元件销售有限公司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hAnsi="宋体" w:cs="宋体" w:eastAsia="宋体" w:hint="default"/>
                <w:sz w:val="16"/>
                <w:szCs w:val="16"/>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6"/>
                <w:szCs w:val="16"/>
              </w:rPr>
            </w:pPr>
            <w:r>
              <w:rPr>
                <w:rFonts w:ascii="Times New Roman"/>
                <w:sz w:val="16"/>
              </w:rPr>
              <w:t>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6"/>
                <w:szCs w:val="16"/>
              </w:rPr>
            </w:pPr>
            <w:r>
              <w:rPr>
                <w:rFonts w:ascii="Times New Roman"/>
                <w:sz w:val="16"/>
              </w:rPr>
              <w:t>100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安徽鑫龙自动化有限公司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hAnsi="宋体" w:cs="宋体" w:eastAsia="宋体" w:hint="default"/>
                <w:sz w:val="16"/>
                <w:szCs w:val="16"/>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6"/>
                <w:szCs w:val="16"/>
              </w:rPr>
            </w:pPr>
            <w:r>
              <w:rPr>
                <w:rFonts w:ascii="Times New Roman"/>
                <w:sz w:val="16"/>
              </w:rPr>
              <w:t>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6"/>
                <w:szCs w:val="16"/>
              </w:rPr>
            </w:pPr>
            <w:r>
              <w:rPr>
                <w:rFonts w:ascii="Times New Roman"/>
                <w:sz w:val="16"/>
              </w:rPr>
              <w:t>100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安徽鑫龙低压电器有限公司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hAnsi="宋体" w:cs="宋体" w:eastAsia="宋体" w:hint="default"/>
                <w:sz w:val="16"/>
                <w:szCs w:val="16"/>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6"/>
                <w:szCs w:val="16"/>
              </w:rPr>
            </w:pPr>
            <w:r>
              <w:rPr>
                <w:rFonts w:ascii="Times New Roman"/>
                <w:sz w:val="16"/>
              </w:rPr>
              <w:t>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6"/>
                <w:szCs w:val="16"/>
              </w:rPr>
            </w:pPr>
            <w:r>
              <w:rPr>
                <w:rFonts w:ascii="Times New Roman"/>
                <w:sz w:val="16"/>
              </w:rPr>
              <w:t>100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安徽鑫龙变压器有限公司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hAnsi="宋体" w:cs="宋体" w:eastAsia="宋体" w:hint="default"/>
                <w:sz w:val="16"/>
                <w:szCs w:val="16"/>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6"/>
                <w:szCs w:val="16"/>
              </w:rPr>
            </w:pPr>
            <w:r>
              <w:rPr>
                <w:rFonts w:ascii="Times New Roman"/>
                <w:sz w:val="16"/>
              </w:rPr>
              <w:t>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6"/>
                <w:szCs w:val="16"/>
              </w:rPr>
            </w:pPr>
            <w:r>
              <w:rPr>
                <w:rFonts w:ascii="Times New Roman"/>
                <w:sz w:val="16"/>
              </w:rPr>
              <w:t>100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安徽鑫龙电力工程安装有限公司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hAnsi="宋体" w:cs="宋体" w:eastAsia="宋体" w:hint="default"/>
                <w:sz w:val="16"/>
                <w:szCs w:val="16"/>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6"/>
                <w:szCs w:val="16"/>
              </w:rPr>
            </w:pPr>
            <w:r>
              <w:rPr>
                <w:rFonts w:ascii="Times New Roman"/>
                <w:sz w:val="16"/>
              </w:rPr>
              <w:t>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6"/>
                <w:szCs w:val="16"/>
              </w:rPr>
            </w:pPr>
            <w:r>
              <w:rPr>
                <w:rFonts w:ascii="Times New Roman"/>
                <w:sz w:val="16"/>
              </w:rPr>
              <w:t>100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安徽鑫东投资管理有限公司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hAnsi="宋体" w:cs="宋体" w:eastAsia="宋体" w:hint="default"/>
                <w:sz w:val="16"/>
                <w:szCs w:val="16"/>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90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6"/>
                <w:szCs w:val="16"/>
              </w:rPr>
            </w:pPr>
            <w:r>
              <w:rPr>
                <w:rFonts w:ascii="Times New Roman"/>
                <w:sz w:val="16"/>
              </w:rPr>
              <w:t>90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安徽佑赛科技有限公司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hAnsi="宋体" w:cs="宋体" w:eastAsia="宋体" w:hint="default"/>
                <w:sz w:val="16"/>
                <w:szCs w:val="16"/>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68</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6"/>
                <w:szCs w:val="16"/>
              </w:rPr>
            </w:pPr>
            <w:r>
              <w:rPr>
                <w:rFonts w:ascii="Times New Roman"/>
                <w:sz w:val="16"/>
              </w:rPr>
              <w:t>68</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亳州鑫龙电气有限公司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hAnsi="宋体" w:cs="宋体" w:eastAsia="宋体" w:hint="default"/>
                <w:sz w:val="16"/>
                <w:szCs w:val="16"/>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6"/>
                <w:szCs w:val="16"/>
              </w:rPr>
            </w:pPr>
            <w:r>
              <w:rPr>
                <w:rFonts w:ascii="Times New Roman"/>
                <w:sz w:val="16"/>
              </w:rPr>
              <w:t>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6"/>
                <w:szCs w:val="16"/>
              </w:rPr>
            </w:pPr>
            <w:r>
              <w:rPr>
                <w:rFonts w:ascii="Times New Roman"/>
                <w:sz w:val="16"/>
              </w:rPr>
              <w:t>100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天津市泰达工程设计有限公司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hAnsi="宋体" w:cs="宋体" w:eastAsia="宋体" w:hint="default"/>
                <w:sz w:val="16"/>
                <w:szCs w:val="16"/>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6"/>
                <w:szCs w:val="16"/>
              </w:rPr>
            </w:pPr>
            <w:r>
              <w:rPr>
                <w:rFonts w:ascii="Times New Roman"/>
                <w:sz w:val="16"/>
              </w:rPr>
              <w:t>65.738</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6"/>
                <w:szCs w:val="16"/>
              </w:rPr>
            </w:pPr>
            <w:r>
              <w:rPr>
                <w:rFonts w:ascii="Times New Roman"/>
                <w:sz w:val="16"/>
              </w:rPr>
              <w:t>65.738</w:t>
            </w:r>
          </w:p>
        </w:tc>
      </w:tr>
    </w:tbl>
    <w:p>
      <w:pPr>
        <w:spacing w:line="240" w:lineRule="auto" w:before="10"/>
        <w:rPr>
          <w:rFonts w:ascii="宋体" w:hAnsi="宋体" w:cs="宋体" w:eastAsia="宋体" w:hint="default"/>
          <w:sz w:val="14"/>
          <w:szCs w:val="14"/>
        </w:rPr>
      </w:pPr>
    </w:p>
    <w:p>
      <w:pPr>
        <w:pStyle w:val="Heading6"/>
        <w:spacing w:line="256" w:lineRule="auto" w:before="35"/>
        <w:ind w:left="573" w:right="1303"/>
        <w:jc w:val="left"/>
      </w:pPr>
      <w:r>
        <w:rPr/>
        <w:t>本期纳入合并财务报表范围的主体较上期相比，增加</w:t>
      </w:r>
      <w:r>
        <w:rPr>
          <w:rFonts w:ascii="Times New Roman" w:hAnsi="Times New Roman" w:cs="Times New Roman" w:eastAsia="Times New Roman" w:hint="default"/>
        </w:rPr>
        <w:t>1</w:t>
      </w:r>
      <w:r>
        <w:rPr/>
        <w:t>户，减少</w:t>
      </w:r>
      <w:r>
        <w:rPr>
          <w:rFonts w:ascii="Times New Roman" w:hAnsi="Times New Roman" w:cs="Times New Roman" w:eastAsia="Times New Roman" w:hint="default"/>
        </w:rPr>
        <w:t>0</w:t>
      </w:r>
      <w:r>
        <w:rPr/>
        <w:t>户，其中： 本期新纳入合并范围的子公司、特殊目的主体、通过受托经营或承租等方式形成控制权的经营实体</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名称</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8"/>
              <w:jc w:val="center"/>
              <w:rPr>
                <w:rFonts w:ascii="宋体" w:hAnsi="宋体" w:cs="宋体" w:eastAsia="宋体" w:hint="default"/>
                <w:sz w:val="16"/>
                <w:szCs w:val="16"/>
              </w:rPr>
            </w:pPr>
            <w:r>
              <w:rPr>
                <w:rFonts w:ascii="宋体" w:hAnsi="宋体" w:cs="宋体" w:eastAsia="宋体" w:hint="default"/>
                <w:sz w:val="16"/>
                <w:szCs w:val="16"/>
              </w:rPr>
              <w:t>变更原因</w:t>
            </w:r>
          </w:p>
        </w:tc>
      </w:tr>
    </w:tbl>
    <w:p>
      <w:pPr>
        <w:spacing w:after="0" w:line="240" w:lineRule="auto"/>
        <w:jc w:val="center"/>
        <w:rPr>
          <w:rFonts w:ascii="宋体" w:hAnsi="宋体" w:cs="宋体" w:eastAsia="宋体" w:hint="default"/>
          <w:sz w:val="16"/>
          <w:szCs w:val="16"/>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35" w:hRule="exact"/>
        </w:trPr>
        <w:tc>
          <w:tcPr>
            <w:tcW w:w="3370" w:type="dxa"/>
            <w:tcBorders>
              <w:top w:val="nil" w:sz="6" w:space="0" w:color="auto"/>
              <w:left w:val="nil" w:sz="6" w:space="0" w:color="auto"/>
              <w:bottom w:val="single" w:sz="6" w:space="0" w:color="000000"/>
              <w:right w:val="nil" w:sz="6" w:space="0" w:color="auto"/>
            </w:tcBorders>
          </w:tcPr>
          <w:p>
            <w:pPr/>
          </w:p>
        </w:tc>
        <w:tc>
          <w:tcPr>
            <w:tcW w:w="5160" w:type="dxa"/>
            <w:tcBorders>
              <w:top w:val="nil" w:sz="6" w:space="0" w:color="auto"/>
              <w:left w:val="nil" w:sz="6" w:space="0" w:color="auto"/>
              <w:bottom w:val="single" w:sz="6" w:space="0" w:color="000000"/>
              <w:right w:val="nil" w:sz="6" w:space="0" w:color="auto"/>
            </w:tcBorders>
          </w:tcPr>
          <w:p>
            <w:pPr/>
          </w:p>
        </w:tc>
      </w:tr>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天津市泰达工程设计有限公司</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6"/>
              <w:jc w:val="center"/>
              <w:rPr>
                <w:rFonts w:ascii="宋体" w:hAnsi="宋体" w:cs="宋体" w:eastAsia="宋体" w:hint="default"/>
                <w:sz w:val="16"/>
                <w:szCs w:val="16"/>
              </w:rPr>
            </w:pPr>
            <w:r>
              <w:rPr>
                <w:rFonts w:ascii="宋体" w:hAnsi="宋体" w:cs="宋体" w:eastAsia="宋体" w:hint="default"/>
                <w:sz w:val="16"/>
                <w:szCs w:val="16"/>
              </w:rPr>
              <w:t>非同一控制下合并</w:t>
            </w:r>
          </w:p>
        </w:tc>
      </w:tr>
    </w:tbl>
    <w:p>
      <w:pPr>
        <w:spacing w:line="240" w:lineRule="auto" w:before="1"/>
        <w:rPr>
          <w:rFonts w:ascii="宋体" w:hAnsi="宋体" w:cs="宋体" w:eastAsia="宋体" w:hint="default"/>
          <w:sz w:val="8"/>
          <w:szCs w:val="8"/>
        </w:rPr>
      </w:pPr>
    </w:p>
    <w:p>
      <w:pPr>
        <w:pStyle w:val="Heading6"/>
        <w:spacing w:line="240" w:lineRule="auto" w:before="35"/>
        <w:ind w:left="574" w:right="0"/>
        <w:jc w:val="left"/>
      </w:pPr>
      <w:r>
        <w:rPr/>
        <w:pict>
          <v:group style="position:absolute;margin-left:55.200001pt;margin-top:-40.526318pt;width:485pt;height:.1pt;mso-position-horizontal-relative:page;mso-position-vertical-relative:paragraph;z-index:-852232" coordorigin="1104,-811" coordsize="9700,2">
            <v:shape style="position:absolute;left:1104;top:-811;width:9700;height:2" coordorigin="1104,-811" coordsize="9700,0" path="m1104,-811l10804,-811e" filled="false" stroked="true" strokeweight=".72pt" strokecolor="#000000">
              <v:path arrowok="t"/>
            </v:shape>
            <w10:wrap type="none"/>
          </v:group>
        </w:pict>
      </w:r>
      <w:r>
        <w:rPr/>
        <w:t>合并范围变更主体的具体信息详见</w:t>
      </w:r>
      <w:r>
        <w:rPr>
          <w:rFonts w:ascii="Times New Roman" w:hAnsi="Times New Roman" w:cs="Times New Roman" w:eastAsia="Times New Roman" w:hint="default"/>
        </w:rPr>
        <w:t>“</w:t>
      </w:r>
      <w:r>
        <w:rPr/>
        <w:t>第十一节、八、合并范围的变更</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2"/>
          <w:szCs w:val="22"/>
        </w:rPr>
      </w:pPr>
    </w:p>
    <w:p>
      <w:pPr>
        <w:pStyle w:val="Heading3"/>
        <w:spacing w:line="240" w:lineRule="auto"/>
        <w:ind w:left="154" w:right="0"/>
        <w:jc w:val="left"/>
        <w:rPr>
          <w:b w:val="0"/>
          <w:bCs w:val="0"/>
        </w:rPr>
      </w:pPr>
      <w:bookmarkStart w:name="四、财务报表的编制基础" w:id="152"/>
      <w:bookmarkEnd w:id="15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编制基础" w:id="153"/>
      <w:bookmarkEnd w:id="15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right="1024"/>
        <w:jc w:val="left"/>
      </w:pPr>
      <w:r>
        <w:rPr>
          <w:spacing w:val="-3"/>
        </w:rPr>
        <w:t>本公司以持续经营为基础，根据实际发生的交易和事项，按照财政部颁布的《企业会计准则</w:t>
      </w:r>
      <w:r>
        <w:rPr>
          <w:rFonts w:ascii="Times New Roman" w:hAnsi="Times New Roman" w:cs="Times New Roman" w:eastAsia="Times New Roman" w:hint="default"/>
          <w:spacing w:val="-3"/>
        </w:rPr>
        <w:t>——</w:t>
      </w:r>
      <w:r>
        <w:rPr>
          <w:spacing w:val="-3"/>
        </w:rPr>
        <w:t>基本准则》</w:t>
      </w:r>
      <w:r>
        <w:rPr>
          <w:spacing w:val="-89"/>
        </w:rPr>
        <w:t> </w:t>
      </w:r>
      <w:r>
        <w:rPr/>
        <w:t>和具体企业会计准则、企业会计准则应用指南、企业会计准则解释及其他相关规定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 则</w:t>
      </w:r>
      <w:r>
        <w:rPr>
          <w:rFonts w:ascii="Times New Roman" w:hAnsi="Times New Roman" w:cs="Times New Roman" w:eastAsia="Times New Roman" w:hint="default"/>
        </w:rPr>
        <w:t>”)</w:t>
      </w:r>
      <w:r>
        <w:rPr/>
        <w:t>进行确认和计量，在此基础上，结合中国证券监督管理委员会《公开发行证券的公司信息披露编报规 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的规定，编制财务报表。</w:t>
      </w:r>
    </w:p>
    <w:p>
      <w:pPr>
        <w:spacing w:line="240" w:lineRule="auto" w:before="5"/>
        <w:rPr>
          <w:rFonts w:ascii="宋体" w:hAnsi="宋体" w:cs="宋体" w:eastAsia="宋体" w:hint="default"/>
          <w:sz w:val="23"/>
          <w:szCs w:val="23"/>
        </w:rPr>
      </w:pPr>
    </w:p>
    <w:p>
      <w:pPr>
        <w:pStyle w:val="Heading5"/>
        <w:spacing w:line="240" w:lineRule="auto"/>
        <w:ind w:right="0"/>
        <w:jc w:val="left"/>
        <w:rPr>
          <w:b w:val="0"/>
          <w:bCs w:val="0"/>
        </w:rPr>
      </w:pPr>
      <w:bookmarkStart w:name="2、持续经营" w:id="154"/>
      <w:bookmarkEnd w:id="15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73" w:right="0"/>
        <w:jc w:val="left"/>
      </w:pPr>
      <w:r>
        <w:rPr/>
        <w:t>本公司自报告期末起</w:t>
      </w:r>
      <w:r>
        <w:rPr>
          <w:rFonts w:ascii="Times New Roman" w:hAnsi="Times New Roman" w:cs="Times New Roman" w:eastAsia="Times New Roman" w:hint="default"/>
        </w:rPr>
        <w:t>12</w:t>
      </w:r>
      <w:r>
        <w:rPr/>
        <w:t>个月不存在对本公司持续经营能力产生重大疑虑的事项或情况。</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五、重要会计政策及会计估计" w:id="155"/>
      <w:bookmarkEnd w:id="15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098"/>
        <w:jc w:val="left"/>
      </w:pPr>
      <w:r>
        <w:rPr/>
        <w:t>具体会计政策和会计估计提示： 无</w:t>
      </w:r>
    </w:p>
    <w:p>
      <w:pPr>
        <w:spacing w:line="612" w:lineRule="exact" w:before="19"/>
        <w:ind w:left="574" w:right="0" w:hanging="420"/>
        <w:jc w:val="left"/>
        <w:rPr>
          <w:rFonts w:ascii="宋体" w:hAnsi="宋体" w:cs="宋体" w:eastAsia="宋体" w:hint="default"/>
          <w:sz w:val="21"/>
          <w:szCs w:val="21"/>
        </w:rPr>
      </w:pPr>
      <w:bookmarkStart w:name="1、遵循企业会计准则的声明" w:id="156"/>
      <w:bookmarkEnd w:id="15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本公司所编制的财务报表符合企业会计准则的要求，真实、完整地反映了报告期公司的财务状况、经</w:t>
      </w:r>
    </w:p>
    <w:p>
      <w:pPr>
        <w:pStyle w:val="Heading6"/>
        <w:spacing w:line="219" w:lineRule="exact" w:before="0"/>
        <w:ind w:left="154" w:right="0"/>
        <w:jc w:val="left"/>
      </w:pPr>
      <w:r>
        <w:rPr/>
        <w:t>营成果、现金流量等有关信息。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left="154" w:right="0"/>
        <w:jc w:val="left"/>
        <w:rPr>
          <w:b w:val="0"/>
          <w:bCs w:val="0"/>
        </w:rPr>
      </w:pPr>
      <w:bookmarkStart w:name="2、会计期间" w:id="157"/>
      <w:bookmarkEnd w:id="15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7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left="154" w:right="0"/>
        <w:jc w:val="left"/>
        <w:rPr>
          <w:b w:val="0"/>
          <w:bCs w:val="0"/>
        </w:rPr>
      </w:pPr>
      <w:bookmarkStart w:name="3、记账本位币" w:id="158"/>
      <w:bookmarkEnd w:id="158"/>
      <w:r>
        <w:rPr>
          <w:b w:val="0"/>
          <w:bCs w:val="0"/>
        </w:rPr>
      </w:r>
      <w:r>
        <w:rPr>
          <w:rFonts w:ascii="Times New Roman" w:hAnsi="Times New Roman" w:cs="Times New Roman" w:eastAsia="Times New Roman" w:hint="default"/>
        </w:rPr>
        <w:t>3</w:t>
      </w:r>
      <w:r>
        <w:rPr/>
        <w:t>、记账本位币</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74" w:right="0"/>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left="154" w:right="0"/>
        <w:jc w:val="left"/>
        <w:rPr>
          <w:b w:val="0"/>
          <w:bCs w:val="0"/>
        </w:rPr>
      </w:pPr>
      <w:bookmarkStart w:name="4、同一控制下和非同一控制下企业合并的会计处理方法" w:id="159"/>
      <w:bookmarkEnd w:id="159"/>
      <w:r>
        <w:rPr>
          <w:b w:val="0"/>
          <w:bCs w:val="0"/>
        </w:rPr>
      </w: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0"/>
        <w:jc w:val="left"/>
        <w:rPr>
          <w:b w:val="0"/>
          <w:bCs w:val="0"/>
        </w:rPr>
      </w:pPr>
      <w:r>
        <w:rPr>
          <w:rFonts w:ascii="Times New Roman" w:hAnsi="Times New Roman" w:cs="Times New Roman" w:eastAsia="Times New Roman" w:hint="default"/>
          <w:w w:val="95"/>
        </w:rPr>
        <w:t>1</w:t>
      </w:r>
      <w:r>
        <w:rPr>
          <w:w w:val="95"/>
        </w:rPr>
        <w:t>、分步实现企业合并过程中的各项交易的条款、条件以及经济影响符合以下一种或多种情况，将多次交</w:t>
      </w:r>
      <w:r>
        <w:rPr>
          <w:spacing w:val="69"/>
          <w:w w:val="95"/>
        </w:rPr>
        <w:t> </w:t>
      </w:r>
      <w:r>
        <w:rPr>
          <w:spacing w:val="69"/>
          <w:w w:val="95"/>
        </w:rPr>
      </w:r>
      <w:r>
        <w:rPr/>
        <w:t>易事项作为一揽子交易进行会计处理：</w:t>
      </w:r>
      <w:r>
        <w:rPr>
          <w:b w:val="0"/>
          <w:bCs w:val="0"/>
        </w:rPr>
      </w:r>
    </w:p>
    <w:p>
      <w:pPr>
        <w:pStyle w:val="Heading6"/>
        <w:spacing w:line="240" w:lineRule="auto" w:before="22"/>
        <w:ind w:right="0"/>
        <w:jc w:val="left"/>
      </w:pPr>
      <w:r>
        <w:rPr>
          <w:rFonts w:ascii="Times New Roman" w:hAnsi="Times New Roman" w:cs="Times New Roman" w:eastAsia="Times New Roman" w:hint="default"/>
        </w:rPr>
        <w:t>1</w:t>
      </w:r>
      <w:r>
        <w:rPr/>
        <w:t>）这些交易是同时或者在考虑了彼此影响的情况下订立的；</w:t>
      </w:r>
    </w:p>
    <w:p>
      <w:pPr>
        <w:pStyle w:val="Heading6"/>
        <w:spacing w:line="240" w:lineRule="auto" w:before="21"/>
        <w:ind w:left="154" w:right="0"/>
        <w:jc w:val="left"/>
      </w:pPr>
      <w:r>
        <w:rPr>
          <w:rFonts w:ascii="Times New Roman" w:hAnsi="Times New Roman" w:cs="Times New Roman" w:eastAsia="Times New Roman" w:hint="default"/>
        </w:rPr>
        <w:t>2</w:t>
      </w:r>
      <w:r>
        <w:rPr/>
        <w:t>）这些交易整体才能达成一项完整的商业结果；</w:t>
      </w:r>
    </w:p>
    <w:p>
      <w:pPr>
        <w:pStyle w:val="Heading6"/>
        <w:spacing w:line="240" w:lineRule="auto" w:before="21"/>
        <w:ind w:left="154" w:right="0"/>
        <w:jc w:val="left"/>
      </w:pPr>
      <w:r>
        <w:rPr>
          <w:rFonts w:ascii="Times New Roman" w:hAnsi="Times New Roman" w:cs="Times New Roman" w:eastAsia="Times New Roman" w:hint="default"/>
        </w:rPr>
        <w:t>3</w:t>
      </w:r>
      <w:r>
        <w:rPr/>
        <w:t>）一项交易的发生取决于其他至少一项交易的发生；</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6"/>
        <w:spacing w:line="240" w:lineRule="auto" w:before="35"/>
        <w:ind w:right="0"/>
        <w:jc w:val="left"/>
      </w:pPr>
      <w:r>
        <w:rPr>
          <w:rFonts w:ascii="Times New Roman" w:hAnsi="Times New Roman" w:cs="Times New Roman" w:eastAsia="Times New Roman" w:hint="default"/>
        </w:rPr>
        <w:t>4</w:t>
      </w:r>
      <w:r>
        <w:rPr/>
        <w:t>）一项交易单独看是不经济的，但是和其他交易一并考虑时是经济的。</w:t>
      </w:r>
    </w:p>
    <w:p>
      <w:pPr>
        <w:pStyle w:val="Heading5"/>
        <w:spacing w:line="240" w:lineRule="auto" w:before="21"/>
        <w:ind w:right="0"/>
        <w:jc w:val="left"/>
        <w:rPr>
          <w:b w:val="0"/>
          <w:bCs w:val="0"/>
        </w:rPr>
      </w:pPr>
      <w:r>
        <w:rPr>
          <w:rFonts w:ascii="Times New Roman" w:hAnsi="Times New Roman" w:cs="Times New Roman" w:eastAsia="Times New Roman" w:hint="default"/>
        </w:rPr>
        <w:t>2</w:t>
      </w:r>
      <w:r>
        <w:rPr/>
        <w:t>、同一控制下的企业合并</w:t>
      </w:r>
      <w:r>
        <w:rPr>
          <w:b w:val="0"/>
          <w:bCs w:val="0"/>
        </w:rPr>
      </w:r>
    </w:p>
    <w:p>
      <w:pPr>
        <w:pStyle w:val="Heading6"/>
        <w:spacing w:line="256" w:lineRule="auto" w:before="21"/>
        <w:ind w:left="573" w:right="0"/>
        <w:jc w:val="left"/>
      </w:pPr>
      <w:r>
        <w:rPr>
          <w:rFonts w:ascii="Times New Roman" w:hAnsi="Times New Roman" w:cs="Times New Roman" w:eastAsia="Times New Roman" w:hint="default"/>
        </w:rPr>
        <w:t>1</w:t>
      </w:r>
      <w:r>
        <w:rPr/>
        <w:t>）个别财务报表 </w:t>
      </w:r>
      <w:r>
        <w:rPr>
          <w:spacing w:val="-1"/>
        </w:rPr>
        <w:t>公司以支付现金、转让非现金资产、承担债务方式或以发行权益性证券作为合并对价的，在合并日按</w:t>
      </w:r>
    </w:p>
    <w:p>
      <w:pPr>
        <w:pStyle w:val="Heading6"/>
        <w:spacing w:line="273" w:lineRule="auto" w:before="23"/>
        <w:ind w:right="0"/>
        <w:jc w:val="left"/>
      </w:pPr>
      <w:r>
        <w:rPr/>
        <w:t>照被合并方所有者权益在最终控制方合并财务报表中的账面价值的份额作为长期股权投资的初始投资成 </w:t>
      </w:r>
      <w:r>
        <w:rPr>
          <w:spacing w:val="-1"/>
        </w:rPr>
        <w:t>本。长期股权投资初始投资成本与支付合并对价之间的差额，调整资本公积；资本公积不足冲减的，调整</w:t>
      </w:r>
      <w:r>
        <w:rPr>
          <w:spacing w:val="-86"/>
        </w:rPr>
        <w:t> </w:t>
      </w:r>
      <w:r>
        <w:rPr>
          <w:spacing w:val="-86"/>
        </w:rPr>
      </w:r>
      <w:r>
        <w:rPr>
          <w:spacing w:val="-1"/>
        </w:rPr>
        <w:t>留存收益。如果存在或有对价并需要确认预计负债或资产，该预计负债或资产金额与后续或有对价结算金</w:t>
      </w:r>
      <w:r>
        <w:rPr>
          <w:spacing w:val="-81"/>
        </w:rPr>
        <w:t> </w:t>
      </w:r>
      <w:r>
        <w:rPr>
          <w:spacing w:val="-81"/>
        </w:rPr>
      </w:r>
      <w:r>
        <w:rPr/>
        <w:t>额的差额，调整资本公积（资本溢价或股本溢价），资本公积不足的，调整留存收益。</w:t>
      </w:r>
    </w:p>
    <w:p>
      <w:pPr>
        <w:pStyle w:val="Heading6"/>
        <w:spacing w:line="273" w:lineRule="auto"/>
        <w:ind w:right="1110" w:firstLine="420"/>
        <w:jc w:val="both"/>
      </w:pPr>
      <w:r>
        <w:rPr>
          <w:spacing w:val="-1"/>
        </w:rPr>
        <w:t>对于通过多次交易最终实现企业合并的，属于一揽子交易的，将各项交易作为一项取得控制权的交易</w:t>
      </w:r>
      <w:r>
        <w:rPr/>
        <w:t> </w:t>
      </w:r>
      <w:r>
        <w:rPr>
          <w:spacing w:val="-1"/>
        </w:rPr>
        <w:t>进行会计处理；不属于一揽子交易的，在取得控制权日，长期股权投资初始投资成本，与达到合并前的长</w:t>
      </w:r>
      <w:r>
        <w:rPr>
          <w:spacing w:val="-86"/>
        </w:rPr>
        <w:t> </w:t>
      </w:r>
      <w:r>
        <w:rPr>
          <w:spacing w:val="-86"/>
        </w:rPr>
      </w:r>
      <w:r>
        <w:rPr>
          <w:spacing w:val="-1"/>
        </w:rPr>
        <w:t>期股权投资账面价值加上合并日进一步取得股份新支付对价的账面价值之和的差额，调整资本公积；资本</w:t>
      </w:r>
      <w:r>
        <w:rPr>
          <w:spacing w:val="-81"/>
        </w:rPr>
        <w:t> </w:t>
      </w:r>
      <w:r>
        <w:rPr>
          <w:spacing w:val="-81"/>
        </w:rPr>
      </w:r>
      <w:r>
        <w:rPr>
          <w:spacing w:val="-1"/>
        </w:rPr>
        <w:t>公积不足冲减的，调整留存收益。对于合并日之前持有的股权投资，因采用权益法核算或金融工具确认和</w:t>
      </w:r>
      <w:r>
        <w:rPr>
          <w:spacing w:val="-83"/>
        </w:rPr>
        <w:t> </w:t>
      </w:r>
      <w:r>
        <w:rPr>
          <w:spacing w:val="-83"/>
        </w:rPr>
      </w:r>
      <w:r>
        <w:rPr>
          <w:spacing w:val="-1"/>
        </w:rPr>
        <w:t>计量准则核算而确认的其他综合收益，暂不进行会计处理，直至处置该项投资时采用与被投资单位直接处</w:t>
      </w:r>
      <w:r>
        <w:rPr>
          <w:spacing w:val="-81"/>
        </w:rPr>
        <w:t> </w:t>
      </w:r>
      <w:r>
        <w:rPr>
          <w:spacing w:val="-81"/>
        </w:rPr>
      </w:r>
      <w:r>
        <w:rPr/>
        <w:t>置相关资产或负债相同的基础进行会计处理；因采用权益法核算而确认的被投资单位净资产中除净损益、 </w:t>
      </w:r>
      <w:r>
        <w:rPr>
          <w:spacing w:val="-1"/>
        </w:rPr>
        <w:t>其他综合收益和利润分配以外的所有者权益其他变动，暂不进行会计处理，直至处置该项投资时转入当期</w:t>
      </w:r>
      <w:r>
        <w:rPr>
          <w:spacing w:val="-81"/>
        </w:rPr>
        <w:t> </w:t>
      </w:r>
      <w:r>
        <w:rPr>
          <w:spacing w:val="-81"/>
        </w:rPr>
      </w:r>
      <w:r>
        <w:rPr/>
        <w:t>损益。</w:t>
      </w:r>
    </w:p>
    <w:p>
      <w:pPr>
        <w:pStyle w:val="Heading6"/>
        <w:spacing w:line="273" w:lineRule="auto"/>
        <w:ind w:right="1131" w:firstLine="420"/>
        <w:jc w:val="both"/>
      </w:pPr>
      <w:r>
        <w:rPr>
          <w:spacing w:val="-1"/>
        </w:rPr>
        <w:t>合并发生的各项直接相关费用，包括为进行合并而支付的审计费用、评估费用、法律服务费用等，于</w:t>
      </w:r>
      <w:r>
        <w:rPr/>
        <w:t> </w:t>
      </w:r>
      <w:r>
        <w:rPr>
          <w:spacing w:val="-1"/>
        </w:rPr>
        <w:t>发生时计入当期损益；与发行权益性工具作为合并对价直接相关的交易费用，冲减资本公积，资本公积不</w:t>
      </w:r>
      <w:r>
        <w:rPr>
          <w:spacing w:val="-83"/>
        </w:rPr>
        <w:t> </w:t>
      </w:r>
      <w:r>
        <w:rPr>
          <w:spacing w:val="-83"/>
        </w:rPr>
      </w:r>
      <w:r>
        <w:rPr>
          <w:spacing w:val="-1"/>
        </w:rPr>
        <w:t>足冲减的，依次冲减盈余公积和未分配利润；与发行债务性工具作为合并对价直接相关的交易费用，作为</w:t>
      </w:r>
      <w:r>
        <w:rPr>
          <w:spacing w:val="-83"/>
        </w:rPr>
        <w:t> </w:t>
      </w:r>
      <w:r>
        <w:rPr>
          <w:spacing w:val="-83"/>
        </w:rPr>
      </w:r>
      <w:r>
        <w:rPr/>
        <w:t>计入债务性工具的初始确认金额。</w:t>
      </w:r>
    </w:p>
    <w:p>
      <w:pPr>
        <w:pStyle w:val="Heading6"/>
        <w:spacing w:line="273" w:lineRule="auto"/>
        <w:ind w:right="1132" w:firstLine="420"/>
        <w:jc w:val="both"/>
      </w:pPr>
      <w:r>
        <w:rPr>
          <w:spacing w:val="-1"/>
        </w:rPr>
        <w:t>被合并方存在合并财务报表，则以合并日被合并方合并财务报表中归属于母公司的所有者权益为基础</w:t>
      </w:r>
      <w:r>
        <w:rPr/>
        <w:t> 确定长期股权投资的初始投资成本。</w:t>
      </w:r>
    </w:p>
    <w:p>
      <w:pPr>
        <w:pStyle w:val="Heading6"/>
        <w:spacing w:line="256" w:lineRule="auto" w:before="8"/>
        <w:ind w:left="573" w:right="0"/>
        <w:jc w:val="left"/>
      </w:pPr>
      <w:r>
        <w:rPr>
          <w:rFonts w:ascii="Times New Roman" w:hAnsi="Times New Roman" w:cs="Times New Roman" w:eastAsia="Times New Roman" w:hint="default"/>
        </w:rPr>
        <w:t>2</w:t>
      </w:r>
      <w:r>
        <w:rPr/>
        <w:t>）合并财务报表 </w:t>
      </w:r>
      <w:r>
        <w:rPr>
          <w:spacing w:val="-1"/>
        </w:rPr>
        <w:t>合并方在企业合并中取得的资产和负债，按照合并日在被合并方所有者权益在最终控制方合并财务报</w:t>
      </w:r>
    </w:p>
    <w:p>
      <w:pPr>
        <w:pStyle w:val="Heading6"/>
        <w:spacing w:line="273" w:lineRule="auto" w:before="22"/>
        <w:ind w:left="573" w:right="0" w:hanging="420"/>
        <w:jc w:val="left"/>
      </w:pPr>
      <w:r>
        <w:rPr/>
        <w:t>表中的账面价值计量。 </w:t>
      </w:r>
      <w:r>
        <w:rPr>
          <w:spacing w:val="-1"/>
        </w:rPr>
        <w:t>对于通过多次交易最终实现企业合并的，属于一揽子交易的，将各项交易作为一项取得控制权的交易</w:t>
      </w:r>
    </w:p>
    <w:p>
      <w:pPr>
        <w:pStyle w:val="Heading6"/>
        <w:spacing w:line="273" w:lineRule="auto"/>
        <w:ind w:right="1131"/>
        <w:jc w:val="both"/>
      </w:pPr>
      <w:r>
        <w:rPr>
          <w:spacing w:val="-1"/>
        </w:rPr>
        <w:t>进行会计处理；不属于一揽子交易的，合并方在达到合并之前持有的长期股权投资，在取得日与合并方与</w:t>
      </w:r>
      <w:r>
        <w:rPr>
          <w:spacing w:val="-83"/>
        </w:rPr>
        <w:t> </w:t>
      </w:r>
      <w:r>
        <w:rPr>
          <w:spacing w:val="-83"/>
        </w:rPr>
      </w:r>
      <w:r>
        <w:rPr>
          <w:spacing w:val="-1"/>
        </w:rPr>
        <w:t>被合并方同处于同一方最终控制之日孰晚日与合并日之间已确认有关损益、其他综合收益和其他所有者权</w:t>
      </w:r>
      <w:r>
        <w:rPr>
          <w:spacing w:val="-81"/>
        </w:rPr>
        <w:t> </w:t>
      </w:r>
      <w:r>
        <w:rPr>
          <w:spacing w:val="-81"/>
        </w:rPr>
      </w:r>
      <w:r>
        <w:rPr/>
        <w:t>益变动，分别冲减比较报表期间的期初留存收益或当期损益。</w:t>
      </w:r>
    </w:p>
    <w:p>
      <w:pPr>
        <w:pStyle w:val="Heading6"/>
        <w:spacing w:line="273" w:lineRule="auto"/>
        <w:ind w:right="1131" w:firstLine="420"/>
        <w:jc w:val="both"/>
      </w:pPr>
      <w:r>
        <w:rPr>
          <w:spacing w:val="-1"/>
        </w:rPr>
        <w:t>被合并各方采用的会计政策与本公司不一致的，本公司在合并日按照本公司会计政策进行调整，在此</w:t>
      </w:r>
      <w:r>
        <w:rPr/>
        <w:t> 基础上按照企业会计准则规定确认。</w:t>
      </w:r>
    </w:p>
    <w:p>
      <w:pPr>
        <w:spacing w:line="256" w:lineRule="auto" w:before="7"/>
        <w:ind w:left="573" w:right="130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对于非同一控制下的企业合并，合并成本为本公司在购买日为取得对被购买方的控制权而付出的资</w:t>
      </w:r>
    </w:p>
    <w:p>
      <w:pPr>
        <w:pStyle w:val="Heading6"/>
        <w:spacing w:line="273" w:lineRule="auto" w:before="22"/>
        <w:ind w:right="1131"/>
        <w:jc w:val="both"/>
      </w:pPr>
      <w:r>
        <w:rPr>
          <w:spacing w:val="-1"/>
        </w:rPr>
        <w:t>产、发生或承担的负债以及发行的权益性工具或债务性工具的公允价值。在合并合同中对可能影响合并成</w:t>
      </w:r>
      <w:r>
        <w:rPr>
          <w:spacing w:val="-81"/>
        </w:rPr>
        <w:t> </w:t>
      </w:r>
      <w:r>
        <w:rPr>
          <w:spacing w:val="-81"/>
        </w:rPr>
      </w:r>
      <w:r>
        <w:rPr>
          <w:spacing w:val="-1"/>
        </w:rPr>
        <w:t>本的未来事项作出约定的，购买日如果估计未来事项很可能发生并且对合并成本的影响金额能够可靠计量</w:t>
      </w:r>
      <w:r>
        <w:rPr>
          <w:spacing w:val="-81"/>
        </w:rPr>
        <w:t> </w:t>
      </w:r>
      <w:r>
        <w:rPr>
          <w:spacing w:val="-81"/>
        </w:rPr>
      </w:r>
      <w:r>
        <w:rPr/>
        <w:t>的，也计入合并成本。</w:t>
      </w:r>
    </w:p>
    <w:p>
      <w:pPr>
        <w:pStyle w:val="Heading6"/>
        <w:spacing w:line="273" w:lineRule="auto"/>
        <w:ind w:right="1131" w:firstLine="420"/>
        <w:jc w:val="both"/>
      </w:pPr>
      <w:r>
        <w:rPr>
          <w:spacing w:val="-1"/>
        </w:rPr>
        <w:t>本公司为进行企业合并发生的审计、法律服务、评估咨询等中介费用以及其他相关管理费用，于发生</w:t>
      </w:r>
      <w:r>
        <w:rPr/>
        <w:t> </w:t>
      </w:r>
      <w:r>
        <w:rPr>
          <w:spacing w:val="-1"/>
        </w:rPr>
        <w:t>时计入当期损益；本公司作为合并对价发行的权益性工具或债务性工具的交易费用，计入权益性工具或债</w:t>
      </w:r>
      <w:r>
        <w:rPr>
          <w:spacing w:val="-81"/>
        </w:rPr>
        <w:t> </w:t>
      </w:r>
      <w:r>
        <w:rPr>
          <w:spacing w:val="-81"/>
        </w:rPr>
      </w:r>
      <w:r>
        <w:rPr/>
        <w:t>务性工具的初始确认金额。</w:t>
      </w:r>
    </w:p>
    <w:p>
      <w:pPr>
        <w:pStyle w:val="Heading6"/>
        <w:spacing w:line="273" w:lineRule="auto"/>
        <w:ind w:right="1131" w:firstLine="420"/>
        <w:jc w:val="both"/>
      </w:pPr>
      <w:r>
        <w:rPr>
          <w:spacing w:val="-1"/>
        </w:rPr>
        <w:t>本公司对合并成本大于合并中取得的被购买方可辨认净资产公允价值份额的差额，确认为商誉。本公</w:t>
      </w:r>
      <w:r>
        <w:rPr/>
        <w:t> </w:t>
      </w:r>
      <w:r>
        <w:rPr>
          <w:spacing w:val="-1"/>
        </w:rPr>
        <w:t>司对合并成本小于合并中取得的被购买方可辨认净资产公允价值份额的，经复核后合并成本仍小于合并中</w:t>
      </w:r>
      <w:r>
        <w:rPr>
          <w:spacing w:val="-81"/>
        </w:rPr>
        <w:t> </w:t>
      </w:r>
      <w:r>
        <w:rPr>
          <w:spacing w:val="-81"/>
        </w:rPr>
      </w:r>
      <w:r>
        <w:rPr/>
        <w:t>取得的被购买方可辨认净资产公允价值份额的差额，计入当期损益。</w:t>
      </w:r>
    </w:p>
    <w:p>
      <w:pPr>
        <w:pStyle w:val="Heading6"/>
        <w:spacing w:line="273" w:lineRule="auto"/>
        <w:ind w:right="1024" w:firstLine="420"/>
        <w:jc w:val="left"/>
      </w:pPr>
      <w:r>
        <w:rPr/>
        <w:t>通过多次交换交易分步实现的非同一控制下企业合并，属于一揽子交易的，将各项交易作为一项取得 </w:t>
      </w:r>
      <w:r>
        <w:rPr>
          <w:spacing w:val="-3"/>
        </w:rPr>
        <w:t>控制权的交易进行会计处理；不属于一揽子交易的，区分个别财务报表和合并财务报表进行相关会计处理：</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56" w:lineRule="auto" w:before="35"/>
        <w:ind w:right="1198" w:firstLine="420"/>
        <w:jc w:val="left"/>
      </w:pPr>
      <w:r>
        <w:rPr/>
        <w:t>（</w:t>
      </w:r>
      <w:r>
        <w:rPr>
          <w:rFonts w:ascii="Times New Roman" w:hAnsi="Times New Roman" w:cs="Times New Roman" w:eastAsia="Times New Roman" w:hint="default"/>
        </w:rPr>
        <w:t>1</w:t>
      </w:r>
      <w:r>
        <w:rPr/>
        <w:t>）在个别财务报表中，合并日之前持有的股权投资采用权益法核算的，以购买日之前所持被购买 方的股权投资的账面价值与购买日新增投资成本之和，作为该项投资的初始投资成本；</w:t>
      </w:r>
    </w:p>
    <w:p>
      <w:pPr>
        <w:pStyle w:val="Heading6"/>
        <w:spacing w:line="273" w:lineRule="auto" w:before="22"/>
        <w:ind w:right="1131" w:firstLine="420"/>
        <w:jc w:val="both"/>
      </w:pPr>
      <w:r>
        <w:rPr>
          <w:spacing w:val="-1"/>
        </w:rPr>
        <w:t>合并日之前持有的股权投资采用金融工具确认和计量准则核算的，以该股权投资在合并日的公允价值</w:t>
      </w:r>
      <w:r>
        <w:rPr/>
        <w:t> </w:t>
      </w:r>
      <w:r>
        <w:rPr>
          <w:spacing w:val="-1"/>
        </w:rPr>
        <w:t>加上新增投资成本之和，作为合并日的初始投资成本。原持有股权的公允价值与账面价值之间的差额以及</w:t>
      </w:r>
      <w:r>
        <w:rPr>
          <w:spacing w:val="-81"/>
        </w:rPr>
        <w:t> </w:t>
      </w:r>
      <w:r>
        <w:rPr>
          <w:spacing w:val="-81"/>
        </w:rPr>
      </w:r>
      <w:r>
        <w:rPr/>
        <w:t>原计入其他综合收益的累计公允价值变动应全部转入合并日当期的投资收益。</w:t>
      </w:r>
    </w:p>
    <w:p>
      <w:pPr>
        <w:pStyle w:val="Heading6"/>
        <w:spacing w:line="264" w:lineRule="auto"/>
        <w:ind w:right="0" w:firstLine="420"/>
        <w:jc w:val="left"/>
      </w:pPr>
      <w:r>
        <w:rPr/>
        <w:t>（</w:t>
      </w:r>
      <w:r>
        <w:rPr>
          <w:rFonts w:ascii="Times New Roman" w:hAnsi="Times New Roman" w:cs="Times New Roman" w:eastAsia="Times New Roman" w:hint="default"/>
        </w:rPr>
        <w:t>2</w:t>
      </w:r>
      <w:r>
        <w:rPr/>
        <w:t>）在合并财务报表中，对于购买日之前持有的被购买方的股权，按照该股权在购买日的公允价值 </w:t>
      </w:r>
      <w:r>
        <w:rPr>
          <w:spacing w:val="-1"/>
        </w:rPr>
        <w:t>进行重新计量，公允价值与其账面价值的差额计入当期投资收益；购买日之前持有的被购买方的股权涉及</w:t>
      </w:r>
      <w:r>
        <w:rPr>
          <w:spacing w:val="-81"/>
        </w:rPr>
        <w:t> </w:t>
      </w:r>
      <w:r>
        <w:rPr>
          <w:spacing w:val="-81"/>
        </w:rPr>
      </w:r>
      <w:r>
        <w:rPr/>
        <w:t>权益法核算下的其他综合收益等的，与其相关的其他综合收益等转为购买日所属当期投资收益。</w:t>
      </w:r>
    </w:p>
    <w:p>
      <w:pPr>
        <w:spacing w:line="590" w:lineRule="atLeast" w:before="18"/>
        <w:ind w:left="573" w:right="0" w:hanging="420"/>
        <w:jc w:val="left"/>
        <w:rPr>
          <w:rFonts w:ascii="宋体" w:hAnsi="宋体" w:cs="宋体" w:eastAsia="宋体" w:hint="default"/>
          <w:sz w:val="21"/>
          <w:szCs w:val="21"/>
        </w:rPr>
      </w:pPr>
      <w:bookmarkStart w:name="5、合并财务报表的编制方法" w:id="160"/>
      <w:bookmarkEnd w:id="16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本公司合并财务报表的合并范围以控制为基础确定，所有子公司（包括母公司所控制的单独主体）均</w:t>
      </w:r>
    </w:p>
    <w:p>
      <w:pPr>
        <w:pStyle w:val="Heading6"/>
        <w:spacing w:line="273" w:lineRule="auto" w:before="37"/>
        <w:ind w:left="573" w:right="0" w:hanging="420"/>
        <w:jc w:val="left"/>
      </w:pPr>
      <w:r>
        <w:rPr/>
        <w:t>纳入合并财务报表。 </w:t>
      </w:r>
      <w:r>
        <w:rPr>
          <w:spacing w:val="-1"/>
        </w:rPr>
        <w:t>所有纳入合并财务报表合并范围的子公司所采用的会计政策、会计期间与本公司一致，如子公司采用</w:t>
      </w:r>
    </w:p>
    <w:p>
      <w:pPr>
        <w:pStyle w:val="Heading6"/>
        <w:spacing w:line="273" w:lineRule="auto"/>
        <w:ind w:right="0"/>
        <w:jc w:val="left"/>
      </w:pPr>
      <w:r>
        <w:rPr>
          <w:spacing w:val="-1"/>
        </w:rPr>
        <w:t>的会计政策、会计期间与本公司不一致的，在编制合并财务报表时，按本公司的会计政策、会计期间进行</w:t>
      </w:r>
      <w:r>
        <w:rPr>
          <w:spacing w:val="-86"/>
        </w:rPr>
        <w:t> </w:t>
      </w:r>
      <w:r>
        <w:rPr>
          <w:spacing w:val="-86"/>
        </w:rPr>
      </w:r>
      <w:r>
        <w:rPr/>
        <w:t>必要的调整。</w:t>
      </w:r>
    </w:p>
    <w:p>
      <w:pPr>
        <w:pStyle w:val="Heading6"/>
        <w:spacing w:line="273" w:lineRule="auto"/>
        <w:ind w:left="573" w:right="0"/>
        <w:jc w:val="left"/>
      </w:pPr>
      <w:r>
        <w:rPr/>
        <w:t>合并财务报表以本公司及子公司的财务报表为基础，根据其他有关资料由本公司编制。 </w:t>
      </w:r>
      <w:r>
        <w:rPr>
          <w:spacing w:val="-1"/>
        </w:rPr>
        <w:t>合并财务报表时抵销本公司与各子公司、各子公司相互之间发生的内部交易对合并资产负债表、合并</w:t>
      </w:r>
    </w:p>
    <w:p>
      <w:pPr>
        <w:pStyle w:val="Heading6"/>
        <w:spacing w:line="273" w:lineRule="auto"/>
        <w:ind w:left="573" w:right="0" w:hanging="420"/>
        <w:jc w:val="left"/>
      </w:pPr>
      <w:r>
        <w:rPr/>
        <w:t>利润表、合并现金流量表、合并股东权益变动表的影响。 </w:t>
      </w:r>
      <w:r>
        <w:rPr>
          <w:spacing w:val="-1"/>
        </w:rPr>
        <w:t>子公司少数股东分担的当期亏损超过了少数股东在该子公司期初所有者权益中所享有的份额的，其余</w:t>
      </w:r>
    </w:p>
    <w:p>
      <w:pPr>
        <w:pStyle w:val="Heading6"/>
        <w:spacing w:line="273" w:lineRule="auto"/>
        <w:ind w:left="573" w:right="0" w:hanging="420"/>
        <w:jc w:val="left"/>
      </w:pPr>
      <w:r>
        <w:rPr/>
        <w:t>额仍应当冲减少数股东权益。 </w:t>
      </w:r>
      <w:r>
        <w:rPr>
          <w:spacing w:val="-1"/>
        </w:rPr>
        <w:t>在报告期内，若因同一控制下企业合并增加子公司以及业务的，则调整合并资产负债表的期初数；将</w:t>
      </w:r>
    </w:p>
    <w:p>
      <w:pPr>
        <w:pStyle w:val="Heading6"/>
        <w:spacing w:line="273" w:lineRule="auto" w:before="8"/>
        <w:ind w:right="0"/>
        <w:jc w:val="left"/>
      </w:pPr>
      <w:r>
        <w:rPr>
          <w:spacing w:val="-1"/>
        </w:rPr>
        <w:t>子公司以及业务合并当期期初至报告期末的收入、费用、利润纳入合并利润表；将子公司以及业务合并当</w:t>
      </w:r>
      <w:r>
        <w:rPr>
          <w:spacing w:val="-83"/>
        </w:rPr>
        <w:t> </w:t>
      </w:r>
      <w:r>
        <w:rPr>
          <w:spacing w:val="-83"/>
        </w:rPr>
      </w:r>
      <w:r>
        <w:rPr/>
        <w:t>期期初至报告期末的现金流量纳入合并现金流量表。</w:t>
      </w:r>
    </w:p>
    <w:p>
      <w:pPr>
        <w:pStyle w:val="Heading6"/>
        <w:spacing w:line="273" w:lineRule="auto"/>
        <w:ind w:right="1110" w:firstLine="420"/>
        <w:jc w:val="both"/>
      </w:pPr>
      <w:r>
        <w:rPr/>
        <w:t>在报告期内，若因非同一控制下企业合并增加子公司以及业务的，则不调整合并资产负债表期初数； </w:t>
      </w:r>
      <w:r>
        <w:rPr>
          <w:spacing w:val="-1"/>
        </w:rPr>
        <w:t>将子公司以及业务自购买日至报告期末的收入、费用、利润纳入合并利润表；该子公司以及业务自购买日</w:t>
      </w:r>
      <w:r>
        <w:rPr>
          <w:spacing w:val="-83"/>
        </w:rPr>
        <w:t> </w:t>
      </w:r>
      <w:r>
        <w:rPr>
          <w:spacing w:val="-83"/>
        </w:rPr>
      </w:r>
      <w:r>
        <w:rPr/>
        <w:t>至报告期末的现金流量纳入合并现金流量表。</w:t>
      </w:r>
    </w:p>
    <w:p>
      <w:pPr>
        <w:pStyle w:val="Heading6"/>
        <w:spacing w:line="273" w:lineRule="auto"/>
        <w:ind w:right="1133" w:firstLine="420"/>
        <w:jc w:val="both"/>
      </w:pPr>
      <w:r>
        <w:rPr>
          <w:spacing w:val="-1"/>
        </w:rPr>
        <w:t>在报告期内，本公司处置子公司以及业务，则该子公司以及业务期初至处置日的收入、费用、利润纳</w:t>
      </w:r>
      <w:r>
        <w:rPr/>
        <w:t> 入合并利润表；该子公司以及业务期初至处置日的现金流量纳入合并现金流量表。</w:t>
      </w:r>
    </w:p>
    <w:p>
      <w:pPr>
        <w:pStyle w:val="Heading6"/>
        <w:spacing w:line="273" w:lineRule="auto"/>
        <w:ind w:right="1110" w:firstLine="420"/>
        <w:jc w:val="both"/>
      </w:pPr>
      <w:r>
        <w:rPr>
          <w:spacing w:val="-1"/>
        </w:rPr>
        <w:t>本公司因处置部分股权投资或其他原因丧失了对原有子公司控制权的，在合并财务报表中，对于剩余</w:t>
      </w:r>
      <w:r>
        <w:rPr/>
        <w:t> 股权，按照其在丧失控制权日的公允价值进行重新计量。处置股权取得的对价与剩余股权公允价值之和， </w:t>
      </w:r>
      <w:r>
        <w:rPr>
          <w:spacing w:val="-1"/>
        </w:rPr>
        <w:t>减去按原持股比例计算应享有原有子公司自购买日开始持续计算的净资产的份额之间的差额，计入丧失控</w:t>
      </w:r>
      <w:r>
        <w:rPr>
          <w:spacing w:val="-81"/>
        </w:rPr>
        <w:t> </w:t>
      </w:r>
      <w:r>
        <w:rPr>
          <w:spacing w:val="-81"/>
        </w:rPr>
      </w:r>
      <w:r>
        <w:rPr>
          <w:spacing w:val="-1"/>
        </w:rPr>
        <w:t>制权当期的投资收益。与原有子公司股权投资相关的其他综合收益，应当在丧失控制权时转为当期投资收</w:t>
      </w:r>
      <w:r>
        <w:rPr>
          <w:spacing w:val="-81"/>
        </w:rPr>
        <w:t> </w:t>
      </w:r>
      <w:r>
        <w:rPr>
          <w:spacing w:val="-81"/>
        </w:rPr>
      </w:r>
      <w:r>
        <w:rPr/>
        <w:t>益。</w:t>
      </w:r>
    </w:p>
    <w:p>
      <w:pPr>
        <w:spacing w:line="240" w:lineRule="auto" w:before="8"/>
        <w:rPr>
          <w:rFonts w:ascii="宋体" w:hAnsi="宋体" w:cs="宋体" w:eastAsia="宋体" w:hint="default"/>
          <w:sz w:val="23"/>
          <w:szCs w:val="23"/>
        </w:rPr>
      </w:pPr>
    </w:p>
    <w:p>
      <w:pPr>
        <w:pStyle w:val="Heading5"/>
        <w:spacing w:line="240" w:lineRule="auto"/>
        <w:ind w:left="154" w:right="0"/>
        <w:jc w:val="left"/>
        <w:rPr>
          <w:b w:val="0"/>
          <w:bCs w:val="0"/>
        </w:rPr>
      </w:pPr>
      <w:bookmarkStart w:name="6、合营安排分类及共同经营会计处理方法" w:id="161"/>
      <w:bookmarkEnd w:id="161"/>
      <w:r>
        <w:rPr>
          <w:b w:val="0"/>
          <w:bCs w:val="0"/>
        </w:rPr>
      </w:r>
      <w:r>
        <w:rPr>
          <w:rFonts w:ascii="Times New Roman" w:hAnsi="Times New Roman" w:cs="Times New Roman" w:eastAsia="Times New Roman" w:hint="default"/>
        </w:rPr>
        <w:t>6</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BodyText"/>
        <w:spacing w:line="360" w:lineRule="auto"/>
        <w:ind w:left="514" w:right="0" w:firstLine="60"/>
        <w:jc w:val="left"/>
      </w:pPr>
      <w:r>
        <w:rPr>
          <w:rFonts w:ascii="Times New Roman" w:hAnsi="Times New Roman" w:cs="Times New Roman" w:eastAsia="Times New Roman" w:hint="default"/>
          <w:sz w:val="21"/>
          <w:szCs w:val="21"/>
        </w:rPr>
        <w:t>1</w:t>
      </w:r>
      <w:r>
        <w:rPr>
          <w:sz w:val="21"/>
          <w:szCs w:val="21"/>
        </w:rPr>
        <w:t>、</w:t>
      </w:r>
      <w:r>
        <w:rPr>
          <w:rFonts w:ascii="宋体" w:hAnsi="宋体" w:cs="宋体" w:eastAsia="宋体" w:hint="default"/>
          <w:b/>
          <w:bCs/>
        </w:rPr>
        <w:t>合营安排的分类</w:t>
      </w:r>
      <w:r>
        <w:rPr>
          <w:rFonts w:ascii="宋体" w:hAnsi="宋体" w:cs="宋体" w:eastAsia="宋体" w:hint="default"/>
          <w:b/>
          <w:bCs/>
          <w:w w:val="99"/>
        </w:rPr>
        <w:t> </w:t>
      </w:r>
      <w:r>
        <w:rPr>
          <w:spacing w:val="-2"/>
        </w:rPr>
        <w:t>本公司根据合营安排的结构、法律形式以及合营安排中约定的条款、其他相关事实和情况等因素，将合营安排分为共同</w:t>
      </w:r>
    </w:p>
    <w:p>
      <w:pPr>
        <w:pStyle w:val="BodyText"/>
        <w:spacing w:line="223" w:lineRule="exact"/>
        <w:ind w:left="154" w:right="0"/>
        <w:jc w:val="left"/>
      </w:pPr>
      <w:r>
        <w:rPr/>
        <w:t>经营和合营企业。</w:t>
      </w:r>
    </w:p>
    <w:p>
      <w:pPr>
        <w:spacing w:line="240" w:lineRule="auto" w:before="6"/>
        <w:rPr>
          <w:rFonts w:ascii="宋体" w:hAnsi="宋体" w:cs="宋体" w:eastAsia="宋体" w:hint="default"/>
          <w:sz w:val="13"/>
          <w:szCs w:val="13"/>
        </w:rPr>
      </w:pPr>
    </w:p>
    <w:p>
      <w:pPr>
        <w:pStyle w:val="BodyText"/>
        <w:spacing w:line="319" w:lineRule="auto"/>
        <w:ind w:right="1131" w:firstLine="360"/>
        <w:jc w:val="both"/>
      </w:pPr>
      <w:r>
        <w:rPr>
          <w:spacing w:val="-2"/>
        </w:rPr>
        <w:t>未通过单独主体达成的合营安排，划分为共同经营；通过单独主体达成的合营安排，通常划分为合营企业；但有确凿证</w:t>
      </w:r>
      <w:r>
        <w:rPr/>
        <w:t> 据表明满足下列任一条件并且符合相关法律法规规定的合营安排划分为共同经营：</w:t>
      </w:r>
    </w:p>
    <w:p>
      <w:pPr>
        <w:pStyle w:val="BodyText"/>
        <w:spacing w:line="240" w:lineRule="auto" w:before="116"/>
        <w:ind w:left="513" w:right="0"/>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02" w:lineRule="auto" w:before="161"/>
        <w:ind w:left="154" w:right="1141" w:firstLine="360"/>
        <w:jc w:val="both"/>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 安排相关的几乎所有产出，并且该安排中负债的清偿持续依赖于合营方的支持。</w:t>
      </w:r>
    </w:p>
    <w:p>
      <w:pPr>
        <w:spacing w:line="396" w:lineRule="auto" w:before="130"/>
        <w:ind w:left="513" w:right="175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、共同经营会计处理方法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本公司确认共同经营中利益份额中与本公司相关的下列项目，并按照相关企业会计准则的规定进行会计处理：</w:t>
      </w:r>
    </w:p>
    <w:p>
      <w:pPr>
        <w:pStyle w:val="BodyText"/>
        <w:spacing w:line="240" w:lineRule="auto" w:before="59"/>
        <w:ind w:left="513" w:right="0"/>
        <w:jc w:val="left"/>
      </w:pPr>
      <w:r>
        <w:rPr/>
        <w:t>（</w:t>
      </w:r>
      <w:r>
        <w:rPr>
          <w:rFonts w:ascii="Times New Roman" w:hAnsi="Times New Roman" w:cs="Times New Roman" w:eastAsia="Times New Roman" w:hint="default"/>
        </w:rPr>
        <w:t>1</w:t>
      </w:r>
      <w:r>
        <w:rPr/>
        <w:t>）确认单独所持有的资产，以及按其份额确认共同持有的资产；</w:t>
      </w:r>
    </w:p>
    <w:p>
      <w:pPr>
        <w:spacing w:line="240" w:lineRule="auto" w:before="7"/>
        <w:rPr>
          <w:rFonts w:ascii="宋体" w:hAnsi="宋体" w:cs="宋体" w:eastAsia="宋体" w:hint="default"/>
          <w:sz w:val="12"/>
          <w:szCs w:val="12"/>
        </w:rPr>
      </w:pPr>
    </w:p>
    <w:p>
      <w:pPr>
        <w:pStyle w:val="BodyText"/>
        <w:spacing w:line="240" w:lineRule="auto"/>
        <w:ind w:left="513" w:right="0"/>
        <w:jc w:val="left"/>
      </w:pPr>
      <w:r>
        <w:rPr/>
        <w:t>（</w:t>
      </w:r>
      <w:r>
        <w:rPr>
          <w:rFonts w:ascii="Times New Roman" w:hAnsi="Times New Roman" w:cs="Times New Roman" w:eastAsia="Times New Roman" w:hint="default"/>
        </w:rPr>
        <w:t>2</w:t>
      </w:r>
      <w:r>
        <w:rPr/>
        <w:t>）确认单独所承担的负债，以及按其份额确认共同承担的负债；</w:t>
      </w:r>
    </w:p>
    <w:p>
      <w:pPr>
        <w:spacing w:line="240" w:lineRule="auto" w:before="5"/>
        <w:rPr>
          <w:rFonts w:ascii="宋体" w:hAnsi="宋体" w:cs="宋体" w:eastAsia="宋体" w:hint="default"/>
          <w:sz w:val="12"/>
          <w:szCs w:val="12"/>
        </w:rPr>
      </w:pPr>
    </w:p>
    <w:p>
      <w:pPr>
        <w:pStyle w:val="BodyText"/>
        <w:spacing w:line="240" w:lineRule="auto"/>
        <w:ind w:left="513" w:right="0"/>
        <w:jc w:val="left"/>
      </w:pPr>
      <w:r>
        <w:rPr/>
        <w:t>（</w:t>
      </w:r>
      <w:r>
        <w:rPr>
          <w:rFonts w:ascii="Times New Roman" w:hAnsi="Times New Roman" w:cs="Times New Roman" w:eastAsia="Times New Roman" w:hint="default"/>
        </w:rPr>
        <w:t>3</w:t>
      </w:r>
      <w:r>
        <w:rPr/>
        <w:t>）确认出售其享有的共同经营产出份额所产生的收入；</w:t>
      </w:r>
    </w:p>
    <w:p>
      <w:pPr>
        <w:spacing w:line="240" w:lineRule="auto" w:before="5"/>
        <w:rPr>
          <w:rFonts w:ascii="宋体" w:hAnsi="宋体" w:cs="宋体" w:eastAsia="宋体" w:hint="default"/>
          <w:sz w:val="12"/>
          <w:szCs w:val="12"/>
        </w:rPr>
      </w:pPr>
    </w:p>
    <w:p>
      <w:pPr>
        <w:pStyle w:val="BodyText"/>
        <w:spacing w:line="240" w:lineRule="auto"/>
        <w:ind w:left="514" w:right="0"/>
        <w:jc w:val="left"/>
      </w:pPr>
      <w:r>
        <w:rPr/>
        <w:t>（</w:t>
      </w:r>
      <w:r>
        <w:rPr>
          <w:rFonts w:ascii="Times New Roman" w:hAnsi="Times New Roman" w:cs="Times New Roman" w:eastAsia="Times New Roman" w:hint="default"/>
        </w:rPr>
        <w:t>4</w:t>
      </w:r>
      <w:r>
        <w:rPr/>
        <w:t>）按其份额确认共同经营因出售产出所产生的收入；</w:t>
      </w:r>
    </w:p>
    <w:p>
      <w:pPr>
        <w:spacing w:line="240" w:lineRule="auto" w:before="7"/>
        <w:rPr>
          <w:rFonts w:ascii="宋体" w:hAnsi="宋体" w:cs="宋体" w:eastAsia="宋体" w:hint="default"/>
          <w:sz w:val="12"/>
          <w:szCs w:val="12"/>
        </w:rPr>
      </w:pPr>
    </w:p>
    <w:p>
      <w:pPr>
        <w:pStyle w:val="BodyText"/>
        <w:spacing w:line="396" w:lineRule="auto"/>
        <w:ind w:left="513" w:right="0"/>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209" w:lineRule="exact"/>
        <w:ind w:right="0"/>
        <w:jc w:val="both"/>
      </w:pPr>
      <w:r>
        <w:rPr/>
        <w:t>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w:t>
      </w:r>
    </w:p>
    <w:p>
      <w:pPr>
        <w:pStyle w:val="BodyText"/>
        <w:spacing w:line="240" w:lineRule="auto" w:before="64"/>
        <w:ind w:right="0"/>
        <w:jc w:val="both"/>
      </w:pPr>
      <w:r>
        <w:rPr/>
        <w:t>等规定的资产减值损失的，本公司全额确认该损失。</w:t>
      </w:r>
    </w:p>
    <w:p>
      <w:pPr>
        <w:spacing w:line="240" w:lineRule="auto" w:before="5"/>
        <w:rPr>
          <w:rFonts w:ascii="宋体" w:hAnsi="宋体" w:cs="宋体" w:eastAsia="宋体" w:hint="default"/>
          <w:sz w:val="13"/>
          <w:szCs w:val="13"/>
        </w:rPr>
      </w:pPr>
    </w:p>
    <w:p>
      <w:pPr>
        <w:pStyle w:val="BodyText"/>
        <w:spacing w:line="309" w:lineRule="auto"/>
        <w:ind w:right="1131" w:firstLine="360"/>
        <w:jc w:val="both"/>
      </w:pPr>
      <w:r>
        <w:rPr>
          <w:spacing w:val="-2"/>
        </w:rPr>
        <w:t>本公司自共同经营购买资产等（该资产构成业务的除外），在将该资产等出售给第三方之前，仅确认因该交易产生的损</w:t>
      </w:r>
      <w:r>
        <w:rPr/>
        <w:t> 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 的，本公司按承担的份额确认该部分损失。</w:t>
      </w:r>
    </w:p>
    <w:p>
      <w:pPr>
        <w:pStyle w:val="BodyText"/>
        <w:spacing w:line="319" w:lineRule="auto" w:before="124"/>
        <w:ind w:right="1132" w:firstLine="360"/>
        <w:jc w:val="both"/>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line="240" w:lineRule="auto" w:before="3"/>
        <w:rPr>
          <w:rFonts w:ascii="宋体" w:hAnsi="宋体" w:cs="宋体" w:eastAsia="宋体" w:hint="default"/>
          <w:sz w:val="22"/>
          <w:szCs w:val="22"/>
        </w:rPr>
      </w:pPr>
    </w:p>
    <w:p>
      <w:pPr>
        <w:pStyle w:val="Heading5"/>
        <w:spacing w:line="240" w:lineRule="auto"/>
        <w:ind w:right="0"/>
        <w:jc w:val="both"/>
        <w:rPr>
          <w:b w:val="0"/>
          <w:bCs w:val="0"/>
        </w:rPr>
      </w:pPr>
      <w:bookmarkStart w:name="7、现金及现金等价物的确定标准" w:id="162"/>
      <w:bookmarkEnd w:id="162"/>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8"/>
        <w:rPr>
          <w:rFonts w:ascii="宋体" w:hAnsi="宋体" w:cs="宋体" w:eastAsia="宋体" w:hint="default"/>
          <w:b/>
          <w:bCs/>
          <w:sz w:val="24"/>
          <w:szCs w:val="24"/>
        </w:rPr>
      </w:pPr>
    </w:p>
    <w:p>
      <w:pPr>
        <w:pStyle w:val="Heading6"/>
        <w:spacing w:line="273" w:lineRule="auto" w:before="0"/>
        <w:ind w:right="1130"/>
        <w:jc w:val="both"/>
      </w:pPr>
      <w:r>
        <w:rPr>
          <w:spacing w:val="-5"/>
        </w:rPr>
        <w:t>在编制现金流量表时，将本公司库存现金以及可以随时用于支付的存款确认为现金。将同时具备期限短（一</w:t>
      </w:r>
      <w:r>
        <w:rPr>
          <w:spacing w:val="-101"/>
        </w:rPr>
        <w:t> </w:t>
      </w:r>
      <w:r>
        <w:rPr>
          <w:spacing w:val="-101"/>
        </w:rPr>
      </w:r>
      <w:r>
        <w:rPr>
          <w:spacing w:val="-1"/>
        </w:rPr>
        <w:t>般从购买日起，三个月内到期）、流动性强、易于转换为已知金额的现金、价值变动风险很小四个条件的</w:t>
      </w:r>
      <w:r>
        <w:rPr>
          <w:spacing w:val="-83"/>
        </w:rPr>
        <w:t> </w:t>
      </w:r>
      <w:r>
        <w:rPr>
          <w:spacing w:val="-83"/>
        </w:rPr>
      </w:r>
      <w:r>
        <w:rPr/>
        <w:t>投资，确定为现金等价物。</w:t>
      </w:r>
    </w:p>
    <w:p>
      <w:pPr>
        <w:spacing w:line="240" w:lineRule="auto" w:before="8"/>
        <w:rPr>
          <w:rFonts w:ascii="宋体" w:hAnsi="宋体" w:cs="宋体" w:eastAsia="宋体" w:hint="default"/>
          <w:sz w:val="23"/>
          <w:szCs w:val="23"/>
        </w:rPr>
      </w:pPr>
    </w:p>
    <w:p>
      <w:pPr>
        <w:pStyle w:val="Heading5"/>
        <w:spacing w:line="240" w:lineRule="auto"/>
        <w:ind w:right="0"/>
        <w:jc w:val="both"/>
        <w:rPr>
          <w:b w:val="0"/>
          <w:bCs w:val="0"/>
        </w:rPr>
      </w:pPr>
      <w:bookmarkStart w:name="8、外币业务和外币报表折算" w:id="163"/>
      <w:bookmarkEnd w:id="163"/>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、外币业务</w:t>
      </w:r>
      <w:r>
        <w:rPr>
          <w:b w:val="0"/>
          <w:bCs w:val="0"/>
        </w:rPr>
      </w:r>
    </w:p>
    <w:p>
      <w:pPr>
        <w:pStyle w:val="Heading6"/>
        <w:spacing w:line="273" w:lineRule="auto" w:before="21"/>
        <w:ind w:left="573" w:right="0"/>
        <w:jc w:val="left"/>
      </w:pPr>
      <w:r>
        <w:rPr/>
        <w:t>外币业务交易在初始确认时，采用交易发生日的即期汇率作为折算汇率折合成人民币记账。 </w:t>
      </w:r>
      <w:r>
        <w:rPr>
          <w:spacing w:val="-1"/>
        </w:rPr>
        <w:t>资产负债表日，外币货币性项目按资产负债表日即期汇率折算，由此产生的汇兑差额，除属于与购建</w:t>
      </w:r>
    </w:p>
    <w:p>
      <w:pPr>
        <w:pStyle w:val="Heading6"/>
        <w:spacing w:line="273" w:lineRule="auto"/>
        <w:ind w:right="1131"/>
        <w:jc w:val="both"/>
      </w:pPr>
      <w:r>
        <w:rPr>
          <w:spacing w:val="-1"/>
        </w:rPr>
        <w:t>符合资本化条件的资产相关的外币专门借款产生的汇兑差额按照借款费用资本化的原则处理外，均计入当</w:t>
      </w:r>
      <w:r>
        <w:rPr>
          <w:spacing w:val="-81"/>
        </w:rPr>
        <w:t> </w:t>
      </w:r>
      <w:r>
        <w:rPr>
          <w:spacing w:val="-81"/>
        </w:rPr>
      </w:r>
      <w:r>
        <w:rPr>
          <w:spacing w:val="-1"/>
        </w:rPr>
        <w:t>期损益。以历史成本计量的外币非货币性项目，仍采用交易发生日的即期汇率折算，不改变其记账本位币</w:t>
      </w:r>
      <w:r>
        <w:rPr>
          <w:spacing w:val="-83"/>
        </w:rPr>
        <w:t> </w:t>
      </w:r>
      <w:r>
        <w:rPr>
          <w:spacing w:val="-83"/>
        </w:rPr>
      </w:r>
      <w:r>
        <w:rPr/>
        <w:t>金额。</w:t>
      </w:r>
    </w:p>
    <w:p>
      <w:pPr>
        <w:pStyle w:val="Heading6"/>
        <w:spacing w:line="273" w:lineRule="auto"/>
        <w:ind w:right="1131" w:firstLine="420"/>
        <w:jc w:val="both"/>
      </w:pPr>
      <w:r>
        <w:rPr>
          <w:spacing w:val="-1"/>
        </w:rPr>
        <w:t>以公允价值计量的外币非货币性项目，采用公允价值确定日的即期汇率折算，由此产生的汇兑差额作</w:t>
      </w:r>
      <w:r>
        <w:rPr/>
        <w:t> </w:t>
      </w:r>
      <w:r>
        <w:rPr>
          <w:spacing w:val="-1"/>
        </w:rPr>
        <w:t>为公允价值变动损益计入当期损益。如属于可供出售外币非货币性项目的，形成的汇兑差额计入其他综合</w:t>
      </w:r>
      <w:r>
        <w:rPr>
          <w:spacing w:val="-81"/>
        </w:rPr>
        <w:t> </w:t>
      </w:r>
      <w:r>
        <w:rPr>
          <w:spacing w:val="-81"/>
        </w:rPr>
      </w:r>
      <w:r>
        <w:rPr/>
        <w:t>收益。</w:t>
      </w:r>
    </w:p>
    <w:p>
      <w:pPr>
        <w:spacing w:line="256" w:lineRule="auto" w:before="7"/>
        <w:ind w:left="573" w:right="121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Heading6"/>
        <w:spacing w:line="256" w:lineRule="auto" w:before="5"/>
        <w:ind w:right="1226"/>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 汇率折算。按照上述折算产生的外币财务报表折算差额计入其他综合收益。</w:t>
      </w:r>
    </w:p>
    <w:p>
      <w:pPr>
        <w:pStyle w:val="Heading6"/>
        <w:spacing w:line="240" w:lineRule="auto" w:before="22"/>
        <w:ind w:left="573" w:right="0"/>
        <w:jc w:val="left"/>
      </w:pPr>
      <w:r>
        <w:rPr/>
        <w:t>处置境外经营时，将资产负债表中其他综合收益项目中列示的、与该境外经营相关的外币财务报表折</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0"/>
        <w:jc w:val="left"/>
      </w:pPr>
      <w:r>
        <w:rPr>
          <w:spacing w:val="-1"/>
        </w:rPr>
        <w:t>算差额，自其他综合收益项目转入处置当期损益；部分处置境外经营的，按处置的比例计算处置部分的外</w:t>
      </w:r>
      <w:r>
        <w:rPr>
          <w:spacing w:val="-83"/>
        </w:rPr>
        <w:t> </w:t>
      </w:r>
      <w:r>
        <w:rPr>
          <w:spacing w:val="-83"/>
        </w:rPr>
      </w:r>
      <w:r>
        <w:rPr/>
        <w:t>币财务报表折算差额，转入处置当期损益。</w:t>
      </w:r>
    </w:p>
    <w:p>
      <w:pPr>
        <w:spacing w:line="240" w:lineRule="auto" w:before="8"/>
        <w:rPr>
          <w:rFonts w:ascii="宋体" w:hAnsi="宋体" w:cs="宋体" w:eastAsia="宋体" w:hint="default"/>
          <w:sz w:val="23"/>
          <w:szCs w:val="23"/>
        </w:rPr>
      </w:pPr>
    </w:p>
    <w:p>
      <w:pPr>
        <w:pStyle w:val="Heading5"/>
        <w:spacing w:line="240" w:lineRule="auto"/>
        <w:ind w:right="0"/>
        <w:jc w:val="left"/>
        <w:rPr>
          <w:b w:val="0"/>
          <w:bCs w:val="0"/>
        </w:rPr>
      </w:pPr>
      <w:bookmarkStart w:name="9、金融工具" w:id="164"/>
      <w:bookmarkEnd w:id="164"/>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573" w:right="0"/>
        <w:jc w:val="left"/>
      </w:pPr>
      <w:r>
        <w:rPr/>
        <w:t>金融工具包括金融资产、金融负债和权益工具。</w:t>
      </w:r>
    </w:p>
    <w:p>
      <w:pPr>
        <w:pStyle w:val="Heading6"/>
        <w:spacing w:line="256" w:lineRule="auto" w:before="37"/>
        <w:ind w:left="573" w:right="0" w:hanging="420"/>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管理层根据所发行金融工具的合同条款及其所反映的经济实质而非仅以法律形式，结合取得持有金融</w:t>
      </w:r>
    </w:p>
    <w:p>
      <w:pPr>
        <w:pStyle w:val="Heading6"/>
        <w:spacing w:line="273" w:lineRule="auto" w:before="22"/>
        <w:ind w:right="0"/>
        <w:jc w:val="left"/>
        <w:rPr>
          <w:rFonts w:ascii="宋体" w:hAnsi="宋体" w:cs="宋体" w:eastAsia="宋体" w:hint="default"/>
        </w:rPr>
      </w:pPr>
      <w:r>
        <w:rPr>
          <w:spacing w:val="-1"/>
        </w:rPr>
        <w:t>资产和承担金融负债的目的，将金融资产和金融负债分为不同类别：以公允价值计量且其变动计入当期损</w:t>
      </w:r>
      <w:r>
        <w:rPr>
          <w:spacing w:val="-81"/>
        </w:rPr>
        <w:t> </w:t>
      </w:r>
      <w:r>
        <w:rPr>
          <w:spacing w:val="-81"/>
        </w:rPr>
      </w:r>
      <w:r>
        <w:rPr/>
        <w:t>益的金融资产（或金融负债）；持有至到期投资；应收款项；可供出售金融资产；其他金融负债等。 </w:t>
      </w:r>
      <w:r>
        <w:rPr>
          <w:rFonts w:ascii="Times New Roman" w:hAnsi="Times New Roman" w:cs="Times New Roman" w:eastAsia="Times New Roman" w:hint="default"/>
          <w:b/>
          <w:bCs/>
        </w:rPr>
        <w:t>2</w:t>
      </w:r>
      <w:r>
        <w:rPr>
          <w:rFonts w:ascii="宋体" w:hAnsi="宋体" w:cs="宋体" w:eastAsia="宋体" w:hint="default"/>
          <w:b/>
          <w:bCs/>
        </w:rPr>
        <w:t>、金融工具的确认依据和计量方法</w:t>
      </w:r>
      <w:r>
        <w:rPr>
          <w:rFonts w:ascii="宋体" w:hAnsi="宋体" w:cs="宋体" w:eastAsia="宋体" w:hint="default"/>
        </w:rPr>
      </w:r>
    </w:p>
    <w:p>
      <w:pPr>
        <w:pStyle w:val="Heading6"/>
        <w:spacing w:line="256" w:lineRule="auto" w:before="0"/>
        <w:ind w:left="574" w:right="0" w:hanging="42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以公允价值计量且其变动计入当期损益的金融资产或金融负债，包括交易性金融资产或金融负债和直</w:t>
      </w:r>
    </w:p>
    <w:p>
      <w:pPr>
        <w:pStyle w:val="Heading6"/>
        <w:spacing w:line="273" w:lineRule="auto" w:before="22"/>
        <w:ind w:left="574" w:right="3402" w:hanging="420"/>
        <w:jc w:val="left"/>
      </w:pPr>
      <w:r>
        <w:rPr/>
        <w:t>接指定为以公允价值计量且其变动计入当期损益的金融资产或金融负债。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Heading6"/>
        <w:spacing w:line="256" w:lineRule="auto" w:before="0"/>
        <w:ind w:left="154" w:right="1197" w:firstLine="420"/>
        <w:jc w:val="left"/>
      </w:pPr>
      <w:r>
        <w:rPr>
          <w:rFonts w:ascii="Times New Roman" w:hAnsi="Times New Roman" w:cs="Times New Roman" w:eastAsia="Times New Roman" w:hint="default"/>
        </w:rPr>
        <w:t>2</w:t>
      </w:r>
      <w:r>
        <w:rPr/>
        <w:t>）属于进行集中管理的可辨认金融工具组合的一部分，且有客观证据表明本公司近期采用短期获利 方式对该组合进行管理；</w:t>
      </w:r>
    </w:p>
    <w:p>
      <w:pPr>
        <w:pStyle w:val="Heading6"/>
        <w:spacing w:line="264" w:lineRule="auto" w:before="22"/>
        <w:ind w:left="154" w:right="1197" w:firstLine="420"/>
        <w:jc w:val="left"/>
      </w:pPr>
      <w:r>
        <w:rPr>
          <w:rFonts w:ascii="Times New Roman" w:hAnsi="Times New Roman" w:cs="Times New Roman" w:eastAsia="Times New Roman" w:hint="default"/>
        </w:rPr>
        <w:t>3</w:t>
      </w:r>
      <w:r>
        <w:rPr/>
        <w:t>）属于衍生金融工具，但是被指定为有效套期工具的衍生工具、属于财务担保合同的衍生工具、与 在活跃市场中没有报价且其公允价值不能可靠计量的权益工具投资挂钩并须通过交付该权益工具结算的 衍生工具除外。</w:t>
      </w:r>
    </w:p>
    <w:p>
      <w:pPr>
        <w:pStyle w:val="Heading6"/>
        <w:spacing w:line="273" w:lineRule="auto" w:before="16"/>
        <w:ind w:left="154" w:right="1132" w:firstLine="420"/>
        <w:jc w:val="both"/>
      </w:pPr>
      <w:r>
        <w:rPr>
          <w:spacing w:val="-1"/>
        </w:rPr>
        <w:t>只有符合以下条件之一，金融资产或金融负债才可在初始计量时指定为以公允价值计量且其变动计入</w:t>
      </w:r>
      <w:r>
        <w:rPr/>
        <w:t> 损益的金融资产或金融负债：</w:t>
      </w:r>
    </w:p>
    <w:p>
      <w:pPr>
        <w:pStyle w:val="Heading6"/>
        <w:spacing w:line="256" w:lineRule="auto"/>
        <w:ind w:left="154" w:right="1197" w:firstLine="420"/>
        <w:jc w:val="left"/>
      </w:pPr>
      <w:r>
        <w:rPr>
          <w:rFonts w:ascii="Times New Roman" w:hAnsi="Times New Roman" w:cs="Times New Roman" w:eastAsia="Times New Roman" w:hint="default"/>
        </w:rPr>
        <w:t>1</w:t>
      </w:r>
      <w:r>
        <w:rPr/>
        <w:t>）该项指定可以消除或明显减少由于金融资产或金融负债的计量基础不同所导致的相关利得或损失 在确认或计量方面不一致的情况；</w:t>
      </w:r>
    </w:p>
    <w:p>
      <w:pPr>
        <w:pStyle w:val="Heading6"/>
        <w:spacing w:line="256" w:lineRule="auto" w:before="22"/>
        <w:ind w:left="154" w:right="1197" w:firstLine="420"/>
        <w:jc w:val="left"/>
      </w:pPr>
      <w:r>
        <w:rPr>
          <w:rFonts w:ascii="Times New Roman" w:hAnsi="Times New Roman" w:cs="Times New Roman" w:eastAsia="Times New Roman" w:hint="default"/>
        </w:rPr>
        <w:t>2</w:t>
      </w:r>
      <w:r>
        <w:rPr/>
        <w:t>）风险管理或投资策略的正式书面文件已载明，该金融资产组合、该金融负债组合、或该金融资产 和金融负债组合，以公允价值为基础进行管理、评价并向关键管理人员报告；</w:t>
      </w:r>
    </w:p>
    <w:p>
      <w:pPr>
        <w:pStyle w:val="Heading6"/>
        <w:spacing w:line="256" w:lineRule="auto" w:before="22"/>
        <w:ind w:left="154" w:right="1197" w:firstLine="420"/>
        <w:jc w:val="left"/>
      </w:pPr>
      <w:r>
        <w:rPr>
          <w:rFonts w:ascii="Times New Roman" w:hAnsi="Times New Roman" w:cs="Times New Roman" w:eastAsia="Times New Roman" w:hint="default"/>
        </w:rPr>
        <w:t>3</w:t>
      </w:r>
      <w:r>
        <w:rPr/>
        <w:t>）包含一项或多项嵌入衍生工具的混合工具，除非嵌入衍生工具对混合工具的现金流量没有重大改 变，或所嵌入的衍生工具明显不应当从相关混合工具中分拆；</w:t>
      </w:r>
    </w:p>
    <w:p>
      <w:pPr>
        <w:pStyle w:val="Heading6"/>
        <w:spacing w:line="256" w:lineRule="auto" w:before="22"/>
        <w:ind w:left="154" w:right="1197" w:firstLine="42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 具。</w:t>
      </w:r>
    </w:p>
    <w:p>
      <w:pPr>
        <w:pStyle w:val="Heading6"/>
        <w:spacing w:line="273" w:lineRule="auto" w:before="22"/>
        <w:ind w:left="154" w:right="1109" w:firstLine="420"/>
        <w:jc w:val="both"/>
      </w:pPr>
      <w:r>
        <w:rPr>
          <w:spacing w:val="-1"/>
        </w:rPr>
        <w:t>本公司对以公允价值计量且其变动计入当期损益的金融资产或金融负债，在取得时以公允价值（扣除</w:t>
      </w:r>
      <w:r>
        <w:rPr/>
        <w:t> </w:t>
      </w:r>
      <w:r>
        <w:rPr>
          <w:spacing w:val="-1"/>
        </w:rPr>
        <w:t>已宣告但尚未发放的现金股利或已到付息期但尚未领取的债券利息）作为初始确认金额，相关的交易费用</w:t>
      </w:r>
      <w:r>
        <w:rPr>
          <w:spacing w:val="-81"/>
        </w:rPr>
        <w:t> </w:t>
      </w:r>
      <w:r>
        <w:rPr>
          <w:spacing w:val="-81"/>
        </w:rPr>
      </w:r>
      <w:r>
        <w:rPr/>
        <w:t>计入当期损益。持有期间将取得的利息或现金股利确认为投资收益，期末将公允价值变动计入当期损益。 处置时，其公允价值与初始入账金额之间的差额确认为投资收益，同时调整公允价值变动损益。</w:t>
      </w:r>
    </w:p>
    <w:p>
      <w:pPr>
        <w:pStyle w:val="Heading6"/>
        <w:spacing w:line="240" w:lineRule="auto"/>
        <w:ind w:right="0"/>
        <w:jc w:val="left"/>
      </w:pPr>
      <w:r>
        <w:rPr/>
        <w:t>（</w:t>
      </w:r>
      <w:r>
        <w:rPr>
          <w:rFonts w:ascii="Times New Roman" w:hAnsi="Times New Roman" w:cs="Times New Roman" w:eastAsia="Times New Roman" w:hint="default"/>
        </w:rPr>
        <w:t>2</w:t>
      </w:r>
      <w:r>
        <w:rPr/>
        <w:t>）应收款项</w:t>
      </w:r>
    </w:p>
    <w:p>
      <w:pPr>
        <w:pStyle w:val="Heading6"/>
        <w:spacing w:line="273" w:lineRule="auto" w:before="21"/>
        <w:ind w:right="1131" w:firstLine="420"/>
        <w:jc w:val="both"/>
      </w:pPr>
      <w:r>
        <w:rPr>
          <w:spacing w:val="-1"/>
        </w:rPr>
        <w:t>本公司对外销售商品或提供劳务形成的应收债权，以及公司持有的其他企业的不包括在活跃市场上有</w:t>
      </w:r>
      <w:r>
        <w:rPr/>
        <w:t> </w:t>
      </w:r>
      <w:r>
        <w:rPr>
          <w:spacing w:val="-1"/>
        </w:rPr>
        <w:t>报价的债务工具的债权，包括应收账款、其他应收款等，以向购货方应收的合同或协议价款作为初始确认</w:t>
      </w:r>
      <w:r>
        <w:rPr>
          <w:spacing w:val="-83"/>
        </w:rPr>
        <w:t> </w:t>
      </w:r>
      <w:r>
        <w:rPr>
          <w:spacing w:val="-83"/>
        </w:rPr>
      </w:r>
      <w:r>
        <w:rPr/>
        <w:t>金额；具有融资性质的，按其现值进行初始确认。</w:t>
      </w:r>
    </w:p>
    <w:p>
      <w:pPr>
        <w:pStyle w:val="Heading6"/>
        <w:spacing w:line="240" w:lineRule="auto"/>
        <w:ind w:left="574" w:right="0"/>
        <w:jc w:val="left"/>
      </w:pPr>
      <w:r>
        <w:rPr/>
        <w:t>收回或处置时，将取得的价款与该应收款项账面价值之间的差额计入当期损益。</w:t>
      </w:r>
    </w:p>
    <w:p>
      <w:pPr>
        <w:pStyle w:val="Heading6"/>
        <w:spacing w:line="256" w:lineRule="auto" w:before="37"/>
        <w:ind w:left="574" w:right="0" w:hanging="420"/>
        <w:jc w:val="left"/>
      </w:pPr>
      <w:r>
        <w:rPr/>
        <w:t>（</w:t>
      </w:r>
      <w:r>
        <w:rPr>
          <w:rFonts w:ascii="Times New Roman" w:hAnsi="Times New Roman" w:cs="Times New Roman" w:eastAsia="Times New Roman" w:hint="default"/>
        </w:rPr>
        <w:t>3</w:t>
      </w:r>
      <w:r>
        <w:rPr/>
        <w:t>）持有至到期投资 </w:t>
      </w:r>
      <w:r>
        <w:rPr>
          <w:spacing w:val="-1"/>
        </w:rPr>
        <w:t>持有至到期投资是指到期日固定、回收金额固定或可确定，且本公司有明确意图和能力持有至到期的</w:t>
      </w:r>
    </w:p>
    <w:p>
      <w:pPr>
        <w:pStyle w:val="Heading6"/>
        <w:spacing w:line="273" w:lineRule="auto" w:before="22"/>
        <w:ind w:left="574" w:right="0" w:hanging="420"/>
        <w:jc w:val="left"/>
      </w:pPr>
      <w:r>
        <w:rPr/>
        <w:t>非衍生性金融资产。 </w:t>
      </w:r>
      <w:r>
        <w:rPr>
          <w:spacing w:val="-1"/>
        </w:rPr>
        <w:t>本公司对持有至到期投资，在取得时按公允价值（扣除已到付息期但尚未领取的债券利息）和相关交</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1131"/>
        <w:jc w:val="both"/>
      </w:pPr>
      <w:r>
        <w:rPr>
          <w:spacing w:val="-1"/>
        </w:rPr>
        <w:t>易费用之和作为初始确认金额。持有期间按照摊余成本和实际利率计算确认利息收入，计入投资收益。实</w:t>
      </w:r>
      <w:r>
        <w:rPr>
          <w:spacing w:val="-83"/>
        </w:rPr>
        <w:t> </w:t>
      </w:r>
      <w:r>
        <w:rPr>
          <w:spacing w:val="-83"/>
        </w:rPr>
      </w:r>
      <w:r>
        <w:rPr>
          <w:spacing w:val="-1"/>
        </w:rPr>
        <w:t>际利率在取得时确定，在该预期存续期间或适用的更短期间内保持不变。处置时，将所取得价款与该投资</w:t>
      </w:r>
      <w:r>
        <w:rPr>
          <w:spacing w:val="-83"/>
        </w:rPr>
        <w:t> </w:t>
      </w:r>
      <w:r>
        <w:rPr>
          <w:spacing w:val="-83"/>
        </w:rPr>
      </w:r>
      <w:r>
        <w:rPr/>
        <w:t>账面价值之间的差额计入投资收益。</w:t>
      </w:r>
    </w:p>
    <w:p>
      <w:pPr>
        <w:pStyle w:val="Heading6"/>
        <w:spacing w:line="273" w:lineRule="auto"/>
        <w:ind w:right="1131" w:firstLine="420"/>
        <w:jc w:val="both"/>
      </w:pPr>
      <w:r>
        <w:rPr>
          <w:spacing w:val="-1"/>
        </w:rPr>
        <w:t>如果持有至到期投资处置或重分类为其他类金融资产的金额，相对于本公司全部持有至到期投资在出</w:t>
      </w:r>
      <w:r>
        <w:rPr/>
        <w:t> </w:t>
      </w:r>
      <w:r>
        <w:rPr>
          <w:spacing w:val="-1"/>
        </w:rPr>
        <w:t>售或重分类前的总额较大，在处置或重分类后应立即将其剩余的持有至到期投资重分类为可供出售金融资</w:t>
      </w:r>
      <w:r>
        <w:rPr>
          <w:spacing w:val="-81"/>
        </w:rPr>
        <w:t> </w:t>
      </w:r>
      <w:r>
        <w:rPr>
          <w:spacing w:val="-81"/>
        </w:rPr>
      </w:r>
      <w:r>
        <w:rPr>
          <w:spacing w:val="-1"/>
        </w:rPr>
        <w:t>产；重分类日，该投资的账面价值与其公允价值之间的差额计入其他综合收益，在该可供出售金融资产发</w:t>
      </w:r>
      <w:r>
        <w:rPr>
          <w:spacing w:val="-83"/>
        </w:rPr>
        <w:t> </w:t>
      </w:r>
      <w:r>
        <w:rPr>
          <w:spacing w:val="-83"/>
        </w:rPr>
      </w:r>
      <w:r>
        <w:rPr/>
        <w:t>生减值或终止确认时转出，计入当期损益。但是，遇到下列情况可以除外：</w:t>
      </w:r>
    </w:p>
    <w:p>
      <w:pPr>
        <w:pStyle w:val="Heading6"/>
        <w:spacing w:line="256" w:lineRule="auto"/>
        <w:ind w:right="0" w:firstLine="420"/>
        <w:jc w:val="left"/>
      </w:pPr>
      <w:r>
        <w:rPr>
          <w:rFonts w:ascii="Times New Roman" w:hAnsi="Times New Roman" w:cs="Times New Roman" w:eastAsia="Times New Roman" w:hint="default"/>
          <w:spacing w:val="-2"/>
        </w:rPr>
        <w:t>1</w:t>
      </w:r>
      <w:r>
        <w:rPr>
          <w:spacing w:val="-2"/>
        </w:rPr>
        <w:t>）出售日或重分类日距离该项投资到期日或赎回日较近</w:t>
      </w:r>
      <w:r>
        <w:rPr>
          <w:rFonts w:ascii="Times New Roman" w:hAnsi="Times New Roman" w:cs="Times New Roman" w:eastAsia="Times New Roman" w:hint="default"/>
          <w:spacing w:val="-2"/>
        </w:rPr>
        <w:t>(</w:t>
      </w:r>
      <w:r>
        <w:rPr>
          <w:spacing w:val="-2"/>
        </w:rPr>
        <w:t>如到期前三个月内</w:t>
      </w:r>
      <w:r>
        <w:rPr>
          <w:rFonts w:ascii="Times New Roman" w:hAnsi="Times New Roman" w:cs="Times New Roman" w:eastAsia="Times New Roman" w:hint="default"/>
          <w:spacing w:val="-2"/>
        </w:rPr>
        <w:t>)</w:t>
      </w:r>
      <w:r>
        <w:rPr>
          <w:spacing w:val="-2"/>
        </w:rPr>
        <w:t>，且市场利率变化对该项</w:t>
      </w:r>
      <w:r>
        <w:rPr/>
        <w:t> 投资的公允价值没有显著影响。</w:t>
      </w:r>
    </w:p>
    <w:p>
      <w:pPr>
        <w:pStyle w:val="Heading6"/>
        <w:spacing w:line="240" w:lineRule="auto" w:before="22"/>
        <w:ind w:left="573" w:right="0"/>
        <w:jc w:val="left"/>
      </w:pPr>
      <w:r>
        <w:rPr>
          <w:rFonts w:ascii="Times New Roman" w:hAnsi="Times New Roman" w:cs="Times New Roman" w:eastAsia="Times New Roman" w:hint="default"/>
        </w:rPr>
        <w:t>2</w:t>
      </w:r>
      <w:r>
        <w:rPr/>
        <w:t>）根据合同约定的偿付方式，企业已收回几乎所有初始本金。</w:t>
      </w:r>
    </w:p>
    <w:p>
      <w:pPr>
        <w:pStyle w:val="Heading6"/>
        <w:spacing w:line="240" w:lineRule="auto" w:before="21"/>
        <w:ind w:left="573"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Heading6"/>
        <w:spacing w:line="256" w:lineRule="auto" w:before="21"/>
        <w:ind w:left="574" w:right="0" w:hanging="420"/>
        <w:jc w:val="left"/>
      </w:pPr>
      <w:r>
        <w:rPr/>
        <w:t>（</w:t>
      </w:r>
      <w:r>
        <w:rPr>
          <w:rFonts w:ascii="Times New Roman" w:hAnsi="Times New Roman" w:cs="Times New Roman" w:eastAsia="Times New Roman" w:hint="default"/>
        </w:rPr>
        <w:t>4</w:t>
      </w:r>
      <w:r>
        <w:rPr/>
        <w:t>）可供出售金融资产 </w:t>
      </w:r>
      <w:r>
        <w:rPr>
          <w:spacing w:val="-1"/>
        </w:rPr>
        <w:t>可供出售金融资产，是指初始确认时即指定为可供出售的非衍生金融资产，以及除其他金融资产类别</w:t>
      </w:r>
    </w:p>
    <w:p>
      <w:pPr>
        <w:pStyle w:val="Heading6"/>
        <w:spacing w:line="273" w:lineRule="auto" w:before="22"/>
        <w:ind w:left="573" w:right="0" w:hanging="420"/>
        <w:jc w:val="left"/>
      </w:pPr>
      <w:r>
        <w:rPr/>
        <w:t>以外的金融资产。 </w:t>
      </w:r>
      <w:r>
        <w:rPr>
          <w:spacing w:val="-1"/>
        </w:rPr>
        <w:t>本公司对可供出售金融资产，在取得时按公允价值（扣除已宣告但尚未发放的现金股利或已到付息期</w:t>
      </w:r>
    </w:p>
    <w:p>
      <w:pPr>
        <w:pStyle w:val="Heading6"/>
        <w:spacing w:line="273" w:lineRule="auto"/>
        <w:ind w:right="1131"/>
        <w:jc w:val="both"/>
      </w:pPr>
      <w:r>
        <w:rPr>
          <w:spacing w:val="-1"/>
        </w:rPr>
        <w:t>但尚未领取的债券利息）和相关交易费用之和作为初始确认金额。持有期间将取得的利息或现金股利确认</w:t>
      </w:r>
      <w:r>
        <w:rPr>
          <w:spacing w:val="-81"/>
        </w:rPr>
        <w:t> </w:t>
      </w:r>
      <w:r>
        <w:rPr>
          <w:spacing w:val="-81"/>
        </w:rPr>
      </w:r>
      <w:r>
        <w:rPr>
          <w:spacing w:val="-1"/>
        </w:rPr>
        <w:t>为投资收益。可供出售金融资产的公允价值变动形成的利得或损失，除减值损失和外币货币性金融资产形</w:t>
      </w:r>
      <w:r>
        <w:rPr>
          <w:spacing w:val="-81"/>
        </w:rPr>
        <w:t> </w:t>
      </w:r>
      <w:r>
        <w:rPr>
          <w:spacing w:val="-81"/>
        </w:rPr>
      </w:r>
      <w:r>
        <w:rPr>
          <w:spacing w:val="-1"/>
        </w:rPr>
        <w:t>成的汇兑差额外，直接计入其他综合收益。处置可供出售金融资产时，将取得的价款与该金融资产账面价</w:t>
      </w:r>
      <w:r>
        <w:rPr>
          <w:spacing w:val="-83"/>
        </w:rPr>
        <w:t> </w:t>
      </w:r>
      <w:r>
        <w:rPr>
          <w:spacing w:val="-83"/>
        </w:rPr>
      </w:r>
      <w:r>
        <w:rPr>
          <w:spacing w:val="-1"/>
        </w:rPr>
        <w:t>值之间的差额，计入投资损益；同时，将原直接计入其他综合收益的公允价值变动累计额对应处置部分的</w:t>
      </w:r>
      <w:r>
        <w:rPr>
          <w:spacing w:val="-83"/>
        </w:rPr>
        <w:t> </w:t>
      </w:r>
      <w:r>
        <w:rPr>
          <w:spacing w:val="-83"/>
        </w:rPr>
      </w:r>
      <w:r>
        <w:rPr/>
        <w:t>金额转出，计入投资损益。</w:t>
      </w:r>
    </w:p>
    <w:p>
      <w:pPr>
        <w:pStyle w:val="Heading6"/>
        <w:spacing w:line="273" w:lineRule="auto"/>
        <w:ind w:right="0" w:firstLine="420"/>
        <w:jc w:val="left"/>
      </w:pPr>
      <w:r>
        <w:rPr>
          <w:spacing w:val="-1"/>
        </w:rPr>
        <w:t>本公司对在活跃市场中没有报价且其公允价值不能可靠计量的权益工具投资，以及与该权益工具挂钩</w:t>
      </w:r>
      <w:r>
        <w:rPr/>
        <w:t> 并须通过交付该权益工具结算的衍生金融资产，按照成本计量。</w:t>
      </w:r>
    </w:p>
    <w:p>
      <w:pPr>
        <w:pStyle w:val="Heading6"/>
        <w:spacing w:line="256" w:lineRule="auto" w:before="8"/>
        <w:ind w:left="574" w:right="2562" w:hanging="420"/>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56" w:lineRule="auto" w:before="22"/>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公司发生金融资产转移时，如已将金融资产所有权上几乎所有的风险和报酬转移给转入方，则终止确</w:t>
      </w:r>
    </w:p>
    <w:p>
      <w:pPr>
        <w:pStyle w:val="Heading6"/>
        <w:spacing w:line="273" w:lineRule="auto" w:before="22"/>
        <w:ind w:left="573" w:right="0"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Heading6"/>
        <w:spacing w:line="273" w:lineRule="auto"/>
        <w:ind w:right="1131"/>
        <w:jc w:val="both"/>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Heading6"/>
        <w:spacing w:line="240" w:lineRule="auto"/>
        <w:ind w:left="573" w:right="0"/>
        <w:jc w:val="left"/>
      </w:pPr>
      <w:r>
        <w:rPr/>
        <w:t>（</w:t>
      </w:r>
      <w:r>
        <w:rPr>
          <w:rFonts w:ascii="Times New Roman" w:hAnsi="Times New Roman" w:cs="Times New Roman" w:eastAsia="Times New Roman" w:hint="default"/>
        </w:rPr>
        <w:t>1</w:t>
      </w:r>
      <w:r>
        <w:rPr/>
        <w:t>）所转移金融资产的账面价值；</w:t>
      </w:r>
    </w:p>
    <w:p>
      <w:pPr>
        <w:pStyle w:val="Heading6"/>
        <w:spacing w:line="256" w:lineRule="auto" w:before="21"/>
        <w:ind w:right="1198"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Heading6"/>
        <w:spacing w:line="273" w:lineRule="auto" w:before="22"/>
        <w:ind w:right="0"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Heading6"/>
        <w:spacing w:line="240" w:lineRule="auto"/>
        <w:ind w:left="573" w:right="0"/>
        <w:jc w:val="left"/>
      </w:pPr>
      <w:r>
        <w:rPr/>
        <w:t>（</w:t>
      </w:r>
      <w:r>
        <w:rPr>
          <w:rFonts w:ascii="Times New Roman" w:hAnsi="Times New Roman" w:cs="Times New Roman" w:eastAsia="Times New Roman" w:hint="default"/>
        </w:rPr>
        <w:t>1</w:t>
      </w:r>
      <w:r>
        <w:rPr/>
        <w:t>）终止确认部分的账面价值；</w:t>
      </w:r>
    </w:p>
    <w:p>
      <w:pPr>
        <w:pStyle w:val="Heading6"/>
        <w:spacing w:line="256" w:lineRule="auto" w:before="21"/>
        <w:ind w:right="1198"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Heading6"/>
        <w:spacing w:line="240" w:lineRule="auto" w:before="22"/>
        <w:ind w:left="573" w:right="0"/>
        <w:jc w:val="left"/>
      </w:pPr>
      <w:r>
        <w:rPr/>
        <w:t>金融资产转移不满足终止确认条件的，继续确认该金融资产，所收到的对价确认为一项金融负债。</w:t>
      </w:r>
    </w:p>
    <w:p>
      <w:pPr>
        <w:spacing w:line="256" w:lineRule="auto" w:before="37"/>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金融负债的的现时义务全部或部分已经解除的，则终止确认该金融负债或其一部分；本公司若与债权</w:t>
      </w:r>
    </w:p>
    <w:p>
      <w:pPr>
        <w:pStyle w:val="Heading6"/>
        <w:spacing w:line="273" w:lineRule="auto" w:before="22"/>
        <w:ind w:right="1131"/>
        <w:jc w:val="both"/>
      </w:pPr>
      <w:r>
        <w:rPr>
          <w:spacing w:val="-1"/>
        </w:rPr>
        <w:t>人签定协议，以承担新金融负债方式替换现存金融负债，且新金融负债与现存金融负债的合同条款实质上</w:t>
      </w:r>
      <w:r>
        <w:rPr>
          <w:spacing w:val="-81"/>
        </w:rPr>
        <w:t> </w:t>
      </w:r>
      <w:r>
        <w:rPr>
          <w:spacing w:val="-81"/>
        </w:rPr>
      </w:r>
      <w:r>
        <w:rPr/>
        <w:t>不同的，则终止确认现存金融负债，并同时确认新金融负债。</w:t>
      </w:r>
    </w:p>
    <w:p>
      <w:pPr>
        <w:pStyle w:val="Heading6"/>
        <w:spacing w:line="240" w:lineRule="auto"/>
        <w:ind w:left="573" w:right="0"/>
        <w:jc w:val="left"/>
      </w:pPr>
      <w:r>
        <w:rPr/>
        <w:t>对现存金融负债全部或部分合同条款作出实质性修改的，则终止确认现存金融负债或其一部分，同时</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left="573" w:right="0" w:hanging="420"/>
        <w:jc w:val="left"/>
      </w:pPr>
      <w:r>
        <w:rPr/>
        <w:t>将修改条款后的金融负债确认为一项新金融负债。 </w:t>
      </w:r>
      <w:r>
        <w:rPr>
          <w:spacing w:val="-1"/>
        </w:rPr>
        <w:t>金融负债全部或部分终止确认时，终止确认的金融负债账面价值与支付对价（包括转出的非现金资产</w:t>
      </w:r>
    </w:p>
    <w:p>
      <w:pPr>
        <w:pStyle w:val="Heading6"/>
        <w:spacing w:line="273" w:lineRule="auto"/>
        <w:ind w:left="573" w:right="0" w:hanging="420"/>
        <w:jc w:val="left"/>
      </w:pPr>
      <w:r>
        <w:rPr/>
        <w:t>或承担的新金融负债）之间的差额，计入当期损益。 </w:t>
      </w:r>
      <w:r>
        <w:rPr>
          <w:spacing w:val="-1"/>
        </w:rPr>
        <w:t>本公司若回购部分金融负债的，在回购日按照继续确认部分与终止确认部分的相对公允价值，将该金</w:t>
      </w:r>
    </w:p>
    <w:p>
      <w:pPr>
        <w:pStyle w:val="Heading6"/>
        <w:spacing w:line="273" w:lineRule="auto" w:before="8"/>
        <w:ind w:right="0"/>
        <w:jc w:val="left"/>
      </w:pP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56" w:lineRule="auto" w:before="7"/>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本公司采用公允价值计量的金融资产和金融负债存在活跃市场的金融资产或金融负债，以活跃市场的</w:t>
      </w:r>
    </w:p>
    <w:p>
      <w:pPr>
        <w:pStyle w:val="Heading6"/>
        <w:spacing w:line="273" w:lineRule="auto" w:before="22"/>
        <w:ind w:right="1131"/>
        <w:jc w:val="both"/>
      </w:pPr>
      <w:r>
        <w:rPr>
          <w:spacing w:val="-1"/>
        </w:rPr>
        <w:t>报价确定其公允价值；不存在活跃市场的金融资产或金融负债，采用估值技术（包括参考熟悉情况并自愿</w:t>
      </w:r>
      <w:r>
        <w:rPr>
          <w:spacing w:val="-83"/>
        </w:rPr>
        <w:t> </w:t>
      </w:r>
      <w:r>
        <w:rPr>
          <w:spacing w:val="-83"/>
        </w:rPr>
      </w:r>
      <w:r>
        <w:rPr>
          <w:spacing w:val="-1"/>
        </w:rPr>
        <w:t>交易的各方最近进行的市场交易中使用的价格、参照实质上相同的其他金融工具的当前公允价值、现金流</w:t>
      </w:r>
      <w:r>
        <w:rPr>
          <w:spacing w:val="-81"/>
        </w:rPr>
        <w:t> </w:t>
      </w:r>
      <w:r>
        <w:rPr>
          <w:spacing w:val="-81"/>
        </w:rPr>
      </w:r>
      <w:r>
        <w:rPr>
          <w:spacing w:val="-1"/>
        </w:rPr>
        <w:t>量折现法和期权定价模型等）确定其公允价值；初始取得或衍生的金融资产或承担的金融负债，以市场交</w:t>
      </w:r>
      <w:r>
        <w:rPr>
          <w:spacing w:val="-83"/>
        </w:rPr>
        <w:t> </w:t>
      </w:r>
      <w:r>
        <w:rPr>
          <w:spacing w:val="-83"/>
        </w:rPr>
      </w:r>
      <w:r>
        <w:rPr/>
        <w:t>易价格作为确定其公允价值的基础。</w:t>
      </w:r>
    </w:p>
    <w:p>
      <w:pPr>
        <w:spacing w:line="256" w:lineRule="auto" w:before="7"/>
        <w:ind w:left="574" w:right="130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z w:val="21"/>
          <w:szCs w:val="21"/>
        </w:rPr>
        <w:t>资产负债表日对以公允价值计量且其变动计入当期损益的金融资产以外的金融资产的账面价值进行</w:t>
      </w:r>
    </w:p>
    <w:p>
      <w:pPr>
        <w:pStyle w:val="Heading6"/>
        <w:spacing w:line="273" w:lineRule="auto" w:before="22"/>
        <w:ind w:left="573" w:right="4663" w:hanging="420"/>
        <w:jc w:val="left"/>
      </w:pPr>
      <w:r>
        <w:rPr/>
        <w:t>检查，如有客观证据表明该金融资产发生减值的，计提减值准备。 金融资产发生减值的客观证据，包括但不限于：</w:t>
      </w:r>
    </w:p>
    <w:p>
      <w:pPr>
        <w:pStyle w:val="Heading6"/>
        <w:spacing w:line="240" w:lineRule="auto"/>
        <w:ind w:left="154" w:right="0"/>
        <w:jc w:val="left"/>
      </w:pPr>
      <w:r>
        <w:rPr/>
        <w:t>（</w:t>
      </w:r>
      <w:r>
        <w:rPr>
          <w:rFonts w:ascii="Times New Roman" w:hAnsi="Times New Roman" w:cs="Times New Roman" w:eastAsia="Times New Roman" w:hint="default"/>
        </w:rPr>
        <w:t>1</w:t>
      </w:r>
      <w:r>
        <w:rPr/>
        <w:t>）发行方或债务人发生严重财务困难；</w:t>
      </w:r>
    </w:p>
    <w:p>
      <w:pPr>
        <w:pStyle w:val="Heading6"/>
        <w:spacing w:line="240" w:lineRule="auto" w:before="21"/>
        <w:ind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Heading6"/>
        <w:spacing w:line="240" w:lineRule="auto" w:before="21"/>
        <w:ind w:left="154"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Heading6"/>
        <w:spacing w:line="240" w:lineRule="auto" w:before="21"/>
        <w:ind w:left="154" w:right="0"/>
        <w:jc w:val="left"/>
      </w:pPr>
      <w:r>
        <w:rPr/>
        <w:t>（</w:t>
      </w:r>
      <w:r>
        <w:rPr>
          <w:rFonts w:ascii="Times New Roman" w:hAnsi="Times New Roman" w:cs="Times New Roman" w:eastAsia="Times New Roman" w:hint="default"/>
        </w:rPr>
        <w:t>4</w:t>
      </w:r>
      <w:r>
        <w:rPr/>
        <w:t>）债务人很可能倒闭或进行其他财务重组；</w:t>
      </w:r>
    </w:p>
    <w:p>
      <w:pPr>
        <w:pStyle w:val="Heading6"/>
        <w:spacing w:line="240" w:lineRule="auto" w:before="21"/>
        <w:ind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Heading6"/>
        <w:spacing w:line="268" w:lineRule="auto" w:before="21"/>
        <w:ind w:left="154" w:right="0"/>
        <w:jc w:val="left"/>
      </w:pPr>
      <w:r>
        <w:rPr/>
        <w:t>（</w:t>
      </w:r>
      <w:r>
        <w:rPr>
          <w:rFonts w:ascii="Times New Roman" w:hAnsi="Times New Roman" w:cs="Times New Roman" w:eastAsia="Times New Roman" w:hint="default"/>
        </w:rPr>
        <w:t>6</w:t>
      </w:r>
      <w:r>
        <w:rPr/>
        <w:t>）无法辨认一组金融资产中的某项资产的现金流量是否已经减少，但根据公开的数据对其进行总体评 </w:t>
      </w:r>
      <w:r>
        <w:rPr>
          <w:spacing w:val="-1"/>
        </w:rPr>
        <w:t>价后发现，该组金融资产自初始确认以来的预计未来现金流量确已减少且可计量，如该组金融资产的债务</w:t>
      </w:r>
      <w:r>
        <w:rPr>
          <w:spacing w:val="-81"/>
        </w:rPr>
        <w:t> </w:t>
      </w:r>
      <w:r>
        <w:rPr>
          <w:spacing w:val="-81"/>
        </w:rPr>
      </w:r>
      <w:r>
        <w:rPr>
          <w:spacing w:val="-1"/>
        </w:rPr>
        <w:t>人支付能力逐步恶化，或债务人所在国家或地区失业率提高、担保物在其所在地区的价格明显下降、所处</w:t>
      </w:r>
      <w:r>
        <w:rPr>
          <w:spacing w:val="-83"/>
        </w:rPr>
        <w:t> </w:t>
      </w:r>
      <w:r>
        <w:rPr>
          <w:spacing w:val="-83"/>
        </w:rPr>
      </w:r>
      <w:r>
        <w:rPr/>
        <w:t>行业不景气等；</w:t>
      </w:r>
    </w:p>
    <w:p>
      <w:pPr>
        <w:pStyle w:val="Heading6"/>
        <w:spacing w:line="256" w:lineRule="auto" w:before="12"/>
        <w:ind w:left="154" w:right="1197"/>
        <w:jc w:val="left"/>
      </w:pPr>
      <w:r>
        <w:rPr/>
        <w:t>（</w:t>
      </w:r>
      <w:r>
        <w:rPr>
          <w:rFonts w:ascii="Times New Roman" w:hAnsi="Times New Roman" w:cs="Times New Roman" w:eastAsia="Times New Roman" w:hint="default"/>
        </w:rPr>
        <w:t>7</w:t>
      </w:r>
      <w:r>
        <w:rPr/>
        <w:t>）权益工具发行方经营所处的技术、市场、经济或法律环境等发生重大不利变化，使权益工具投资人 可能无法收回投资成本；</w:t>
      </w:r>
    </w:p>
    <w:p>
      <w:pPr>
        <w:pStyle w:val="Heading6"/>
        <w:spacing w:line="256" w:lineRule="auto" w:before="22"/>
        <w:ind w:left="573" w:right="5398" w:hanging="420"/>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Heading6"/>
        <w:spacing w:line="256" w:lineRule="auto" w:before="22"/>
        <w:ind w:left="573" w:right="0"/>
        <w:jc w:val="left"/>
      </w:pPr>
      <w:r>
        <w:rPr/>
        <w:t>（</w:t>
      </w:r>
      <w:r>
        <w:rPr>
          <w:rFonts w:ascii="Times New Roman" w:hAnsi="Times New Roman" w:cs="Times New Roman" w:eastAsia="Times New Roman" w:hint="default"/>
        </w:rPr>
        <w:t>1</w:t>
      </w:r>
      <w:r>
        <w:rPr/>
        <w:t>）可供出售金融资产的减值准备 </w:t>
      </w:r>
      <w:r>
        <w:rPr>
          <w:spacing w:val="-1"/>
        </w:rPr>
        <w:t>本公司于资产负债表日对各项可供出售金融资产采用个别认定的方式评估减值损失，其中：表明可供</w:t>
      </w:r>
    </w:p>
    <w:p>
      <w:pPr>
        <w:pStyle w:val="Heading6"/>
        <w:spacing w:line="264" w:lineRule="auto" w:before="22"/>
        <w:ind w:right="1132"/>
        <w:jc w:val="both"/>
      </w:pPr>
      <w:r>
        <w:rPr>
          <w:spacing w:val="-1"/>
        </w:rPr>
        <w:t>出售权益工具投资发生减值的客观证据包括权益工具投资的公允价值发生严重或非暂时性下跌，具体量化</w:t>
      </w:r>
      <w:r>
        <w:rPr>
          <w:spacing w:val="-81"/>
        </w:rPr>
        <w:t> </w:t>
      </w:r>
      <w:r>
        <w:rPr>
          <w:spacing w:val="-81"/>
        </w:rPr>
      </w:r>
      <w:r>
        <w:rPr/>
        <w:t>标准为：若该权益工具投资于资产负债表日的公允价值低于其成本超过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 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个月）的，则表明其发生减值。</w:t>
      </w:r>
    </w:p>
    <w:p>
      <w:pPr>
        <w:pStyle w:val="Heading6"/>
        <w:spacing w:line="261" w:lineRule="auto" w:before="0"/>
        <w:ind w:left="154" w:right="1131" w:firstLine="420"/>
        <w:jc w:val="both"/>
      </w:pPr>
      <w:r>
        <w:rPr/>
        <w:t>上段所述</w:t>
      </w:r>
      <w:r>
        <w:rPr>
          <w:rFonts w:ascii="Times New Roman" w:hAnsi="Times New Roman" w:cs="Times New Roman" w:eastAsia="Times New Roman" w:hint="default"/>
        </w:rPr>
        <w:t>“</w:t>
      </w:r>
      <w:r>
        <w:rPr/>
        <w:t>成本</w:t>
      </w:r>
      <w:r>
        <w:rPr>
          <w:rFonts w:ascii="Times New Roman" w:hAnsi="Times New Roman" w:cs="Times New Roman" w:eastAsia="Times New Roman" w:hint="default"/>
        </w:rPr>
        <w:t>”</w:t>
      </w:r>
      <w:r>
        <w:rPr/>
        <w:t>按照可供出售权益工具投资的初始取得成本扣除已收回本金和已摊销金额、原已计入 损益的减值损失确定；</w:t>
      </w:r>
      <w:r>
        <w:rPr>
          <w:rFonts w:ascii="Times New Roman" w:hAnsi="Times New Roman" w:cs="Times New Roman" w:eastAsia="Times New Roman" w:hint="default"/>
        </w:rPr>
        <w:t>“</w:t>
      </w:r>
      <w:r>
        <w:rPr/>
        <w:t>公允价值</w:t>
      </w:r>
      <w:r>
        <w:rPr>
          <w:rFonts w:ascii="Times New Roman" w:hAnsi="Times New Roman" w:cs="Times New Roman" w:eastAsia="Times New Roman" w:hint="default"/>
        </w:rPr>
        <w:t>”</w:t>
      </w:r>
      <w:r>
        <w:rPr/>
        <w:t>根据证券交易所期末收盘价确定，除非该项可供出售权益工具投资存在 </w:t>
      </w:r>
      <w:r>
        <w:rPr>
          <w:spacing w:val="-1"/>
        </w:rPr>
        <w:t>限售期。对于存在限售期的可供出售权益工具投资，按照证券交易所期末收盘价扣除市场参与者因承担指</w:t>
      </w:r>
      <w:r>
        <w:rPr>
          <w:spacing w:val="-81"/>
        </w:rPr>
        <w:t> </w:t>
      </w:r>
      <w:r>
        <w:rPr>
          <w:spacing w:val="-81"/>
        </w:rPr>
      </w:r>
      <w:r>
        <w:rPr/>
        <w:t>定期间内无法在公开市场上出售该权益工具的风险而要求获得的补偿金额后确定。</w:t>
      </w:r>
    </w:p>
    <w:p>
      <w:pPr>
        <w:pStyle w:val="Heading6"/>
        <w:spacing w:line="273" w:lineRule="auto" w:before="18"/>
        <w:ind w:right="1131" w:firstLine="420"/>
        <w:jc w:val="both"/>
      </w:pPr>
      <w:r>
        <w:rPr>
          <w:spacing w:val="-1"/>
        </w:rPr>
        <w:t>可供出售金融资产发生减值时，即使该金融资产没有终止确认，本公司将原直接计入其他综合收益的</w:t>
      </w:r>
      <w:r>
        <w:rPr/>
        <w:t> </w:t>
      </w:r>
      <w:r>
        <w:rPr>
          <w:spacing w:val="-1"/>
        </w:rPr>
        <w:t>因公允价值下降形成的累计损失从其他综合收益转出，计入当期损益。该转出的累计损失，等于可供出售</w:t>
      </w:r>
      <w:r>
        <w:rPr>
          <w:spacing w:val="-83"/>
        </w:rPr>
        <w:t> </w:t>
      </w:r>
      <w:r>
        <w:rPr>
          <w:spacing w:val="-83"/>
        </w:rPr>
      </w:r>
      <w:r>
        <w:rPr>
          <w:spacing w:val="-1"/>
        </w:rPr>
        <w:t>金融资产的初始取得成本扣除已收回本金和已摊余金额、当前公允价值和原已计入损益的减值损失后的余</w:t>
      </w:r>
      <w:r>
        <w:rPr>
          <w:spacing w:val="-81"/>
        </w:rPr>
        <w:t> </w:t>
      </w:r>
      <w:r>
        <w:rPr>
          <w:spacing w:val="-81"/>
        </w:rPr>
      </w:r>
      <w:r>
        <w:rPr/>
        <w:t>额。</w:t>
      </w:r>
    </w:p>
    <w:p>
      <w:pPr>
        <w:pStyle w:val="Heading6"/>
        <w:spacing w:line="273" w:lineRule="auto"/>
        <w:ind w:left="154" w:right="1130" w:firstLine="420"/>
        <w:jc w:val="both"/>
      </w:pPr>
      <w:r>
        <w:rPr>
          <w:spacing w:val="-1"/>
        </w:rPr>
        <w:t>对于已确认减值损失的可供出售债务工具，在随后的会计期间公允价值已上升且客观上与确认原减值</w:t>
      </w:r>
      <w:r>
        <w:rPr/>
        <w:t> </w:t>
      </w:r>
      <w:r>
        <w:rPr>
          <w:spacing w:val="-1"/>
        </w:rPr>
        <w:t>损失后发生的事项有关的，原确认的减值损失予以转回计入当期损益；对于可供出售权益工具投资发生的</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1131"/>
        <w:jc w:val="both"/>
      </w:pPr>
      <w:r>
        <w:rPr>
          <w:spacing w:val="-1"/>
        </w:rPr>
        <w:t>减值损失，在该权益工具价值回升时通过权益转回；但在活跃市场中没有报价且其公允价值不能可靠计量</w:t>
      </w:r>
      <w:r>
        <w:rPr>
          <w:spacing w:val="-81"/>
        </w:rPr>
        <w:t> </w:t>
      </w:r>
      <w:r>
        <w:rPr>
          <w:spacing w:val="-81"/>
        </w:rPr>
      </w:r>
      <w:r>
        <w:rPr>
          <w:spacing w:val="-1"/>
        </w:rPr>
        <w:t>的权益工具投资，或与该权益工具挂钩并须通过交付该权益工具结算的衍生金融资产发生的减值损失，不</w:t>
      </w:r>
      <w:r>
        <w:rPr>
          <w:spacing w:val="-81"/>
        </w:rPr>
        <w:t> </w:t>
      </w:r>
      <w:r>
        <w:rPr>
          <w:spacing w:val="-81"/>
        </w:rPr>
      </w:r>
      <w:r>
        <w:rPr/>
        <w:t>得转回。</w:t>
      </w:r>
    </w:p>
    <w:p>
      <w:pPr>
        <w:pStyle w:val="Heading6"/>
        <w:spacing w:line="256" w:lineRule="auto"/>
        <w:ind w:left="573" w:right="0"/>
        <w:jc w:val="left"/>
      </w:pPr>
      <w:r>
        <w:rPr/>
        <w:t>（</w:t>
      </w:r>
      <w:r>
        <w:rPr>
          <w:rFonts w:ascii="Times New Roman" w:hAnsi="Times New Roman" w:cs="Times New Roman" w:eastAsia="Times New Roman" w:hint="default"/>
        </w:rPr>
        <w:t>2</w:t>
      </w:r>
      <w:r>
        <w:rPr/>
        <w:t>）持有至到期投资的减值准备 </w:t>
      </w:r>
      <w:r>
        <w:rPr>
          <w:spacing w:val="-1"/>
        </w:rPr>
        <w:t>对于持有至到期投资，有客观证据表明其发生了减值的，根据其账面价值与预计未来现金流量现值之</w:t>
      </w:r>
    </w:p>
    <w:p>
      <w:pPr>
        <w:pStyle w:val="Heading6"/>
        <w:spacing w:line="273" w:lineRule="auto" w:before="22"/>
        <w:ind w:right="0"/>
        <w:jc w:val="left"/>
        <w:rPr>
          <w:rFonts w:ascii="宋体" w:hAnsi="宋体" w:cs="宋体" w:eastAsia="宋体" w:hint="default"/>
        </w:rPr>
      </w:pPr>
      <w:r>
        <w:rPr>
          <w:spacing w:val="-1"/>
        </w:rPr>
        <w:t>间差额计算确认减值损失；计提后如有证据表明其价值已恢复，原确认的减值损失可予以转回，记入当期</w:t>
      </w:r>
      <w:r>
        <w:rPr>
          <w:spacing w:val="-83"/>
        </w:rPr>
        <w:t> </w:t>
      </w:r>
      <w:r>
        <w:rPr>
          <w:spacing w:val="-83"/>
        </w:rPr>
      </w:r>
      <w:r>
        <w:rPr/>
        <w:t>损益，但该转回的账面价值不超过假定不计提减值准备情况下该金融资产在转回日的摊余成本。 </w:t>
      </w:r>
      <w:r>
        <w:rPr>
          <w:rFonts w:ascii="Times New Roman" w:hAnsi="Times New Roman" w:cs="Times New Roman" w:eastAsia="Times New Roman" w:hint="default"/>
          <w:b/>
          <w:bCs/>
        </w:rPr>
        <w:t>7</w:t>
      </w:r>
      <w:r>
        <w:rPr>
          <w:rFonts w:ascii="宋体" w:hAnsi="宋体" w:cs="宋体" w:eastAsia="宋体" w:hint="default"/>
          <w:b/>
          <w:bCs/>
        </w:rPr>
        <w:t>、金融资产及金融负债的抵销</w:t>
      </w:r>
      <w:r>
        <w:rPr>
          <w:rFonts w:ascii="宋体" w:hAnsi="宋体" w:cs="宋体" w:eastAsia="宋体" w:hint="default"/>
        </w:rPr>
      </w:r>
    </w:p>
    <w:p>
      <w:pPr>
        <w:pStyle w:val="Heading6"/>
        <w:spacing w:line="273" w:lineRule="auto" w:before="0"/>
        <w:ind w:right="0" w:firstLine="420"/>
        <w:jc w:val="left"/>
      </w:pPr>
      <w:r>
        <w:rPr>
          <w:spacing w:val="-1"/>
        </w:rPr>
        <w:t>金融资产和金融负债在资产负债表内分别列示，没有相互抵销。但是，同时满足下列条件的，以相互</w:t>
      </w:r>
      <w:r>
        <w:rPr/>
        <w:t> 抵销后的净额在资产负债表内列示：</w:t>
      </w:r>
    </w:p>
    <w:p>
      <w:pPr>
        <w:pStyle w:val="Heading6"/>
        <w:spacing w:line="240" w:lineRule="auto"/>
        <w:ind w:left="573"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Heading6"/>
        <w:spacing w:line="240" w:lineRule="auto" w:before="21"/>
        <w:ind w:left="574"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left="154" w:right="0"/>
        <w:jc w:val="left"/>
        <w:rPr>
          <w:b w:val="0"/>
          <w:bCs w:val="0"/>
        </w:rPr>
      </w:pPr>
      <w:bookmarkStart w:name="10、应收款项" w:id="165"/>
      <w:bookmarkEnd w:id="165"/>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单项金额重大并单独计提坏账准备的应收款项" w:id="166"/>
      <w:bookmarkEnd w:id="16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2）按信用风险特征组合计提坏账准备的应收款项" w:id="167"/>
      <w:bookmarkEnd w:id="16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单项金额上重大但单独计提坏账准备的应收款项" w:id="168"/>
      <w:bookmarkEnd w:id="16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11、存货" w:id="169"/>
      <w:bookmarkEnd w:id="169"/>
      <w:r>
        <w:rPr>
          <w:b w:val="0"/>
          <w:bCs w:val="0"/>
        </w:rPr>
      </w: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54" w:right="0"/>
        <w:jc w:val="left"/>
        <w:rPr>
          <w:b w:val="0"/>
          <w:bCs w:val="0"/>
        </w:rPr>
      </w:pPr>
      <w:r>
        <w:rPr>
          <w:rFonts w:ascii="宋体" w:hAnsi="宋体" w:cs="宋体" w:eastAsia="宋体" w:hint="default"/>
        </w:rPr>
        <w:t>1.</w:t>
      </w:r>
      <w:r>
        <w:rPr>
          <w:rFonts w:ascii="宋体" w:hAnsi="宋体" w:cs="宋体" w:eastAsia="宋体" w:hint="default"/>
          <w:spacing w:val="40"/>
        </w:rPr>
        <w:t> </w:t>
      </w:r>
      <w:r>
        <w:rPr/>
        <w:t>存货的分类</w:t>
      </w:r>
      <w:r>
        <w:rPr>
          <w:b w:val="0"/>
          <w:bCs w:val="0"/>
        </w:rPr>
      </w:r>
    </w:p>
    <w:p>
      <w:pPr>
        <w:pStyle w:val="Heading6"/>
        <w:spacing w:line="273" w:lineRule="auto" w:before="37"/>
        <w:ind w:left="514" w:right="1169" w:firstLine="420"/>
        <w:jc w:val="both"/>
      </w:pPr>
      <w:r>
        <w:rPr/>
        <w:t>存货是指本公司在日常活动中持有以备出售的产成品或商品、处在生产过程中的在产品、在生产 过程或提供劳务过程中耗用的材料和物料等。主要包括原材料、周转材料、委托加工材料、在产品、 自制半成品、产成品（库存商品）、发出商品等。</w:t>
      </w:r>
    </w:p>
    <w:p>
      <w:pPr>
        <w:pStyle w:val="Heading5"/>
        <w:spacing w:line="240" w:lineRule="auto" w:before="7"/>
        <w:ind w:left="154" w:right="0"/>
        <w:jc w:val="left"/>
        <w:rPr>
          <w:b w:val="0"/>
          <w:bCs w:val="0"/>
        </w:rPr>
      </w:pPr>
      <w:r>
        <w:rPr>
          <w:rFonts w:ascii="宋体" w:hAnsi="宋体" w:cs="宋体" w:eastAsia="宋体" w:hint="default"/>
        </w:rPr>
        <w:t>1.</w:t>
      </w:r>
      <w:r>
        <w:rPr>
          <w:rFonts w:ascii="宋体" w:hAnsi="宋体" w:cs="宋体" w:eastAsia="宋体" w:hint="default"/>
          <w:spacing w:val="39"/>
        </w:rPr>
        <w:t> </w:t>
      </w:r>
      <w:r>
        <w:rPr/>
        <w:t>存货的计价方法</w:t>
      </w:r>
      <w:r>
        <w:rPr>
          <w:b w:val="0"/>
          <w:bCs w:val="0"/>
        </w:rPr>
      </w:r>
    </w:p>
    <w:p>
      <w:pPr>
        <w:pStyle w:val="Heading6"/>
        <w:spacing w:line="273" w:lineRule="auto" w:before="37"/>
        <w:ind w:left="514" w:right="1171" w:firstLine="420"/>
        <w:jc w:val="both"/>
      </w:pPr>
      <w:r>
        <w:rPr/>
        <w:t>存货在取得时，按成本进行初始计量，包括采购成本、加工成本和其他成本。存货发出时按月末 一次加权平均法计价。</w:t>
      </w:r>
    </w:p>
    <w:p>
      <w:pPr>
        <w:spacing w:line="273" w:lineRule="auto" w:before="7"/>
        <w:ind w:left="934" w:right="0"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2"/>
          <w:sz w:val="21"/>
          <w:szCs w:val="21"/>
        </w:rPr>
        <w:t>期末对存货进行全面清查后，按存货的成本与可变现净值孰低提取或调整存货跌价准备。产成品、</w:t>
      </w:r>
    </w:p>
    <w:p>
      <w:pPr>
        <w:pStyle w:val="Heading6"/>
        <w:spacing w:line="273" w:lineRule="auto"/>
        <w:ind w:left="514" w:right="1169"/>
        <w:jc w:val="both"/>
      </w:pPr>
      <w:r>
        <w:rPr/>
        <w:t>库存商品和用于出售的材料等直接用于出售的商品存货，在正常生产经营过程中，以该存货的估计售 价减去估计的销售费用和相关税费后的金额，确定其可变现净值；需要经过加工的材料存货，在正常 生产经营过程中，以所生产的产成品的估计售价减去至完工时估计将要发生的成本、估计的销售费用 和相关税费后的金额，确定其可变现净值；为执行销售合同或者劳务合同而持有的存货，其可变现净 值以合同价格为基础计算，若持有存货的数量多于销售合同订购数量的，超出部分的存货的可变现净 值以一般销售价格为基础计算。</w:t>
      </w:r>
    </w:p>
    <w:p>
      <w:pPr>
        <w:pStyle w:val="Heading6"/>
        <w:spacing w:line="273" w:lineRule="auto"/>
        <w:ind w:left="514" w:right="1169" w:firstLine="420"/>
        <w:jc w:val="both"/>
      </w:pPr>
      <w:r>
        <w:rPr/>
        <w:t>期末按照单个存货项目计提存货跌价准备；但对于数量繁多、单价较低的存货，按照存货类别计 提存货跌价准备；与在同一地区生产和销售的产品系列相关、具有相同或类似最终用途或目的，且难 以与其他项目分开计量的存货，则合并计提存货跌价准备。</w:t>
      </w:r>
    </w:p>
    <w:p>
      <w:pPr>
        <w:pStyle w:val="Heading6"/>
        <w:spacing w:line="273" w:lineRule="auto"/>
        <w:ind w:left="514" w:right="1171" w:firstLine="420"/>
        <w:jc w:val="both"/>
      </w:pPr>
      <w:r>
        <w:rPr/>
        <w:t>以前减记存货价值的影响因素已经消失的，减记的金额予以恢复，并在原已计提的存货跌价准备 金额内转回，转回的金额计入当期损益。</w:t>
      </w:r>
    </w:p>
    <w:p>
      <w:pPr>
        <w:pStyle w:val="Heading5"/>
        <w:spacing w:line="240" w:lineRule="auto" w:before="7"/>
        <w:ind w:left="154" w:right="0"/>
        <w:jc w:val="left"/>
        <w:rPr>
          <w:b w:val="0"/>
          <w:bCs w:val="0"/>
        </w:rPr>
      </w:pPr>
      <w:r>
        <w:rPr>
          <w:rFonts w:ascii="宋体" w:hAnsi="宋体" w:cs="宋体" w:eastAsia="宋体" w:hint="default"/>
        </w:rPr>
        <w:t>1.</w:t>
      </w:r>
      <w:r>
        <w:rPr>
          <w:rFonts w:ascii="宋体" w:hAnsi="宋体" w:cs="宋体" w:eastAsia="宋体" w:hint="default"/>
          <w:spacing w:val="39"/>
        </w:rPr>
        <w:t> </w:t>
      </w:r>
      <w:r>
        <w:rPr/>
        <w:t>存货的盘存制度</w:t>
      </w:r>
      <w:r>
        <w:rPr>
          <w:b w:val="0"/>
          <w:bCs w:val="0"/>
        </w:rPr>
      </w:r>
    </w:p>
    <w:p>
      <w:pPr>
        <w:pStyle w:val="Heading6"/>
        <w:spacing w:line="240" w:lineRule="auto" w:before="37"/>
        <w:ind w:left="934" w:right="0"/>
        <w:jc w:val="left"/>
      </w:pPr>
      <w:r>
        <w:rPr/>
        <w:t>采用永续盘存制。</w:t>
      </w:r>
    </w:p>
    <w:p>
      <w:pPr>
        <w:pStyle w:val="Heading5"/>
        <w:spacing w:line="240" w:lineRule="auto" w:before="37"/>
        <w:ind w:left="154" w:right="0"/>
        <w:jc w:val="left"/>
        <w:rPr>
          <w:b w:val="0"/>
          <w:bCs w:val="0"/>
        </w:rPr>
      </w:pPr>
      <w:r>
        <w:rPr>
          <w:rFonts w:ascii="宋体" w:hAnsi="宋体" w:cs="宋体" w:eastAsia="宋体" w:hint="default"/>
        </w:rPr>
        <w:t>1.</w:t>
      </w:r>
      <w:r>
        <w:rPr>
          <w:rFonts w:ascii="宋体" w:hAnsi="宋体" w:cs="宋体" w:eastAsia="宋体" w:hint="default"/>
          <w:spacing w:val="38"/>
        </w:rPr>
        <w:t> </w:t>
      </w:r>
      <w:r>
        <w:rPr/>
        <w:t>低值易耗品和包装物的摊销方法</w:t>
      </w:r>
      <w:r>
        <w:rPr>
          <w:b w:val="0"/>
          <w:bCs w:val="0"/>
        </w:rPr>
      </w:r>
    </w:p>
    <w:p>
      <w:pPr>
        <w:pStyle w:val="Heading6"/>
        <w:spacing w:line="240" w:lineRule="auto" w:before="37"/>
        <w:ind w:right="0"/>
        <w:jc w:val="left"/>
      </w:pPr>
      <w:r>
        <w:rPr>
          <w:rFonts w:ascii="Times New Roman" w:hAnsi="Times New Roman" w:cs="Times New Roman" w:eastAsia="Times New Roman" w:hint="default"/>
        </w:rPr>
        <w:t>1</w:t>
      </w:r>
      <w:r>
        <w:rPr/>
        <w:t>）低值易耗品采用一次转销法；</w:t>
      </w:r>
    </w:p>
    <w:p>
      <w:pPr>
        <w:pStyle w:val="Heading6"/>
        <w:spacing w:line="240" w:lineRule="auto" w:before="21"/>
        <w:ind w:right="0"/>
        <w:jc w:val="left"/>
      </w:pPr>
      <w:r>
        <w:rPr>
          <w:rFonts w:ascii="Times New Roman" w:hAnsi="Times New Roman" w:cs="Times New Roman" w:eastAsia="Times New Roman" w:hint="default"/>
        </w:rPr>
        <w:t>2</w:t>
      </w:r>
      <w:r>
        <w:rPr/>
        <w:t>）包装物采用一次转销法。</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12、长期股权投资" w:id="170"/>
      <w:bookmarkEnd w:id="170"/>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r>
        <w:rPr>
          <w:rFonts w:ascii="Times New Roman" w:hAnsi="Times New Roman" w:cs="Times New Roman" w:eastAsia="Times New Roman" w:hint="default"/>
        </w:rPr>
        <w:t>1</w:t>
      </w:r>
      <w:r>
        <w:rPr/>
        <w:t>、投资成本的确定</w:t>
      </w:r>
      <w:r>
        <w:rPr>
          <w:b w:val="0"/>
          <w:bCs w:val="0"/>
        </w:rPr>
      </w:r>
    </w:p>
    <w:p>
      <w:pPr>
        <w:pStyle w:val="Heading6"/>
        <w:spacing w:line="256" w:lineRule="auto" w:before="20"/>
        <w:ind w:right="0" w:firstLine="420"/>
        <w:jc w:val="left"/>
      </w:pPr>
      <w:r>
        <w:rPr>
          <w:spacing w:val="-1"/>
        </w:rPr>
        <w:t>（</w:t>
      </w:r>
      <w:r>
        <w:rPr>
          <w:rFonts w:ascii="Times New Roman" w:hAnsi="Times New Roman" w:cs="Times New Roman" w:eastAsia="Times New Roman" w:hint="default"/>
          <w:spacing w:val="-1"/>
        </w:rPr>
        <w:t>1</w:t>
      </w:r>
      <w:r>
        <w:rPr>
          <w:spacing w:val="-1"/>
        </w:rPr>
        <w:t>）企业合并形成的长期股权投资，具体会计政策详见第十一节、五、</w:t>
      </w:r>
      <w:r>
        <w:rPr>
          <w:rFonts w:ascii="宋体" w:hAnsi="宋体" w:cs="宋体" w:eastAsia="宋体" w:hint="default"/>
          <w:spacing w:val="-1"/>
        </w:rPr>
        <w:t>4</w:t>
      </w:r>
      <w:r>
        <w:rPr>
          <w:spacing w:val="-1"/>
        </w:rPr>
        <w:t>、同一控制下和非同一控制</w:t>
      </w:r>
      <w:r>
        <w:rPr/>
        <w:t> 下企业合并的会计处理方法</w:t>
      </w:r>
    </w:p>
    <w:p>
      <w:pPr>
        <w:pStyle w:val="Heading6"/>
        <w:spacing w:line="256" w:lineRule="auto" w:before="23"/>
        <w:ind w:left="573" w:right="1131"/>
        <w:jc w:val="both"/>
      </w:pPr>
      <w:r>
        <w:rPr/>
        <w:t>（</w:t>
      </w:r>
      <w:r>
        <w:rPr>
          <w:rFonts w:ascii="Times New Roman" w:hAnsi="Times New Roman" w:cs="Times New Roman" w:eastAsia="Times New Roman" w:hint="default"/>
        </w:rPr>
        <w:t>2</w:t>
      </w:r>
      <w:r>
        <w:rPr/>
        <w:t>）其他方式取得的长期股权投资 </w:t>
      </w:r>
      <w:r>
        <w:rPr>
          <w:spacing w:val="-1"/>
        </w:rPr>
        <w:t>以支付现金方式取得的长期股权投资，按照实际支付的购买价款作为初始投资成本。初始投资成本包</w:t>
      </w:r>
    </w:p>
    <w:p>
      <w:pPr>
        <w:pStyle w:val="Heading6"/>
        <w:spacing w:line="273" w:lineRule="auto" w:before="22"/>
        <w:ind w:left="573" w:right="0" w:hanging="420"/>
        <w:jc w:val="left"/>
      </w:pPr>
      <w:r>
        <w:rPr/>
        <w:t>括与取得长期股权投资直接相关的费用、税金及其他必要支出。 </w:t>
      </w:r>
      <w:r>
        <w:rPr>
          <w:spacing w:val="-1"/>
        </w:rPr>
        <w:t>以发行权益性证券取得的长期股权投资，按照发行权益性证券的公允价值作为初始投资成本；发行或</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left="573" w:right="0" w:hanging="420"/>
        <w:jc w:val="left"/>
      </w:pPr>
      <w:r>
        <w:rPr/>
        <w:t>取得自身权益工具时发生的交易费用，可直接归属于权益性交易的从权益中扣减。 </w:t>
      </w:r>
      <w:r>
        <w:rPr>
          <w:spacing w:val="-1"/>
        </w:rPr>
        <w:t>在非货币性资产交换具备商业实质和换入资产或换出资产的公允价值能够可靠计量的前提下，非货币</w:t>
      </w:r>
    </w:p>
    <w:p>
      <w:pPr>
        <w:pStyle w:val="Heading6"/>
        <w:spacing w:line="273" w:lineRule="auto"/>
        <w:ind w:right="1130"/>
        <w:jc w:val="both"/>
      </w:pPr>
      <w:r>
        <w:rPr>
          <w:spacing w:val="-1"/>
        </w:rPr>
        <w:t>性资产交换换入的长期股权投资以换出资产的公允价值为基础确定其初始投资成本，除非有确凿证据表明</w:t>
      </w:r>
      <w:r>
        <w:rPr>
          <w:spacing w:val="-80"/>
        </w:rPr>
        <w:t> </w:t>
      </w:r>
      <w:r>
        <w:rPr>
          <w:spacing w:val="-80"/>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Heading6"/>
        <w:spacing w:line="240" w:lineRule="auto"/>
        <w:ind w:left="573" w:right="0"/>
        <w:jc w:val="left"/>
      </w:pPr>
      <w:r>
        <w:rPr/>
        <w:t>通过债务重组取得的长期股权投资，其初始投资成本按照公允价值为基础确定。</w:t>
      </w:r>
    </w:p>
    <w:p>
      <w:pPr>
        <w:pStyle w:val="Heading5"/>
        <w:spacing w:line="240" w:lineRule="auto" w:before="37"/>
        <w:ind w:right="0"/>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Heading6"/>
        <w:spacing w:line="256" w:lineRule="auto" w:before="21"/>
        <w:ind w:left="573" w:right="1118"/>
        <w:jc w:val="left"/>
      </w:pPr>
      <w:r>
        <w:rPr/>
        <w:t>（</w:t>
      </w:r>
      <w:r>
        <w:rPr>
          <w:rFonts w:ascii="Times New Roman" w:hAnsi="Times New Roman" w:cs="Times New Roman" w:eastAsia="Times New Roman" w:hint="default"/>
        </w:rPr>
        <w:t>1</w:t>
      </w:r>
      <w:r>
        <w:rPr/>
        <w:t>）成本法 </w:t>
      </w:r>
      <w:r>
        <w:rPr>
          <w:spacing w:val="-1"/>
        </w:rPr>
        <w:t>本公司能够对被投资单位实施控制的长期股权投资采用成本法核算，并按照初始投资成本计价，追加</w:t>
      </w:r>
    </w:p>
    <w:p>
      <w:pPr>
        <w:pStyle w:val="Heading6"/>
        <w:spacing w:line="273" w:lineRule="auto" w:before="22"/>
        <w:ind w:left="573" w:right="0" w:hanging="420"/>
        <w:jc w:val="left"/>
      </w:pPr>
      <w:r>
        <w:rPr/>
        <w:t>或收回投资调整长期股权投资的成本。 </w:t>
      </w:r>
      <w:r>
        <w:rPr>
          <w:spacing w:val="-1"/>
        </w:rPr>
        <w:t>除取得投资时实际支付的价款或对价中包含的已宣告但尚未发放的现金股利或利润外，本公司按照享</w:t>
      </w:r>
    </w:p>
    <w:p>
      <w:pPr>
        <w:pStyle w:val="Heading6"/>
        <w:spacing w:line="240" w:lineRule="auto"/>
        <w:ind w:right="0"/>
        <w:jc w:val="left"/>
      </w:pPr>
      <w:r>
        <w:rPr/>
        <w:t>有被投资单位宣告分派的现金股利或利润确认为当期投资收益。</w:t>
      </w:r>
    </w:p>
    <w:p>
      <w:pPr>
        <w:pStyle w:val="Heading6"/>
        <w:spacing w:line="256" w:lineRule="auto" w:before="37"/>
        <w:ind w:left="573" w:right="1093"/>
        <w:jc w:val="left"/>
      </w:pPr>
      <w:r>
        <w:rPr/>
        <w:t>（</w:t>
      </w:r>
      <w:r>
        <w:rPr>
          <w:rFonts w:ascii="Times New Roman" w:hAnsi="Times New Roman" w:cs="Times New Roman" w:eastAsia="Times New Roman" w:hint="default"/>
        </w:rPr>
        <w:t>2</w:t>
      </w:r>
      <w:r>
        <w:rPr/>
        <w:t>）权益法 本公司对联营企业和合营企业的长期股权投资采用权益法核算；对于其中一部分通过风险投资机构、</w:t>
      </w:r>
    </w:p>
    <w:p>
      <w:pPr>
        <w:pStyle w:val="Heading6"/>
        <w:spacing w:line="273" w:lineRule="auto" w:before="22"/>
        <w:ind w:right="0"/>
        <w:jc w:val="left"/>
      </w:pPr>
      <w:r>
        <w:rPr>
          <w:spacing w:val="-1"/>
        </w:rPr>
        <w:t>共同基金、信托公司或包括投连险基金在内的类似主体间接持有的联营企业的权益性投资，采用公允价值</w:t>
      </w:r>
      <w:r>
        <w:rPr>
          <w:spacing w:val="-81"/>
        </w:rPr>
        <w:t> </w:t>
      </w:r>
      <w:r>
        <w:rPr>
          <w:spacing w:val="-81"/>
        </w:rPr>
      </w:r>
      <w:r>
        <w:rPr/>
        <w:t>计量且其变动计入损益。</w:t>
      </w:r>
    </w:p>
    <w:p>
      <w:pPr>
        <w:pStyle w:val="Heading6"/>
        <w:spacing w:line="273" w:lineRule="auto"/>
        <w:ind w:right="1132" w:firstLine="420"/>
        <w:jc w:val="both"/>
      </w:pPr>
      <w:r>
        <w:rPr>
          <w:spacing w:val="-1"/>
        </w:rPr>
        <w:t>长期股权投资的初始投资成本大于投资时应享有被投资单位可辨认净资产公允价值份额的差额，不调</w:t>
      </w:r>
      <w:r>
        <w:rPr/>
        <w:t> </w:t>
      </w:r>
      <w:r>
        <w:rPr>
          <w:spacing w:val="-1"/>
        </w:rPr>
        <w:t>整长期股权投资的初始投资成本；初始投资成本小于投资时应享有被投资单位可辨认净资产公允价值份额</w:t>
      </w:r>
      <w:r>
        <w:rPr>
          <w:spacing w:val="-81"/>
        </w:rPr>
        <w:t> </w:t>
      </w:r>
      <w:r>
        <w:rPr>
          <w:spacing w:val="-81"/>
        </w:rPr>
      </w:r>
      <w:r>
        <w:rPr/>
        <w:t>的差额，计入当期损益。</w:t>
      </w:r>
    </w:p>
    <w:p>
      <w:pPr>
        <w:pStyle w:val="Heading6"/>
        <w:spacing w:line="273" w:lineRule="auto"/>
        <w:ind w:right="0" w:firstLine="420"/>
        <w:jc w:val="left"/>
      </w:pPr>
      <w:r>
        <w:rPr/>
        <w:t>本公司取得长期股权投资后，按照应享有或应分担的被投资单位实现的净损益和其他综合收益的份 </w:t>
      </w:r>
      <w:r>
        <w:rPr>
          <w:spacing w:val="-1"/>
        </w:rPr>
        <w:t>额，分别确认投资收益和其他综合收益，同时调整长期股权投资的账面价值；并按照被投资单位宣告分派</w:t>
      </w:r>
      <w:r>
        <w:rPr>
          <w:spacing w:val="-83"/>
        </w:rPr>
        <w:t> </w:t>
      </w:r>
      <w:r>
        <w:rPr>
          <w:spacing w:val="-83"/>
        </w:rPr>
      </w:r>
      <w:r>
        <w:rPr>
          <w:spacing w:val="-1"/>
        </w:rPr>
        <w:t>的利润或现金股利计算应享有的部分，相应减少长期股权投资的账面价值；对于被投资单位除净损益、其</w:t>
      </w:r>
      <w:r>
        <w:rPr>
          <w:spacing w:val="-83"/>
        </w:rPr>
        <w:t> </w:t>
      </w:r>
      <w:r>
        <w:rPr>
          <w:spacing w:val="-83"/>
        </w:rPr>
      </w:r>
      <w:r>
        <w:rPr/>
        <w:t>他综合收益和利润分配以外所有者权益的其他变动，调整长期股权投资的账面价值并计入所有者权益。</w:t>
      </w:r>
    </w:p>
    <w:p>
      <w:pPr>
        <w:pStyle w:val="Heading6"/>
        <w:spacing w:line="273" w:lineRule="auto"/>
        <w:ind w:right="1131" w:firstLine="420"/>
        <w:jc w:val="both"/>
      </w:pPr>
      <w:r>
        <w:rPr>
          <w:spacing w:val="-1"/>
        </w:rPr>
        <w:t>本公司在确认应享有被投资单位净损益的份额时，以取得投资时被投资单位各项可辨认资产等的公允</w:t>
      </w:r>
      <w:r>
        <w:rPr/>
        <w:t> </w:t>
      </w:r>
      <w:r>
        <w:rPr>
          <w:spacing w:val="-1"/>
        </w:rPr>
        <w:t>价值为基础，对被投资单位的净利润进行调整后确认。本公司与联营企业、合营企业之间发生的未实现内</w:t>
      </w:r>
      <w:r>
        <w:rPr>
          <w:spacing w:val="-83"/>
        </w:rPr>
        <w:t> </w:t>
      </w:r>
      <w:r>
        <w:rPr>
          <w:spacing w:val="-83"/>
        </w:rPr>
      </w:r>
      <w:r>
        <w:rPr/>
        <w:t>部交易损益按照应享有的比例计算归属于本公司的部分予以抵销，在此基础上确认投资损益。</w:t>
      </w:r>
    </w:p>
    <w:p>
      <w:pPr>
        <w:pStyle w:val="Heading6"/>
        <w:spacing w:line="273" w:lineRule="auto"/>
        <w:ind w:right="1131" w:firstLine="420"/>
        <w:jc w:val="both"/>
      </w:pPr>
      <w:r>
        <w:rPr>
          <w:spacing w:val="-1"/>
        </w:rPr>
        <w:t>本公司确认应分担被投资单位发生的亏损时，按照以下顺序进行处理：首先，冲减长期股权投资的账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Heading6"/>
        <w:spacing w:line="273" w:lineRule="auto"/>
        <w:ind w:right="1131" w:firstLine="420"/>
        <w:jc w:val="both"/>
      </w:pPr>
      <w:r>
        <w:rPr>
          <w:spacing w:val="-1"/>
        </w:rPr>
        <w:t>被投资单位以后期间实现盈利的，公司在扣除未确认的亏损分担额后，按与上述相反的顺序处理，减</w:t>
      </w:r>
      <w:r>
        <w:rPr/>
        <w:t> </w:t>
      </w:r>
      <w:r>
        <w:rPr>
          <w:spacing w:val="-1"/>
        </w:rPr>
        <w:t>记已确认预计负债的账面余额、恢复其他实质上构成对被投资单位净投资的长期权益及长期股权投资的账</w:t>
      </w:r>
      <w:r>
        <w:rPr>
          <w:spacing w:val="-81"/>
        </w:rPr>
        <w:t> </w:t>
      </w:r>
      <w:r>
        <w:rPr>
          <w:spacing w:val="-81"/>
        </w:rPr>
      </w:r>
      <w:r>
        <w:rPr/>
        <w:t>面价值后，恢复确认投资收益。</w:t>
      </w:r>
    </w:p>
    <w:p>
      <w:pPr>
        <w:pStyle w:val="Heading5"/>
        <w:spacing w:line="240" w:lineRule="auto" w:before="7"/>
        <w:ind w:right="0"/>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Heading6"/>
        <w:spacing w:line="256" w:lineRule="auto" w:before="21"/>
        <w:ind w:left="573" w:right="0" w:hanging="420"/>
        <w:jc w:val="left"/>
      </w:pPr>
      <w:r>
        <w:rPr/>
        <w:t>（</w:t>
      </w:r>
      <w:r>
        <w:rPr>
          <w:rFonts w:ascii="Times New Roman" w:hAnsi="Times New Roman" w:cs="Times New Roman" w:eastAsia="Times New Roman" w:hint="default"/>
        </w:rPr>
        <w:t>1</w:t>
      </w:r>
      <w:r>
        <w:rPr/>
        <w:t>）公允价值计量转权益法核算 </w:t>
      </w:r>
      <w:r>
        <w:rPr>
          <w:spacing w:val="-1"/>
        </w:rPr>
        <w:t>本公司原持有的对被投资单位不具有控制、共同控制或重大影响的按金融工具确认和计量准则进行会</w:t>
      </w:r>
    </w:p>
    <w:p>
      <w:pPr>
        <w:pStyle w:val="Heading6"/>
        <w:spacing w:line="264" w:lineRule="auto" w:before="22"/>
        <w:ind w:right="0"/>
        <w:jc w:val="left"/>
      </w:pPr>
      <w:r>
        <w:rPr/>
        <w:t>计处理的权益性投资，因追加投资等原因能够对被投资单位施加重大影响或实施共同控制但不构成控制 </w:t>
      </w:r>
      <w:r>
        <w:rPr>
          <w:spacing w:val="-1"/>
        </w:rPr>
        <w:t>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金融工具确认和计量》确定的原持有的股权投资的公允价值加上新增</w:t>
      </w:r>
      <w:r>
        <w:rPr>
          <w:spacing w:val="-84"/>
        </w:rPr>
        <w:t> </w:t>
      </w:r>
      <w:r>
        <w:rPr>
          <w:spacing w:val="-84"/>
        </w:rPr>
      </w:r>
      <w:r>
        <w:rPr/>
        <w:t>投资成本之和，作为改按权益法核算的初始投资成本。</w:t>
      </w:r>
    </w:p>
    <w:p>
      <w:pPr>
        <w:pStyle w:val="Heading6"/>
        <w:spacing w:line="273" w:lineRule="auto" w:before="16"/>
        <w:ind w:left="154" w:right="1130" w:firstLine="420"/>
        <w:jc w:val="both"/>
      </w:pPr>
      <w:r>
        <w:rPr>
          <w:spacing w:val="-1"/>
        </w:rPr>
        <w:t>原持有的股权投资分类为可供出售金融资产的，其公允价值与账面价值之间的差额，以及原计入其他</w:t>
      </w:r>
      <w:r>
        <w:rPr/>
        <w:t> 综合收益的累计公允价值变动转入改按权益法核算的当期损益。</w:t>
      </w:r>
    </w:p>
    <w:p>
      <w:pPr>
        <w:pStyle w:val="Heading6"/>
        <w:spacing w:line="273" w:lineRule="auto"/>
        <w:ind w:right="1118" w:firstLine="420"/>
        <w:jc w:val="left"/>
      </w:pPr>
      <w:r>
        <w:rPr/>
        <w:t>按权益法核算的初始投资成本小于按照追加投资后全新的持股比例计算确定的应享有被投资单位在 </w:t>
      </w:r>
      <w:r>
        <w:rPr>
          <w:spacing w:val="-1"/>
        </w:rPr>
        <w:t>追加投资日可辨认净资产公允价值份额之间的差额，调整长期股权投资的账面价值，并计入当期营业外收</w:t>
      </w:r>
      <w:r>
        <w:rPr>
          <w:spacing w:val="-81"/>
        </w:rPr>
        <w:t> </w:t>
      </w:r>
      <w:r>
        <w:rPr>
          <w:spacing w:val="-81"/>
        </w:rPr>
      </w:r>
      <w:r>
        <w:rPr/>
        <w:t>入。</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56" w:lineRule="auto" w:before="35"/>
        <w:ind w:left="573" w:right="0" w:hanging="420"/>
        <w:jc w:val="left"/>
      </w:pPr>
      <w:r>
        <w:rPr/>
        <w:t>（</w:t>
      </w:r>
      <w:r>
        <w:rPr>
          <w:rFonts w:ascii="Times New Roman" w:hAnsi="Times New Roman" w:cs="Times New Roman" w:eastAsia="Times New Roman" w:hint="default"/>
        </w:rPr>
        <w:t>2</w:t>
      </w:r>
      <w:r>
        <w:rPr/>
        <w:t>）公允价值计量或权益法核算转成本法核算 </w:t>
      </w:r>
      <w:r>
        <w:rPr>
          <w:spacing w:val="-1"/>
        </w:rPr>
        <w:t>本公司原持有的对被投资单位不具有控制、共同控制或重大影响的按金融工具确认和计量准则进行会</w:t>
      </w:r>
    </w:p>
    <w:p>
      <w:pPr>
        <w:pStyle w:val="Heading6"/>
        <w:spacing w:line="273" w:lineRule="auto" w:before="22"/>
        <w:ind w:right="1130"/>
        <w:jc w:val="both"/>
      </w:pPr>
      <w:r>
        <w:rPr>
          <w:spacing w:val="-1"/>
        </w:rPr>
        <w:t>计处理的权益性投资，或原持有对联营企业、合营企业的长期股权投资，因追加投资等原因能够对非同一</w:t>
      </w:r>
      <w:r>
        <w:rPr>
          <w:spacing w:val="-82"/>
        </w:rPr>
        <w:t> </w:t>
      </w:r>
      <w:r>
        <w:rPr>
          <w:spacing w:val="-82"/>
        </w:rPr>
      </w:r>
      <w:r>
        <w:rPr>
          <w:spacing w:val="-1"/>
        </w:rPr>
        <w:t>控制下的被投资单位实施控制的，在编制个别财务报表时，按照原持有的股权投资账面价值加上新增投资</w:t>
      </w:r>
      <w:r>
        <w:rPr>
          <w:spacing w:val="-81"/>
        </w:rPr>
        <w:t> </w:t>
      </w:r>
      <w:r>
        <w:rPr>
          <w:spacing w:val="-81"/>
        </w:rPr>
      </w:r>
      <w:r>
        <w:rPr/>
        <w:t>成本之和，作为改按成本法核算的初始投资成本。</w:t>
      </w:r>
    </w:p>
    <w:p>
      <w:pPr>
        <w:pStyle w:val="Heading6"/>
        <w:spacing w:line="273" w:lineRule="auto"/>
        <w:ind w:left="154" w:right="0" w:firstLine="420"/>
        <w:jc w:val="left"/>
      </w:pPr>
      <w:r>
        <w:rPr>
          <w:spacing w:val="-1"/>
        </w:rPr>
        <w:t>购买日之前持有的股权投资因采用权益法核算而确认的其他综合收益，在处置该项投资时采用与被投</w:t>
      </w:r>
      <w:r>
        <w:rPr/>
        <w:t> 资单位直接处置相关资产或负债相同的基础进行会计处理。</w:t>
      </w:r>
    </w:p>
    <w:p>
      <w:pPr>
        <w:pStyle w:val="Heading6"/>
        <w:spacing w:line="256" w:lineRule="auto"/>
        <w:ind w:right="0" w:firstLine="420"/>
        <w:jc w:val="left"/>
      </w:pPr>
      <w:r>
        <w:rPr>
          <w:spacing w:val="-1"/>
        </w:rPr>
        <w:t>购买日之前持有的股权投资按照《企业会计准则第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w:t>
      </w:r>
      <w:r>
        <w:rPr/>
        <w:t> 计处理的，原计入其他综合收益的累计公允价值变动在改按成本法核算时转入当期损益。</w:t>
      </w:r>
    </w:p>
    <w:p>
      <w:pPr>
        <w:pStyle w:val="Heading6"/>
        <w:spacing w:line="256" w:lineRule="auto" w:before="22"/>
        <w:ind w:left="573" w:right="0" w:hanging="420"/>
        <w:jc w:val="left"/>
      </w:pPr>
      <w:r>
        <w:rPr/>
        <w:t>（</w:t>
      </w:r>
      <w:r>
        <w:rPr>
          <w:rFonts w:ascii="Times New Roman" w:hAnsi="Times New Roman" w:cs="Times New Roman" w:eastAsia="Times New Roman" w:hint="default"/>
        </w:rPr>
        <w:t>3</w:t>
      </w:r>
      <w:r>
        <w:rPr/>
        <w:t>）权益法核算转公允价值计量 </w:t>
      </w:r>
      <w:r>
        <w:rPr>
          <w:spacing w:val="-1"/>
        </w:rPr>
        <w:t>本公司因处置部分股权投资等原因丧失了对被投资单位的共同控制或重大影响的，处置后的剩余股权</w:t>
      </w:r>
    </w:p>
    <w:p>
      <w:pPr>
        <w:pStyle w:val="Heading6"/>
        <w:spacing w:line="256" w:lineRule="auto" w:before="22"/>
        <w:ind w:left="154" w:right="0"/>
        <w:jc w:val="left"/>
      </w:pPr>
      <w:r>
        <w:rPr>
          <w:spacing w:val="-1"/>
        </w:rPr>
        <w:t>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金融工具确认和计量》核算，其在丧失共同控制或重大影响之日的公允价</w:t>
      </w:r>
      <w:r>
        <w:rPr>
          <w:spacing w:val="-85"/>
        </w:rPr>
        <w:t> </w:t>
      </w:r>
      <w:r>
        <w:rPr>
          <w:spacing w:val="-85"/>
        </w:rPr>
      </w:r>
      <w:r>
        <w:rPr/>
        <w:t>值与账面价值之间的差额计入当期损益。</w:t>
      </w:r>
    </w:p>
    <w:p>
      <w:pPr>
        <w:pStyle w:val="Heading6"/>
        <w:spacing w:line="273" w:lineRule="auto" w:before="22"/>
        <w:ind w:left="154" w:right="0" w:firstLine="420"/>
        <w:jc w:val="left"/>
      </w:pPr>
      <w:r>
        <w:rPr>
          <w:spacing w:val="-1"/>
        </w:rPr>
        <w:t>原股权投资因采用权益法核算而确认的其他综合收益，在终止采用权益法核算时采用与被投资单位直</w:t>
      </w:r>
      <w:r>
        <w:rPr/>
        <w:t> 接处置相关资产或负债相同的基础进行会计处理。</w:t>
      </w:r>
    </w:p>
    <w:p>
      <w:pPr>
        <w:pStyle w:val="Heading6"/>
        <w:spacing w:line="256" w:lineRule="auto"/>
        <w:ind w:left="574" w:right="0" w:hanging="420"/>
        <w:jc w:val="left"/>
      </w:pPr>
      <w:r>
        <w:rPr/>
        <w:t>（</w:t>
      </w:r>
      <w:r>
        <w:rPr>
          <w:rFonts w:ascii="Times New Roman" w:hAnsi="Times New Roman" w:cs="Times New Roman" w:eastAsia="Times New Roman" w:hint="default"/>
        </w:rPr>
        <w:t>4</w:t>
      </w:r>
      <w:r>
        <w:rPr/>
        <w:t>）成本法转权益法 </w:t>
      </w:r>
      <w:r>
        <w:rPr>
          <w:spacing w:val="-1"/>
        </w:rPr>
        <w:t>本公司因处置部分权益性投资等原因丧失了对被投资单位的控制的，在编制个别财务报表时，处置后</w:t>
      </w:r>
    </w:p>
    <w:p>
      <w:pPr>
        <w:pStyle w:val="Heading6"/>
        <w:spacing w:line="273" w:lineRule="auto" w:before="22"/>
        <w:ind w:left="154" w:right="0"/>
        <w:jc w:val="left"/>
      </w:pPr>
      <w:r>
        <w:rPr>
          <w:spacing w:val="-1"/>
        </w:rPr>
        <w:t>的剩余股权能够对被投资单位实施共同控制或施加重大影响的，改按权益法核算，并对该剩余股权视同自</w:t>
      </w:r>
      <w:r>
        <w:rPr>
          <w:spacing w:val="-80"/>
        </w:rPr>
        <w:t> </w:t>
      </w:r>
      <w:r>
        <w:rPr>
          <w:spacing w:val="-80"/>
        </w:rPr>
      </w:r>
      <w:r>
        <w:rPr/>
        <w:t>取得时即采用权益法核算进行调整。</w:t>
      </w:r>
    </w:p>
    <w:p>
      <w:pPr>
        <w:pStyle w:val="Heading6"/>
        <w:spacing w:line="256" w:lineRule="auto"/>
        <w:ind w:left="574" w:right="0" w:hanging="420"/>
        <w:jc w:val="left"/>
      </w:pPr>
      <w:r>
        <w:rPr/>
        <w:t>（</w:t>
      </w:r>
      <w:r>
        <w:rPr>
          <w:rFonts w:ascii="Times New Roman" w:hAnsi="Times New Roman" w:cs="Times New Roman" w:eastAsia="Times New Roman" w:hint="default"/>
        </w:rPr>
        <w:t>5</w:t>
      </w:r>
      <w:r>
        <w:rPr/>
        <w:t>）成本法转公允价值计量 </w:t>
      </w:r>
      <w:r>
        <w:rPr>
          <w:spacing w:val="-1"/>
        </w:rPr>
        <w:t>本公司因处置部分权益性投资等原因丧失了对被投资单位的控制的，在编制个别财务报表时，处置后</w:t>
      </w:r>
    </w:p>
    <w:p>
      <w:pPr>
        <w:pStyle w:val="Heading6"/>
        <w:spacing w:line="266" w:lineRule="auto" w:before="22"/>
        <w:ind w:right="1024"/>
        <w:jc w:val="left"/>
        <w:rPr>
          <w:rFonts w:ascii="宋体" w:hAnsi="宋体" w:cs="宋体" w:eastAsia="宋体" w:hint="default"/>
        </w:rPr>
      </w:pPr>
      <w:r>
        <w:rPr/>
        <w:t>的剩余股权不能对被投资单位实施共同控制或施加重大影响的，改按《企业会计准则第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 </w:t>
      </w:r>
      <w:r>
        <w:rPr>
          <w:spacing w:val="-3"/>
        </w:rPr>
        <w:t>确认和计量》的有关规定进行会计处理，其在丧失控制之日的公允价值与账面价值间的差额计入当期损益。</w:t>
      </w:r>
      <w:r>
        <w:rPr>
          <w:spacing w:val="-92"/>
        </w:rPr>
        <w:t> </w:t>
      </w:r>
      <w:r>
        <w:rPr>
          <w:spacing w:val="-92"/>
        </w:rPr>
      </w: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rPr>
      </w:r>
    </w:p>
    <w:p>
      <w:pPr>
        <w:pStyle w:val="Heading6"/>
        <w:spacing w:line="273" w:lineRule="auto" w:before="0"/>
        <w:ind w:left="154" w:right="1131" w:firstLine="420"/>
        <w:jc w:val="both"/>
      </w:pPr>
      <w:r>
        <w:rPr>
          <w:spacing w:val="-1"/>
        </w:rPr>
        <w:t>处置长期股权投资，其账面价值与实际取得价款之间的差额，应当计入当期损益。采用权益法核算的</w:t>
      </w:r>
      <w:r>
        <w:rPr/>
        <w:t> </w:t>
      </w:r>
      <w:r>
        <w:rPr>
          <w:spacing w:val="-1"/>
        </w:rPr>
        <w:t>长期股权投资，在处置该项投资时，采用与被投资单位直接处置相关资产或负债相同的基础，按相应比例</w:t>
      </w:r>
      <w:r>
        <w:rPr>
          <w:spacing w:val="-83"/>
        </w:rPr>
        <w:t> </w:t>
      </w:r>
      <w:r>
        <w:rPr>
          <w:spacing w:val="-83"/>
        </w:rPr>
      </w:r>
      <w:r>
        <w:rPr/>
        <w:t>对原计入其他综合收益的部分进行会计处理。</w:t>
      </w:r>
    </w:p>
    <w:p>
      <w:pPr>
        <w:pStyle w:val="Heading6"/>
        <w:spacing w:line="273" w:lineRule="auto"/>
        <w:ind w:left="154" w:right="0" w:firstLine="420"/>
        <w:jc w:val="left"/>
      </w:pPr>
      <w:r>
        <w:rPr>
          <w:spacing w:val="-1"/>
        </w:rPr>
        <w:t>处置对子公司股权投资的各项交易的条款、条件以及经济影响符合以下一种或多种情况，将多次交易</w:t>
      </w:r>
      <w:r>
        <w:rPr/>
        <w:t> 事项作为一揽子交易进行会计处理：</w:t>
      </w:r>
    </w:p>
    <w:p>
      <w:pPr>
        <w:pStyle w:val="Heading6"/>
        <w:spacing w:line="240" w:lineRule="auto"/>
        <w:ind w:left="154"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Heading6"/>
        <w:spacing w:line="240" w:lineRule="auto" w:before="21"/>
        <w:ind w:left="154" w:right="0"/>
        <w:jc w:val="left"/>
      </w:pPr>
      <w:r>
        <w:rPr/>
        <w:t>（</w:t>
      </w:r>
      <w:r>
        <w:rPr>
          <w:rFonts w:ascii="Times New Roman" w:hAnsi="Times New Roman" w:cs="Times New Roman" w:eastAsia="Times New Roman" w:hint="default"/>
        </w:rPr>
        <w:t>2</w:t>
      </w:r>
      <w:r>
        <w:rPr/>
        <w:t>）这些交易整体才能达成一项完整的商业结果；</w:t>
      </w:r>
    </w:p>
    <w:p>
      <w:pPr>
        <w:pStyle w:val="Heading6"/>
        <w:spacing w:line="240" w:lineRule="auto" w:before="21"/>
        <w:ind w:right="0"/>
        <w:jc w:val="left"/>
      </w:pPr>
      <w:r>
        <w:rPr/>
        <w:t>（</w:t>
      </w:r>
      <w:r>
        <w:rPr>
          <w:rFonts w:ascii="Times New Roman" w:hAnsi="Times New Roman" w:cs="Times New Roman" w:eastAsia="Times New Roman" w:hint="default"/>
        </w:rPr>
        <w:t>3</w:t>
      </w:r>
      <w:r>
        <w:rPr/>
        <w:t>）一项交易的发生取决于其他至少一项交易的发生；</w:t>
      </w:r>
    </w:p>
    <w:p>
      <w:pPr>
        <w:pStyle w:val="Heading6"/>
        <w:spacing w:line="256" w:lineRule="auto" w:before="21"/>
        <w:ind w:left="574" w:right="0" w:hanging="420"/>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1"/>
        </w:rPr>
        <w:t>因处置部分股权投资或其他原因丧失了对原有子公司控制权的，不属于一揽子交易的，区分个别财务</w:t>
      </w:r>
    </w:p>
    <w:p>
      <w:pPr>
        <w:pStyle w:val="Heading6"/>
        <w:spacing w:line="240" w:lineRule="auto" w:before="22"/>
        <w:ind w:left="154" w:right="0"/>
        <w:jc w:val="left"/>
      </w:pPr>
      <w:r>
        <w:rPr/>
        <w:t>报表和合并财务报表进行相关会计处理：</w:t>
      </w:r>
    </w:p>
    <w:p>
      <w:pPr>
        <w:pStyle w:val="Heading6"/>
        <w:spacing w:line="264" w:lineRule="auto" w:before="37"/>
        <w:ind w:left="154" w:right="0" w:firstLine="420"/>
        <w:jc w:val="left"/>
      </w:pPr>
      <w:r>
        <w:rPr/>
        <w:t>（</w:t>
      </w:r>
      <w:r>
        <w:rPr>
          <w:rFonts w:ascii="Times New Roman" w:hAnsi="Times New Roman" w:cs="Times New Roman" w:eastAsia="Times New Roman" w:hint="default"/>
        </w:rPr>
        <w:t>1</w:t>
      </w:r>
      <w:r>
        <w:rPr/>
        <w:t>）在个别财务报表中，对于处置的股权，其账面价值与实际取得价款之间的差额计入当期损益。 </w:t>
      </w:r>
      <w:r>
        <w:rPr>
          <w:spacing w:val="-1"/>
        </w:rPr>
        <w:t>处置后的剩余股权能够对被投资单位实施共同控制或施加重大影响的，改按权益法核算，并对该剩余股权</w:t>
      </w:r>
      <w:r>
        <w:rPr>
          <w:spacing w:val="-81"/>
        </w:rPr>
        <w:t> </w:t>
      </w:r>
      <w:r>
        <w:rPr>
          <w:spacing w:val="-81"/>
        </w:rPr>
      </w:r>
      <w:r>
        <w:rPr>
          <w:spacing w:val="-1"/>
        </w:rPr>
        <w:t>视同自取得时即采用权益法核算进行调整；处置后的剩余股权不能对被投资单位实施共同控制或施加重大</w:t>
      </w:r>
      <w:r>
        <w:rPr>
          <w:spacing w:val="-81"/>
        </w:rPr>
        <w:t> </w:t>
      </w:r>
      <w:r>
        <w:rPr>
          <w:spacing w:val="-81"/>
        </w:rPr>
      </w:r>
      <w:r>
        <w:rPr>
          <w:spacing w:val="-1"/>
        </w:rPr>
        <w:t>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金融工具确认和计量》的有关规定进行会计处理，其在丧失控制</w:t>
      </w:r>
      <w:r>
        <w:rPr>
          <w:spacing w:val="-86"/>
        </w:rPr>
        <w:t> </w:t>
      </w:r>
      <w:r>
        <w:rPr>
          <w:spacing w:val="-86"/>
        </w:rPr>
      </w:r>
      <w:r>
        <w:rPr/>
        <w:t>之日的公允价值与账面价值间的差额计入当期损益。</w:t>
      </w:r>
    </w:p>
    <w:p>
      <w:pPr>
        <w:pStyle w:val="Heading6"/>
        <w:spacing w:line="266" w:lineRule="auto" w:before="16"/>
        <w:ind w:left="154" w:right="0" w:firstLine="420"/>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 资相应对享有子公司自购买日或合并日开始持续计算的净资产份额之间的差额，调整资本公积（股本溢 </w:t>
      </w:r>
      <w:r>
        <w:rPr>
          <w:spacing w:val="-1"/>
        </w:rPr>
        <w:t>价），资本公积不足冲减的，调整留存收益；在丧失对子公司控制权时，对于剩余股权，按照其在丧失控</w:t>
      </w:r>
      <w:r>
        <w:rPr>
          <w:spacing w:val="-83"/>
        </w:rPr>
        <w:t> </w:t>
      </w:r>
      <w:r>
        <w:rPr>
          <w:spacing w:val="-83"/>
        </w:rPr>
      </w:r>
      <w:r>
        <w:rPr>
          <w:spacing w:val="-1"/>
        </w:rPr>
        <w:t>制权日的公允价值进行重新计量。处置股权取得的对价与剩余股权公允价值之和，减去按原持股比例计算</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1093"/>
        <w:jc w:val="left"/>
      </w:pPr>
      <w:r>
        <w:rPr/>
        <w:t>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Heading6"/>
        <w:spacing w:line="273" w:lineRule="auto"/>
        <w:ind w:right="1131" w:firstLine="420"/>
        <w:jc w:val="both"/>
      </w:pPr>
      <w:r>
        <w:rPr>
          <w:spacing w:val="-1"/>
        </w:rPr>
        <w:t>处置对子公司股权投资直至丧失控制权的各项交易属于一揽子交易的，将各项交易作为一项处置子公</w:t>
      </w:r>
      <w:r>
        <w:rPr/>
        <w:t> 司股权投资并丧失控制权的交易进行会计处理，区分个别财务报表和合并财务报表进行相关会计处理：</w:t>
      </w:r>
    </w:p>
    <w:p>
      <w:pPr>
        <w:pStyle w:val="Heading6"/>
        <w:spacing w:line="256" w:lineRule="auto" w:before="8"/>
        <w:ind w:right="1215" w:firstLine="42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 价值之间的差额，确认为其他综合收益，在丧失控制权时一并转入丧失控制权当期的损益。</w:t>
      </w:r>
    </w:p>
    <w:p>
      <w:pPr>
        <w:pStyle w:val="Heading6"/>
        <w:spacing w:line="264" w:lineRule="auto" w:before="22"/>
        <w:ind w:right="1198" w:firstLine="420"/>
        <w:jc w:val="left"/>
        <w:rPr>
          <w:rFonts w:ascii="宋体" w:hAnsi="宋体" w:cs="宋体" w:eastAsia="宋体" w:hint="default"/>
        </w:rPr>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 份额的差额，确认为其他综合收益，在丧失控制权时一并转入丧失控制权当期的损益。 </w:t>
      </w:r>
      <w:r>
        <w:rPr>
          <w:rFonts w:ascii="Times New Roman" w:hAnsi="Times New Roman" w:cs="Times New Roman" w:eastAsia="Times New Roman" w:hint="default"/>
          <w:b/>
          <w:bCs/>
        </w:rPr>
        <w:t>5</w:t>
      </w:r>
      <w:r>
        <w:rPr>
          <w:rFonts w:ascii="宋体" w:hAnsi="宋体" w:cs="宋体" w:eastAsia="宋体" w:hint="default"/>
          <w:b/>
          <w:bCs/>
        </w:rPr>
        <w:t>、共同控制、重大影响的判断标准</w:t>
      </w:r>
      <w:r>
        <w:rPr>
          <w:rFonts w:ascii="宋体" w:hAnsi="宋体" w:cs="宋体" w:eastAsia="宋体" w:hint="default"/>
        </w:rPr>
      </w:r>
    </w:p>
    <w:p>
      <w:pPr>
        <w:pStyle w:val="Heading6"/>
        <w:spacing w:line="273" w:lineRule="auto" w:before="0"/>
        <w:ind w:right="1131" w:firstLine="420"/>
        <w:jc w:val="both"/>
      </w:pPr>
      <w:r>
        <w:rPr>
          <w:spacing w:val="-1"/>
        </w:rPr>
        <w:t>如果本公司按照相关约定与其他参与方集体控制某项安排，并且对该安排回报具有重大影响的活动决</w:t>
      </w:r>
      <w:r>
        <w:rPr/>
        <w:t> </w:t>
      </w:r>
      <w:r>
        <w:rPr>
          <w:spacing w:val="-1"/>
        </w:rPr>
        <w:t>策，需要经过分享控制权的参与方一致同意时才存在，则视为本公司与其他参与方共同控制某项安排，该</w:t>
      </w:r>
      <w:r>
        <w:rPr>
          <w:spacing w:val="-83"/>
        </w:rPr>
        <w:t> </w:t>
      </w:r>
      <w:r>
        <w:rPr>
          <w:spacing w:val="-83"/>
        </w:rPr>
      </w:r>
      <w:r>
        <w:rPr/>
        <w:t>安排即属于合营安排。</w:t>
      </w:r>
    </w:p>
    <w:p>
      <w:pPr>
        <w:pStyle w:val="Heading6"/>
        <w:spacing w:line="273" w:lineRule="auto"/>
        <w:ind w:right="1131" w:firstLine="420"/>
        <w:jc w:val="both"/>
      </w:pPr>
      <w:r>
        <w:rPr>
          <w:spacing w:val="-1"/>
        </w:rPr>
        <w:t>合营安排通过单独主体达成的，根据相关约定判断本公司对该单独主体的净资产享有权利时，将该单</w:t>
      </w:r>
      <w:r>
        <w:rPr/>
        <w:t> </w:t>
      </w:r>
      <w:r>
        <w:rPr>
          <w:spacing w:val="-1"/>
        </w:rPr>
        <w:t>独主体作为合营企业，采用权益法核算。若根据相关约定判断本公司并非对该单独主体的净资产享有权利</w:t>
      </w:r>
      <w:r>
        <w:rPr>
          <w:spacing w:val="-81"/>
        </w:rPr>
        <w:t> </w:t>
      </w:r>
      <w:r>
        <w:rPr>
          <w:spacing w:val="-81"/>
        </w:rPr>
      </w:r>
      <w:r>
        <w:rPr>
          <w:spacing w:val="-1"/>
        </w:rPr>
        <w:t>时，该单独主体作为共同经营，本公司确认与共同经营利益份额相关的项目，并按照相关企业会计准则的</w:t>
      </w:r>
      <w:r>
        <w:rPr>
          <w:spacing w:val="-83"/>
        </w:rPr>
        <w:t> </w:t>
      </w:r>
      <w:r>
        <w:rPr>
          <w:spacing w:val="-83"/>
        </w:rPr>
      </w:r>
      <w:r>
        <w:rPr/>
        <w:t>规定进行会计处理。</w:t>
      </w:r>
    </w:p>
    <w:p>
      <w:pPr>
        <w:pStyle w:val="Heading6"/>
        <w:spacing w:line="264" w:lineRule="auto"/>
        <w:ind w:right="1131" w:firstLine="420"/>
        <w:jc w:val="both"/>
      </w:pPr>
      <w:r>
        <w:rPr>
          <w:spacing w:val="-1"/>
        </w:rPr>
        <w:t>重大影响，是指投资方对被投资单位的财务和经营政策有参与决策的权力，但并不能够控制或者与其</w:t>
      </w:r>
      <w:r>
        <w:rPr/>
        <w:t> </w:t>
      </w:r>
      <w:r>
        <w:rPr>
          <w:spacing w:val="-1"/>
        </w:rPr>
        <w:t>他方一起共同控制这些政策的制定。本公司通过以下一种或多种情形，并综合考虑所有事实和情况后，判</w:t>
      </w:r>
      <w:r>
        <w:rPr>
          <w:spacing w:val="-83"/>
        </w:rPr>
        <w:t> </w:t>
      </w:r>
      <w:r>
        <w:rPr>
          <w:spacing w:val="-83"/>
        </w:rPr>
      </w:r>
      <w:r>
        <w:rPr>
          <w:spacing w:val="-1"/>
        </w:rPr>
        <w:t>断对被投资单位具有重大影响。（</w:t>
      </w:r>
      <w:r>
        <w:rPr>
          <w:rFonts w:ascii="Times New Roman" w:hAnsi="Times New Roman" w:cs="Times New Roman" w:eastAsia="Times New Roman" w:hint="default"/>
          <w:spacing w:val="-1"/>
        </w:rPr>
        <w:t>1</w:t>
      </w:r>
      <w:r>
        <w:rPr>
          <w:spacing w:val="-1"/>
        </w:rPr>
        <w:t>）在被投资单位的董事会或类似权力机构中派有代表；（</w:t>
      </w:r>
      <w:r>
        <w:rPr>
          <w:rFonts w:ascii="Times New Roman" w:hAnsi="Times New Roman" w:cs="Times New Roman" w:eastAsia="Times New Roman" w:hint="default"/>
          <w:spacing w:val="-1"/>
        </w:rPr>
        <w:t>2</w:t>
      </w:r>
      <w:r>
        <w:rPr>
          <w:spacing w:val="-1"/>
        </w:rPr>
        <w:t>）参与被投</w:t>
      </w:r>
      <w:r>
        <w:rPr>
          <w:spacing w:val="-84"/>
        </w:rPr>
        <w:t> </w:t>
      </w:r>
      <w:r>
        <w:rPr>
          <w:spacing w:val="-84"/>
        </w:rPr>
      </w:r>
      <w:r>
        <w:rPr>
          <w:spacing w:val="-1"/>
        </w:rPr>
        <w:t>资单位财务和经营政策制定过程；（</w:t>
      </w:r>
      <w:r>
        <w:rPr>
          <w:rFonts w:ascii="Times New Roman" w:hAnsi="Times New Roman" w:cs="Times New Roman" w:eastAsia="Times New Roman" w:hint="default"/>
          <w:spacing w:val="-1"/>
        </w:rPr>
        <w:t>3</w:t>
      </w:r>
      <w:r>
        <w:rPr>
          <w:spacing w:val="-1"/>
        </w:rPr>
        <w:t>）与被投资单位之间发生重要交易；（</w:t>
      </w:r>
      <w:r>
        <w:rPr>
          <w:rFonts w:ascii="Times New Roman" w:hAnsi="Times New Roman" w:cs="Times New Roman" w:eastAsia="Times New Roman" w:hint="default"/>
          <w:spacing w:val="-1"/>
        </w:rPr>
        <w:t>4</w:t>
      </w:r>
      <w:r>
        <w:rPr>
          <w:spacing w:val="-1"/>
        </w:rPr>
        <w:t>）向被投资单位派出管理人</w:t>
      </w:r>
      <w:r>
        <w:rPr>
          <w:spacing w:val="-86"/>
        </w:rPr>
        <w:t> </w:t>
      </w:r>
      <w:r>
        <w:rPr>
          <w:spacing w:val="-86"/>
        </w:rPr>
      </w:r>
      <w:r>
        <w:rPr/>
        <w:t>员；（</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bookmarkStart w:name="13、固定资产" w:id="171"/>
      <w:bookmarkEnd w:id="171"/>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确认条件" w:id="172"/>
      <w:bookmarkEnd w:id="17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5"/>
        <w:spacing w:line="240" w:lineRule="auto"/>
        <w:ind w:right="0"/>
        <w:jc w:val="left"/>
        <w:rPr>
          <w:b w:val="0"/>
          <w:bCs w:val="0"/>
        </w:rPr>
      </w:pPr>
      <w:bookmarkStart w:name="（2）折旧方法" w:id="173"/>
      <w:bookmarkEnd w:id="17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3）融资租入固定资产的认定依据、计价和折旧方法" w:id="174"/>
      <w:bookmarkEnd w:id="17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3"/>
        <w:jc w:val="left"/>
      </w:pPr>
      <w:r>
        <w:rPr/>
        <w:t>当本公司租入的固定资产符合下列一项或数项标准时</w:t>
      </w:r>
      <w:r>
        <w:rPr>
          <w:spacing w:val="-21"/>
        </w:rPr>
        <w:t>，</w:t>
      </w:r>
      <w:r>
        <w:rPr/>
        <w:t>确认为融资租入固定资产</w:t>
      </w:r>
      <w:r>
        <w:rPr>
          <w:spacing w:val="-111"/>
        </w:rPr>
        <w:t>：</w:t>
      </w:r>
      <w:r>
        <w:rPr/>
        <w:t>（</w:t>
      </w:r>
      <w:r>
        <w:rPr>
          <w:rFonts w:ascii="Times New Roman" w:hAnsi="Times New Roman" w:cs="Times New Roman" w:eastAsia="Times New Roman" w:hint="default"/>
        </w:rPr>
        <w:t>1</w:t>
      </w:r>
      <w:r>
        <w:rPr>
          <w:spacing w:val="-21"/>
        </w:rPr>
        <w:t>）</w:t>
      </w:r>
      <w:r>
        <w:rPr/>
        <w:t>在租赁期届满时</w:t>
      </w:r>
      <w:r>
        <w:rPr>
          <w:spacing w:val="-21"/>
        </w:rPr>
        <w:t>，</w:t>
      </w:r>
      <w:r>
        <w:rPr/>
        <w:t>租赁资产的所有权</w:t>
      </w:r>
      <w:r>
        <w:rPr/>
        <w:t> 转移给本公司</w:t>
      </w:r>
      <w:r>
        <w:rPr>
          <w:spacing w:val="-90"/>
        </w:rPr>
        <w:t>。</w:t>
      </w:r>
      <w:r>
        <w:rPr/>
        <w:t>（</w:t>
      </w:r>
      <w:r>
        <w:rPr>
          <w:rFonts w:ascii="Times New Roman" w:hAnsi="Times New Roman" w:cs="Times New Roman" w:eastAsia="Times New Roman" w:hint="default"/>
        </w:rPr>
        <w:t>2</w:t>
      </w:r>
      <w:r>
        <w:rPr/>
        <w:t>）本公司有购买租赁资产的选择权，所订立的购买价款预计将远低于行使选择权时租赁资产的公允价值， 因而在租赁开始日就可以合理确定本公司将会行使这种选择权</w:t>
      </w:r>
      <w:r>
        <w:rPr>
          <w:spacing w:val="-118"/>
        </w:rPr>
        <w:t>。</w:t>
      </w:r>
      <w:r>
        <w:rPr/>
        <w:t>（</w:t>
      </w:r>
      <w:r>
        <w:rPr>
          <w:rFonts w:ascii="Times New Roman" w:hAnsi="Times New Roman" w:cs="Times New Roman" w:eastAsia="Times New Roman" w:hint="default"/>
        </w:rPr>
        <w:t>3</w:t>
      </w:r>
      <w:r>
        <w:rPr>
          <w:spacing w:val="-28"/>
        </w:rPr>
        <w:t>）</w:t>
      </w:r>
      <w:r>
        <w:rPr/>
        <w:t>即使资产的所有权不转移</w:t>
      </w:r>
      <w:r>
        <w:rPr>
          <w:spacing w:val="-28"/>
        </w:rPr>
        <w:t>，</w:t>
      </w:r>
      <w:r>
        <w:rPr/>
        <w:t>但租赁期占租赁资产使用寿</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30"/>
        <w:jc w:val="both"/>
      </w:pPr>
      <w:r>
        <w:rPr>
          <w:spacing w:val="-5"/>
        </w:rPr>
        <w:t>命的大部分。（</w:t>
      </w:r>
      <w:r>
        <w:rPr>
          <w:rFonts w:ascii="Times New Roman" w:hAnsi="Times New Roman" w:cs="Times New Roman" w:eastAsia="Times New Roman" w:hint="default"/>
          <w:spacing w:val="-5"/>
        </w:rPr>
        <w:t>4</w:t>
      </w:r>
      <w:r>
        <w:rPr>
          <w:spacing w:val="-5"/>
        </w:rPr>
        <w:t>）本公司在租赁开始日的最低租赁付款额现值，几乎相当于租赁开始日租赁资产公允价值。（</w:t>
      </w:r>
      <w:r>
        <w:rPr>
          <w:rFonts w:ascii="Times New Roman" w:hAnsi="Times New Roman" w:cs="Times New Roman" w:eastAsia="Times New Roman" w:hint="default"/>
          <w:spacing w:val="-5"/>
        </w:rPr>
        <w:t>5</w:t>
      </w:r>
      <w:r>
        <w:rPr>
          <w:spacing w:val="-5"/>
        </w:rPr>
        <w:t>）租赁资产性</w:t>
      </w:r>
      <w:r>
        <w:rPr>
          <w:spacing w:val="-74"/>
        </w:rPr>
        <w:t> </w:t>
      </w:r>
      <w:r>
        <w:rPr>
          <w:spacing w:val="-74"/>
        </w:rPr>
      </w:r>
      <w:r>
        <w:rPr>
          <w:spacing w:val="-2"/>
        </w:rPr>
        <w:t>质特殊，如果不作较大改造，只有本公司才能使用。融资租赁租入的固定资产，按租赁开始日租赁资产公允价值与最低租赁</w:t>
      </w:r>
      <w:r>
        <w:rPr>
          <w:spacing w:val="-66"/>
        </w:rPr>
        <w:t> </w:t>
      </w:r>
      <w:r>
        <w:rPr>
          <w:spacing w:val="-66"/>
        </w:rPr>
      </w:r>
      <w:r>
        <w:rPr>
          <w:spacing w:val="-2"/>
        </w:rPr>
        <w:t>付款额的现值两者中较低者，作为入账价值。最低租赁付款额作为长期应付款的入账价值，其差额作为未确认融资费用。在</w:t>
      </w:r>
      <w:r>
        <w:rPr>
          <w:spacing w:val="-66"/>
        </w:rPr>
        <w:t> </w:t>
      </w:r>
      <w:r>
        <w:rPr>
          <w:spacing w:val="-66"/>
        </w:rPr>
      </w:r>
      <w:r>
        <w:rPr>
          <w:spacing w:val="-2"/>
        </w:rPr>
        <w:t>租赁谈判和签订租赁合同过程中发生的，可归属于租赁项目的手续费、律师费、差旅费、印花税等初始直接费用，计入租入</w:t>
      </w:r>
      <w:r>
        <w:rPr>
          <w:spacing w:val="-66"/>
        </w:rPr>
        <w:t> </w:t>
      </w:r>
      <w:r>
        <w:rPr>
          <w:spacing w:val="-66"/>
        </w:rPr>
      </w:r>
      <w:r>
        <w:rPr>
          <w:spacing w:val="-2"/>
        </w:rPr>
        <w:t>资产价值。未确认融资费用在租赁期内各个期间采用实际利率法进行分摊。本公司采用与自有固定资产相一致的折旧政策计</w:t>
      </w:r>
      <w:r>
        <w:rPr>
          <w:spacing w:val="-64"/>
        </w:rPr>
        <w:t> </w:t>
      </w:r>
      <w:r>
        <w:rPr>
          <w:spacing w:val="-64"/>
        </w:rPr>
      </w:r>
      <w:r>
        <w:rPr>
          <w:spacing w:val="-2"/>
        </w:rPr>
        <w:t>提融资租入固定资产折旧。能够合理确定租赁期届满时取得租赁资产所有权的，在租赁资产使用寿命内计提折旧。无法合理</w:t>
      </w:r>
      <w:r>
        <w:rPr>
          <w:spacing w:val="-66"/>
        </w:rPr>
        <w:t> </w:t>
      </w:r>
      <w:r>
        <w:rPr>
          <w:spacing w:val="-66"/>
        </w:rPr>
      </w:r>
      <w:r>
        <w:rPr/>
        <w:t>确定租赁期届满时能够取得租赁资产所有权的，在租赁期与租赁资产使用寿命两者中较短的期间内计提折旧。</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bookmarkStart w:name="14、在建工程" w:id="175"/>
      <w:bookmarkEnd w:id="175"/>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4"/>
          <w:szCs w:val="24"/>
        </w:rPr>
      </w:pPr>
    </w:p>
    <w:p>
      <w:pPr>
        <w:pStyle w:val="Heading6"/>
        <w:spacing w:line="256" w:lineRule="auto" w:before="0"/>
        <w:ind w:left="574" w:right="0" w:hanging="420"/>
        <w:jc w:val="left"/>
      </w:pPr>
      <w:r>
        <w:rPr>
          <w:rFonts w:ascii="Times New Roman" w:hAnsi="Times New Roman" w:cs="Times New Roman" w:eastAsia="Times New Roman" w:hint="default"/>
          <w:b/>
          <w:bCs/>
        </w:rPr>
        <w:t>1</w:t>
      </w:r>
      <w:r>
        <w:rPr>
          <w:rFonts w:ascii="宋体" w:hAnsi="宋体" w:cs="宋体" w:eastAsia="宋体" w:hint="default"/>
          <w:b/>
          <w:bCs/>
        </w:rPr>
        <w:t>、在建工程的类别</w:t>
      </w:r>
      <w:r>
        <w:rPr>
          <w:rFonts w:ascii="宋体" w:hAnsi="宋体" w:cs="宋体" w:eastAsia="宋体" w:hint="default"/>
          <w:b/>
          <w:bCs/>
          <w:w w:val="99"/>
        </w:rPr>
        <w:t> </w:t>
      </w:r>
      <w:r>
        <w:rPr>
          <w:spacing w:val="-1"/>
        </w:rPr>
        <w:t>本公司自行建造的在建工程按实际成本计价，实际成本由建造该项资产达到预定可使用状态前所发生</w:t>
      </w:r>
    </w:p>
    <w:p>
      <w:pPr>
        <w:pStyle w:val="Heading6"/>
        <w:spacing w:line="273" w:lineRule="auto" w:before="22"/>
        <w:ind w:left="154" w:right="1133"/>
        <w:jc w:val="both"/>
      </w:pPr>
      <w:r>
        <w:rPr>
          <w:spacing w:val="-1"/>
        </w:rPr>
        <w:t>的必要支出构成，包括工程用物资成本、人工成本、交纳的相关税费、应予资本化的借款费用以及应分摊</w:t>
      </w:r>
      <w:r>
        <w:rPr>
          <w:spacing w:val="-86"/>
        </w:rPr>
        <w:t> </w:t>
      </w:r>
      <w:r>
        <w:rPr>
          <w:spacing w:val="-86"/>
        </w:rPr>
      </w:r>
      <w:r>
        <w:rPr/>
        <w:t>的间接费用等。本公司的在建工程以项目分类核算。</w:t>
      </w:r>
    </w:p>
    <w:p>
      <w:pPr>
        <w:spacing w:line="256" w:lineRule="auto" w:before="7"/>
        <w:ind w:left="574" w:right="10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pStyle w:val="Heading6"/>
        <w:spacing w:line="273" w:lineRule="auto" w:before="22"/>
        <w:ind w:left="154" w:right="1130"/>
        <w:jc w:val="both"/>
      </w:pPr>
      <w:r>
        <w:rPr>
          <w:spacing w:val="-1"/>
        </w:rPr>
        <w:t>所建造的固定资产在建工程已达到预定可使用状态，但尚未办理竣工决算的，自达到预定可使用状态之日</w:t>
      </w:r>
      <w:r>
        <w:rPr>
          <w:spacing w:val="-80"/>
        </w:rPr>
        <w:t> </w:t>
      </w:r>
      <w:r>
        <w:rPr>
          <w:spacing w:val="-80"/>
        </w:rPr>
      </w:r>
      <w:r>
        <w:rPr>
          <w:spacing w:val="-1"/>
        </w:rPr>
        <w:t>起，根据工程预算、造价或者工程实际成本等，按估计的价值转入固定资产，并按本公司固定资产折旧政</w:t>
      </w:r>
      <w:r>
        <w:rPr>
          <w:spacing w:val="-86"/>
        </w:rPr>
        <w:t> </w:t>
      </w:r>
      <w:r>
        <w:rPr>
          <w:spacing w:val="-86"/>
        </w:rPr>
      </w:r>
      <w:r>
        <w:rPr>
          <w:spacing w:val="-1"/>
        </w:rPr>
        <w:t>策计提固定资产的折旧，待办理竣工决算后，再按实际成本调整原来的暂估价值，但不调整原已计提的折</w:t>
      </w:r>
      <w:r>
        <w:rPr>
          <w:spacing w:val="-83"/>
        </w:rPr>
        <w:t> </w:t>
      </w:r>
      <w:r>
        <w:rPr>
          <w:spacing w:val="-83"/>
        </w:rPr>
      </w:r>
      <w:r>
        <w:rPr/>
        <w:t>旧额。</w:t>
      </w:r>
    </w:p>
    <w:p>
      <w:pPr>
        <w:spacing w:line="240" w:lineRule="auto" w:before="8"/>
        <w:rPr>
          <w:rFonts w:ascii="宋体" w:hAnsi="宋体" w:cs="宋体" w:eastAsia="宋体" w:hint="default"/>
          <w:sz w:val="23"/>
          <w:szCs w:val="23"/>
        </w:rPr>
      </w:pPr>
    </w:p>
    <w:p>
      <w:pPr>
        <w:pStyle w:val="Heading5"/>
        <w:spacing w:line="240" w:lineRule="auto"/>
        <w:ind w:left="154" w:right="0"/>
        <w:jc w:val="left"/>
        <w:rPr>
          <w:b w:val="0"/>
          <w:bCs w:val="0"/>
        </w:rPr>
      </w:pPr>
      <w:bookmarkStart w:name="15、借款费用" w:id="176"/>
      <w:bookmarkEnd w:id="176"/>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8"/>
        <w:rPr>
          <w:rFonts w:ascii="宋体" w:hAnsi="宋体" w:cs="宋体" w:eastAsia="宋体" w:hint="default"/>
          <w:b/>
          <w:bCs/>
          <w:sz w:val="24"/>
          <w:szCs w:val="24"/>
        </w:rPr>
      </w:pPr>
    </w:p>
    <w:p>
      <w:pPr>
        <w:spacing w:line="256" w:lineRule="auto" w:before="0"/>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公司发生的借款费用，可直接归属于符合资本化条件的资产的购建或者生产的，在符合资本化条件的</w:t>
      </w:r>
    </w:p>
    <w:p>
      <w:pPr>
        <w:pStyle w:val="Heading6"/>
        <w:spacing w:line="273" w:lineRule="auto" w:before="22"/>
        <w:ind w:left="154" w:right="1133"/>
        <w:jc w:val="both"/>
      </w:pPr>
      <w:r>
        <w:rPr>
          <w:spacing w:val="-1"/>
        </w:rPr>
        <w:t>情况下开始资本化，计入相关资产成本；其他借款费用，在发生时根据其发生额确认为费用，计入当期损</w:t>
      </w:r>
      <w:r>
        <w:rPr>
          <w:spacing w:val="-86"/>
        </w:rPr>
        <w:t> </w:t>
      </w:r>
      <w:r>
        <w:rPr>
          <w:spacing w:val="-86"/>
        </w:rPr>
      </w:r>
      <w:r>
        <w:rPr/>
        <w:t>益。</w:t>
      </w:r>
    </w:p>
    <w:p>
      <w:pPr>
        <w:pStyle w:val="Heading6"/>
        <w:spacing w:line="273" w:lineRule="auto"/>
        <w:ind w:left="154" w:right="0" w:firstLine="420"/>
        <w:jc w:val="left"/>
      </w:pPr>
      <w:r>
        <w:rPr>
          <w:spacing w:val="-1"/>
        </w:rPr>
        <w:t>符合资本化条件的资产，是指需要经过相当长时间的购建或者生产活动才能达到预定可使用或者可销</w:t>
      </w:r>
      <w:r>
        <w:rPr/>
        <w:t> 售状态的固定资产、投资性房地产和存货等资产。</w:t>
      </w:r>
    </w:p>
    <w:p>
      <w:pPr>
        <w:pStyle w:val="Heading6"/>
        <w:spacing w:line="240" w:lineRule="auto"/>
        <w:ind w:left="574" w:right="0"/>
        <w:jc w:val="left"/>
      </w:pPr>
      <w:r>
        <w:rPr/>
        <w:t>借款费用同时满足下列条件时开始资本化：</w:t>
      </w:r>
    </w:p>
    <w:p>
      <w:pPr>
        <w:pStyle w:val="Heading6"/>
        <w:spacing w:line="256" w:lineRule="auto" w:before="37"/>
        <w:ind w:left="154" w:right="1197"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Heading6"/>
        <w:spacing w:line="240" w:lineRule="auto" w:before="22"/>
        <w:ind w:left="574" w:right="0"/>
        <w:jc w:val="left"/>
      </w:pPr>
      <w:r>
        <w:rPr/>
        <w:t>（</w:t>
      </w:r>
      <w:r>
        <w:rPr>
          <w:rFonts w:ascii="Times New Roman" w:hAnsi="Times New Roman" w:cs="Times New Roman" w:eastAsia="Times New Roman" w:hint="default"/>
        </w:rPr>
        <w:t>2</w:t>
      </w:r>
      <w:r>
        <w:rPr/>
        <w:t>）借款费用已经发生；</w:t>
      </w:r>
    </w:p>
    <w:p>
      <w:pPr>
        <w:pStyle w:val="Heading6"/>
        <w:spacing w:line="240" w:lineRule="auto" w:before="21"/>
        <w:ind w:left="57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56" w:lineRule="auto" w:before="21"/>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Heading6"/>
        <w:spacing w:line="240" w:lineRule="auto" w:before="22"/>
        <w:ind w:left="154" w:right="0"/>
        <w:jc w:val="left"/>
      </w:pPr>
      <w:r>
        <w:rPr/>
        <w:t>包括在内。</w:t>
      </w:r>
    </w:p>
    <w:p>
      <w:pPr>
        <w:pStyle w:val="Heading6"/>
        <w:spacing w:line="273" w:lineRule="auto" w:before="37"/>
        <w:ind w:left="573"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Heading6"/>
        <w:spacing w:line="240" w:lineRule="auto"/>
        <w:ind w:right="0"/>
        <w:jc w:val="left"/>
      </w:pPr>
      <w:r>
        <w:rPr/>
        <w:t>止资本化。</w:t>
      </w:r>
    </w:p>
    <w:p>
      <w:pPr>
        <w:pStyle w:val="Heading6"/>
        <w:spacing w:line="273" w:lineRule="auto" w:before="37"/>
        <w:ind w:left="154" w:right="0" w:firstLine="420"/>
        <w:jc w:val="left"/>
      </w:pPr>
      <w:r>
        <w:rPr>
          <w:spacing w:val="-1"/>
        </w:rPr>
        <w:t>购建或者生产的资产的各部分分别完工，但必须等到整体完工后才可使用或可对外销售的，在该资产</w:t>
      </w:r>
      <w:r>
        <w:rPr/>
        <w:t> 整体完工时停止借款费用资本化。</w:t>
      </w:r>
    </w:p>
    <w:p>
      <w:pPr>
        <w:pStyle w:val="Heading6"/>
        <w:spacing w:line="256" w:lineRule="auto"/>
        <w:ind w:left="574" w:right="1197" w:hanging="420"/>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1130"/>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2"/>
        </w:rPr>
        <w:t> </w:t>
      </w:r>
      <w:r>
        <w:rPr>
          <w:spacing w:val="-82"/>
        </w:rPr>
      </w:r>
      <w:r>
        <w:rPr/>
        <w:t>或者生产活动重新开始后借款费用继续资本化。</w:t>
      </w:r>
    </w:p>
    <w:p>
      <w:pPr>
        <w:spacing w:line="256" w:lineRule="auto" w:before="7"/>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Heading6"/>
        <w:spacing w:line="273" w:lineRule="auto" w:before="22"/>
        <w:ind w:right="1110"/>
        <w:jc w:val="both"/>
      </w:pPr>
      <w:r>
        <w:rPr/>
        <w:t>投资收益）及其辅助费用在所购建或者生产的符合资本化条件的资产达到预定可使用或者可销售状态前， 予以资本化。</w:t>
      </w:r>
    </w:p>
    <w:p>
      <w:pPr>
        <w:pStyle w:val="Heading6"/>
        <w:spacing w:line="273" w:lineRule="auto"/>
        <w:ind w:right="1132" w:firstLine="420"/>
        <w:jc w:val="both"/>
      </w:pPr>
      <w:r>
        <w:rPr>
          <w:spacing w:val="-1"/>
        </w:rPr>
        <w:t>根据累计资产支出超过专门借款部分的资产支出加权平均数乘以所占用一般借款的资本化率，计算确</w:t>
      </w:r>
      <w:r>
        <w:rPr/>
        <w:t> 定一般借款应予资本化的利息金额。资本化率根据一般借款加权平均利率计算确定。</w:t>
      </w:r>
    </w:p>
    <w:p>
      <w:pPr>
        <w:pStyle w:val="Heading6"/>
        <w:spacing w:line="273" w:lineRule="auto"/>
        <w:ind w:right="1131" w:firstLine="420"/>
        <w:jc w:val="both"/>
      </w:pPr>
      <w:r>
        <w:rPr>
          <w:spacing w:val="-1"/>
        </w:rPr>
        <w:t>借款存在折价或者溢价的，按照实际利率法确定每一会计期间应摊销的折价或者溢价金额，调整每期</w:t>
      </w:r>
      <w:r>
        <w:rPr/>
        <w:t> 利息金额。</w:t>
      </w:r>
    </w:p>
    <w:p>
      <w:pPr>
        <w:spacing w:line="240" w:lineRule="auto" w:before="8"/>
        <w:rPr>
          <w:rFonts w:ascii="宋体" w:hAnsi="宋体" w:cs="宋体" w:eastAsia="宋体" w:hint="default"/>
          <w:sz w:val="23"/>
          <w:szCs w:val="23"/>
        </w:rPr>
      </w:pPr>
    </w:p>
    <w:p>
      <w:pPr>
        <w:pStyle w:val="Heading5"/>
        <w:spacing w:line="240" w:lineRule="auto"/>
        <w:ind w:right="0"/>
        <w:jc w:val="both"/>
        <w:rPr>
          <w:b w:val="0"/>
          <w:bCs w:val="0"/>
        </w:rPr>
      </w:pPr>
      <w:bookmarkStart w:name="16、无形资产" w:id="177"/>
      <w:bookmarkEnd w:id="177"/>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both"/>
        <w:rPr>
          <w:b w:val="0"/>
          <w:bCs w:val="0"/>
        </w:rPr>
      </w:pPr>
      <w:bookmarkStart w:name="（1）计价方法、使用寿命、减值测试" w:id="178"/>
      <w:bookmarkEnd w:id="17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无形资产是指本公司拥有或者控制的没有实物形态的可辨认非货币性资产。</w:t>
      </w:r>
    </w:p>
    <w:p>
      <w:pPr>
        <w:spacing w:line="240" w:lineRule="auto" w:before="7"/>
        <w:rPr>
          <w:rFonts w:ascii="宋体" w:hAnsi="宋体" w:cs="宋体" w:eastAsia="宋体" w:hint="default"/>
          <w:sz w:val="13"/>
          <w:szCs w:val="13"/>
        </w:rPr>
      </w:pPr>
    </w:p>
    <w:p>
      <w:pPr>
        <w:pStyle w:val="BodyText"/>
        <w:spacing w:line="396" w:lineRule="auto"/>
        <w:ind w:left="513" w:right="0" w:firstLine="1"/>
        <w:jc w:val="left"/>
      </w:pPr>
      <w:r>
        <w:rPr>
          <w:rFonts w:ascii="Times New Roman" w:hAnsi="Times New Roman" w:cs="Times New Roman" w:eastAsia="Times New Roman" w:hint="default"/>
          <w:b/>
          <w:bCs/>
        </w:rPr>
        <w:t>1</w:t>
      </w:r>
      <w:r>
        <w:rPr>
          <w:rFonts w:ascii="宋体" w:hAnsi="宋体" w:cs="宋体" w:eastAsia="宋体" w:hint="default"/>
          <w:b/>
          <w:bCs/>
        </w:rPr>
        <w:t>、无形资产的初始计量</w:t>
      </w:r>
      <w:r>
        <w:rPr>
          <w:rFonts w:ascii="宋体" w:hAnsi="宋体" w:cs="宋体" w:eastAsia="宋体" w:hint="default"/>
          <w:b/>
          <w:bCs/>
          <w:w w:val="99"/>
        </w:rPr>
        <w:t> </w:t>
      </w:r>
      <w:r>
        <w:rPr>
          <w:spacing w:val="-2"/>
        </w:rPr>
        <w:t>外购无形资产的成本，包括购买价款、相关税费以及直接归属于使该项资产达到预定用途所发生的其他支出。购买无形</w:t>
      </w:r>
    </w:p>
    <w:p>
      <w:pPr>
        <w:pStyle w:val="BodyText"/>
        <w:spacing w:line="196" w:lineRule="exact"/>
        <w:ind w:right="0"/>
        <w:jc w:val="both"/>
      </w:pPr>
      <w:r>
        <w:rPr/>
        <w:t>资产的价款超过正常信用条件延期支付，实质上具有融资性质的，无形资产的成本以购买价款的现值为基础确定。</w:t>
      </w:r>
    </w:p>
    <w:p>
      <w:pPr>
        <w:spacing w:line="240" w:lineRule="auto" w:before="5"/>
        <w:rPr>
          <w:rFonts w:ascii="宋体" w:hAnsi="宋体" w:cs="宋体" w:eastAsia="宋体" w:hint="default"/>
          <w:sz w:val="13"/>
          <w:szCs w:val="13"/>
        </w:rPr>
      </w:pPr>
    </w:p>
    <w:p>
      <w:pPr>
        <w:pStyle w:val="BodyText"/>
        <w:spacing w:line="319" w:lineRule="auto"/>
        <w:ind w:right="1132" w:firstLine="360"/>
        <w:jc w:val="both"/>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p>
    <w:p>
      <w:pPr>
        <w:pStyle w:val="BodyText"/>
        <w:spacing w:line="319" w:lineRule="auto" w:before="115"/>
        <w:ind w:left="154" w:right="1131"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9" w:lineRule="auto" w:before="116"/>
        <w:ind w:right="1131" w:firstLine="360"/>
        <w:jc w:val="both"/>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9" w:lineRule="auto" w:before="115"/>
        <w:ind w:left="154" w:right="1133" w:firstLine="360"/>
        <w:jc w:val="both"/>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spacing w:line="396" w:lineRule="auto" w:before="116"/>
        <w:ind w:left="513" w:right="247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、无形资产的后续计量</w:t>
      </w:r>
      <w:r>
        <w:rPr>
          <w:rFonts w:ascii="宋体" w:hAnsi="宋体" w:cs="宋体" w:eastAsia="宋体" w:hint="default"/>
          <w:b/>
          <w:bCs/>
          <w:w w:val="99"/>
          <w:sz w:val="18"/>
          <w:szCs w:val="18"/>
        </w:rPr>
        <w:t> </w:t>
      </w:r>
      <w:r>
        <w:rPr>
          <w:rFonts w:ascii="宋体" w:hAnsi="宋体" w:cs="宋体" w:eastAsia="宋体" w:hint="default"/>
          <w:sz w:val="18"/>
          <w:szCs w:val="18"/>
        </w:rPr>
        <w:t>本公司在取得无形资产时分析判断其使用寿命，划分为使用寿命有限和使用寿命不确定的无形资产。</w:t>
      </w:r>
    </w:p>
    <w:p>
      <w:pPr>
        <w:pStyle w:val="BodyText"/>
        <w:spacing w:line="209" w:lineRule="exact"/>
        <w:ind w:left="573" w:right="0"/>
        <w:jc w:val="left"/>
      </w:pPr>
      <w:r>
        <w:rPr/>
        <w:t>（</w:t>
      </w:r>
      <w:r>
        <w:rPr>
          <w:rFonts w:ascii="Times New Roman" w:hAnsi="Times New Roman" w:cs="Times New Roman" w:eastAsia="Times New Roman" w:hint="default"/>
        </w:rPr>
        <w:t>1</w:t>
      </w:r>
      <w:r>
        <w:rPr/>
        <w:t>）使用寿命有限的无形资产</w:t>
      </w:r>
    </w:p>
    <w:p>
      <w:pPr>
        <w:spacing w:line="240" w:lineRule="auto" w:before="7"/>
        <w:rPr>
          <w:rFonts w:ascii="宋体" w:hAnsi="宋体" w:cs="宋体" w:eastAsia="宋体" w:hint="default"/>
          <w:sz w:val="12"/>
          <w:szCs w:val="12"/>
        </w:rPr>
      </w:pPr>
    </w:p>
    <w:p>
      <w:pPr>
        <w:pStyle w:val="BodyText"/>
        <w:spacing w:line="316" w:lineRule="auto"/>
        <w:ind w:left="154" w:right="1132" w:firstLine="360"/>
        <w:jc w:val="both"/>
      </w:pPr>
      <w:r>
        <w:rPr>
          <w:spacing w:val="-2"/>
        </w:rPr>
        <w:t>对于使用寿命有限的无形资产，在为企业带来经济利益的期限内按直线法摊销。使用寿命有限的无形资产预计寿命及依</w:t>
      </w:r>
      <w:r>
        <w:rPr/>
        <w:t> 据如下：</w:t>
      </w:r>
    </w:p>
    <w:p>
      <w:pPr>
        <w:spacing w:line="240" w:lineRule="auto" w:before="2"/>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806"/>
        <w:gridCol w:w="1872"/>
        <w:gridCol w:w="3743"/>
      </w:tblGrid>
      <w:tr>
        <w:trPr>
          <w:trHeight w:val="356" w:hRule="exact"/>
        </w:trPr>
        <w:tc>
          <w:tcPr>
            <w:tcW w:w="2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预计使用寿命</w:t>
            </w:r>
          </w:p>
        </w:tc>
        <w:tc>
          <w:tcPr>
            <w:tcW w:w="37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5"/>
              <w:jc w:val="center"/>
              <w:rPr>
                <w:rFonts w:ascii="宋体" w:hAnsi="宋体" w:cs="宋体" w:eastAsia="宋体" w:hint="default"/>
                <w:sz w:val="16"/>
                <w:szCs w:val="16"/>
              </w:rPr>
            </w:pPr>
            <w:r>
              <w:rPr>
                <w:rFonts w:ascii="宋体" w:hAnsi="宋体" w:cs="宋体" w:eastAsia="宋体" w:hint="default"/>
                <w:sz w:val="16"/>
                <w:szCs w:val="16"/>
              </w:rPr>
              <w:t>依</w:t>
            </w:r>
            <w:r>
              <w:rPr>
                <w:rFonts w:ascii="宋体" w:hAnsi="宋体" w:cs="宋体" w:eastAsia="宋体" w:hint="default"/>
                <w:spacing w:val="47"/>
                <w:sz w:val="16"/>
                <w:szCs w:val="16"/>
              </w:rPr>
              <w:t> </w:t>
            </w:r>
            <w:r>
              <w:rPr>
                <w:rFonts w:ascii="宋体" w:hAnsi="宋体" w:cs="宋体" w:eastAsia="宋体" w:hint="default"/>
                <w:sz w:val="16"/>
                <w:szCs w:val="16"/>
              </w:rPr>
              <w:t>据</w:t>
            </w:r>
          </w:p>
        </w:tc>
      </w:tr>
      <w:tr>
        <w:trPr>
          <w:trHeight w:val="35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50</w:t>
            </w:r>
            <w:r>
              <w:rPr>
                <w:rFonts w:ascii="宋体" w:hAnsi="宋体" w:cs="宋体" w:eastAsia="宋体" w:hint="default"/>
                <w:sz w:val="16"/>
                <w:szCs w:val="16"/>
              </w:rPr>
              <w:t>年</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6"/>
                <w:szCs w:val="16"/>
              </w:rPr>
            </w:pPr>
            <w:r>
              <w:rPr>
                <w:rFonts w:ascii="宋体" w:hAnsi="宋体" w:cs="宋体" w:eastAsia="宋体" w:hint="default"/>
                <w:sz w:val="16"/>
                <w:szCs w:val="16"/>
              </w:rPr>
              <w:t>直线法</w:t>
            </w:r>
          </w:p>
        </w:tc>
      </w:tr>
      <w:tr>
        <w:trPr>
          <w:trHeight w:val="35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专有技术</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6"/>
                <w:szCs w:val="16"/>
              </w:rPr>
            </w:pPr>
            <w:r>
              <w:rPr>
                <w:rFonts w:ascii="宋体" w:hAnsi="宋体" w:cs="宋体" w:eastAsia="宋体" w:hint="default"/>
                <w:sz w:val="16"/>
                <w:szCs w:val="16"/>
              </w:rPr>
              <w:t>直线法</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计算机软件</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4-10</w:t>
            </w:r>
            <w:r>
              <w:rPr>
                <w:rFonts w:ascii="宋体" w:hAnsi="宋体" w:cs="宋体" w:eastAsia="宋体" w:hint="default"/>
                <w:sz w:val="16"/>
                <w:szCs w:val="16"/>
              </w:rPr>
              <w:t>年</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6"/>
                <w:szCs w:val="16"/>
              </w:rPr>
            </w:pPr>
            <w:r>
              <w:rPr>
                <w:rFonts w:ascii="宋体" w:hAnsi="宋体" w:cs="宋体" w:eastAsia="宋体" w:hint="default"/>
                <w:sz w:val="16"/>
                <w:szCs w:val="16"/>
              </w:rPr>
              <w:t>直线法</w:t>
            </w:r>
          </w:p>
        </w:tc>
      </w:tr>
    </w:tbl>
    <w:p>
      <w:pPr>
        <w:spacing w:line="240" w:lineRule="auto" w:before="9"/>
        <w:rPr>
          <w:rFonts w:ascii="宋体" w:hAnsi="宋体" w:cs="宋体" w:eastAsia="宋体" w:hint="default"/>
          <w:sz w:val="6"/>
          <w:szCs w:val="6"/>
        </w:rPr>
      </w:pPr>
    </w:p>
    <w:p>
      <w:pPr>
        <w:pStyle w:val="BodyText"/>
        <w:spacing w:line="420" w:lineRule="auto" w:before="44"/>
        <w:ind w:left="514" w:right="1032"/>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spacing w:after="0" w:line="42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98" w:lineRule="auto" w:before="44"/>
        <w:ind w:left="513" w:right="0" w:firstLine="60"/>
        <w:jc w:val="left"/>
      </w:pPr>
      <w:r>
        <w:rPr/>
        <w:t>（</w:t>
      </w:r>
      <w:r>
        <w:rPr>
          <w:rFonts w:ascii="Times New Roman" w:hAnsi="Times New Roman" w:cs="Times New Roman" w:eastAsia="Times New Roman" w:hint="default"/>
        </w:rPr>
        <w:t>2</w:t>
      </w:r>
      <w:r>
        <w:rPr/>
        <w:t>）使用寿命不确定的无形资产 </w:t>
      </w:r>
      <w:r>
        <w:rPr>
          <w:spacing w:val="-2"/>
        </w:rPr>
        <w:t>无法预见无形资产为企业带来经济利益期限的，视为使用寿命不确定的无形资产。对于使用寿命不确定的无形资产，在</w:t>
      </w:r>
    </w:p>
    <w:p>
      <w:pPr>
        <w:pStyle w:val="BodyText"/>
        <w:spacing w:line="192" w:lineRule="exact"/>
        <w:ind w:right="0"/>
        <w:jc w:val="left"/>
      </w:pPr>
      <w:r>
        <w:rPr/>
        <w:t>持有期间内不摊销，每期末对无形资产的寿命进行复核。如果期末重新复核后仍为不确定的，在每个会计期间继续进行减值</w:t>
      </w:r>
    </w:p>
    <w:p>
      <w:pPr>
        <w:pStyle w:val="BodyText"/>
        <w:spacing w:line="420" w:lineRule="auto" w:before="77"/>
        <w:ind w:right="6973"/>
        <w:jc w:val="left"/>
      </w:pPr>
      <w:r>
        <w:rPr/>
        <w:t>测试。 经复核，该类无形资产的使用寿命仍为不确定。</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bookmarkStart w:name="（2）内部研究开发支出会计政策" w:id="179"/>
      <w:bookmarkEnd w:id="17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spacing w:line="264" w:lineRule="auto" w:before="0"/>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研究阶段：为获取并理解新的科学或技术知识等而进行的独创性的有计划调查、研究活动的阶段。 </w:t>
      </w:r>
      <w:r>
        <w:rPr>
          <w:rFonts w:ascii="宋体" w:hAnsi="宋体" w:cs="宋体" w:eastAsia="宋体" w:hint="default"/>
          <w:spacing w:val="-1"/>
          <w:sz w:val="21"/>
          <w:szCs w:val="21"/>
        </w:rPr>
        <w:t>开发阶段：在进行商业性生产或使用前，将研究成果或其他知识应用于某项计划或设计，以生产出新</w:t>
      </w:r>
    </w:p>
    <w:p>
      <w:pPr>
        <w:pStyle w:val="Heading6"/>
        <w:spacing w:line="273" w:lineRule="auto" w:before="16"/>
        <w:ind w:left="574" w:right="4662" w:hanging="420"/>
        <w:jc w:val="left"/>
      </w:pPr>
      <w:r>
        <w:rPr/>
        <w:t>的或具有实质性改进的材料、装置、产品等活动的阶段。 内部研究开发项目研究阶段的支出，在发生时计入当期损益。</w:t>
      </w:r>
    </w:p>
    <w:p>
      <w:pPr>
        <w:spacing w:line="256" w:lineRule="auto" w:before="7"/>
        <w:ind w:left="573" w:right="340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Heading6"/>
        <w:spacing w:line="240" w:lineRule="auto" w:before="22"/>
        <w:ind w:left="57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6"/>
        <w:spacing w:line="240" w:lineRule="auto" w:before="21"/>
        <w:ind w:left="573" w:right="0"/>
        <w:jc w:val="left"/>
      </w:pPr>
      <w:r>
        <w:rPr/>
        <w:t>（</w:t>
      </w:r>
      <w:r>
        <w:rPr>
          <w:rFonts w:ascii="Times New Roman" w:hAnsi="Times New Roman" w:cs="Times New Roman" w:eastAsia="Times New Roman" w:hint="default"/>
        </w:rPr>
        <w:t>2</w:t>
      </w:r>
      <w:r>
        <w:rPr/>
        <w:t>）具有完成该无形资产并使用或出售的意图；</w:t>
      </w:r>
    </w:p>
    <w:p>
      <w:pPr>
        <w:pStyle w:val="Heading6"/>
        <w:spacing w:line="256" w:lineRule="auto" w:before="21"/>
        <w:ind w:right="1215" w:firstLine="42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Heading6"/>
        <w:spacing w:line="256" w:lineRule="auto" w:before="22"/>
        <w:ind w:right="1215" w:firstLine="42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Heading6"/>
        <w:spacing w:line="256" w:lineRule="auto" w:before="23"/>
        <w:ind w:left="574" w:right="0"/>
        <w:jc w:val="left"/>
      </w:pPr>
      <w:r>
        <w:rPr/>
        <w:t>（</w:t>
      </w:r>
      <w:r>
        <w:rPr>
          <w:rFonts w:ascii="Times New Roman" w:hAnsi="Times New Roman" w:cs="Times New Roman" w:eastAsia="Times New Roman" w:hint="default"/>
        </w:rPr>
        <w:t>5</w:t>
      </w:r>
      <w:r>
        <w:rPr/>
        <w:t>）归属于该无形资产开发阶段的支出能够可靠地计量。 </w:t>
      </w:r>
      <w:r>
        <w:rPr>
          <w:spacing w:val="-1"/>
        </w:rPr>
        <w:t>不满足上述条件的开发阶段的支出，于发生时计入当期损益。以前期间已计入损益的开发支出不在以</w:t>
      </w:r>
    </w:p>
    <w:p>
      <w:pPr>
        <w:pStyle w:val="Heading6"/>
        <w:spacing w:line="273" w:lineRule="auto" w:before="22"/>
        <w:ind w:left="154" w:right="0"/>
        <w:jc w:val="left"/>
      </w:pPr>
      <w:r>
        <w:rPr>
          <w:spacing w:val="-1"/>
        </w:rPr>
        <w:t>后期间重新确认为资产。已资本化的开发阶段的支出在资产负债表上列示为开发支出，自该项目达到预定</w:t>
      </w:r>
      <w:r>
        <w:rPr>
          <w:spacing w:val="-81"/>
        </w:rPr>
        <w:t> </w:t>
      </w:r>
      <w:r>
        <w:rPr>
          <w:spacing w:val="-81"/>
        </w:rPr>
      </w:r>
      <w:r>
        <w:rPr/>
        <w:t>用途之日起转为无形资产。</w:t>
      </w:r>
    </w:p>
    <w:p>
      <w:pPr>
        <w:spacing w:line="240" w:lineRule="auto" w:before="8"/>
        <w:rPr>
          <w:rFonts w:ascii="宋体" w:hAnsi="宋体" w:cs="宋体" w:eastAsia="宋体" w:hint="default"/>
          <w:sz w:val="24"/>
          <w:szCs w:val="24"/>
        </w:rPr>
      </w:pPr>
    </w:p>
    <w:p>
      <w:pPr>
        <w:pStyle w:val="Heading6"/>
        <w:spacing w:line="590" w:lineRule="atLeast" w:before="0"/>
        <w:ind w:left="574" w:right="1092" w:hanging="420"/>
        <w:jc w:val="left"/>
      </w:pPr>
      <w:bookmarkStart w:name="17、长期资产减值" w:id="180"/>
      <w:bookmarkEnd w:id="180"/>
      <w:r>
        <w:rPr/>
      </w:r>
      <w:r>
        <w:rPr>
          <w:rFonts w:ascii="Times New Roman" w:hAnsi="Times New Roman" w:cs="Times New Roman" w:eastAsia="Times New Roman" w:hint="default"/>
          <w:b/>
          <w:bCs/>
        </w:rPr>
        <w:t>17</w:t>
      </w:r>
      <w:r>
        <w:rPr>
          <w:rFonts w:ascii="宋体" w:hAnsi="宋体" w:cs="宋体" w:eastAsia="宋体" w:hint="default"/>
          <w:b/>
          <w:bCs/>
        </w:rPr>
        <w:t>、长期资产减值</w:t>
      </w:r>
      <w:r>
        <w:rPr>
          <w:rFonts w:ascii="宋体" w:hAnsi="宋体" w:cs="宋体" w:eastAsia="宋体" w:hint="default"/>
          <w:b/>
          <w:bCs/>
          <w:w w:val="99"/>
        </w:rPr>
        <w:t> </w:t>
      </w:r>
      <w:r>
        <w:rPr/>
        <w:t>本公司在资产负债表日判断长期资产是否存在可能发生减值的迹象。如果长期资产存在减值迹象的，</w:t>
      </w:r>
    </w:p>
    <w:p>
      <w:pPr>
        <w:pStyle w:val="Heading6"/>
        <w:spacing w:line="273" w:lineRule="auto" w:before="37"/>
        <w:ind w:left="154" w:right="0"/>
        <w:jc w:val="left"/>
      </w:pPr>
      <w:r>
        <w:rPr>
          <w:spacing w:val="-1"/>
        </w:rPr>
        <w:t>以单项资产为基础估计其可收回金额；难以对单项资产的可收回金额进行估计的，以该资产所属的资产组</w:t>
      </w:r>
      <w:r>
        <w:rPr>
          <w:spacing w:val="-81"/>
        </w:rPr>
        <w:t> </w:t>
      </w:r>
      <w:r>
        <w:rPr>
          <w:spacing w:val="-81"/>
        </w:rPr>
      </w:r>
      <w:r>
        <w:rPr/>
        <w:t>为基础确定资产组的可收回金额。</w:t>
      </w:r>
    </w:p>
    <w:p>
      <w:pPr>
        <w:pStyle w:val="Heading6"/>
        <w:spacing w:line="273" w:lineRule="auto"/>
        <w:ind w:left="154" w:right="1132" w:firstLine="420"/>
        <w:jc w:val="both"/>
      </w:pPr>
      <w:r>
        <w:rPr>
          <w:spacing w:val="-1"/>
        </w:rPr>
        <w:t>资产可收回金额的估计，根据其公允价值减去处置费用后的净额与资产预计未来现金流量的现值两者</w:t>
      </w:r>
      <w:r>
        <w:rPr/>
        <w:t> 之间较高者确定。</w:t>
      </w:r>
    </w:p>
    <w:p>
      <w:pPr>
        <w:pStyle w:val="Heading6"/>
        <w:spacing w:line="273" w:lineRule="auto"/>
        <w:ind w:left="154" w:right="1130" w:firstLine="420"/>
        <w:jc w:val="both"/>
      </w:pPr>
      <w:r>
        <w:rPr>
          <w:spacing w:val="-1"/>
        </w:rPr>
        <w:t>可收回金额的计量结果表明，长期资产的可收回金额低于其账面价值的，将长期资产的账面价值减记</w:t>
      </w:r>
      <w:r>
        <w:rPr/>
        <w:t> </w:t>
      </w:r>
      <w:r>
        <w:rPr>
          <w:spacing w:val="-1"/>
        </w:rPr>
        <w:t>至可收回金额，减记的金额确认为资产减值损失，计入当期损益，同时计提相应的资产减值准备。资产减</w:t>
      </w:r>
      <w:r>
        <w:rPr>
          <w:spacing w:val="-86"/>
        </w:rPr>
        <w:t> </w:t>
      </w:r>
      <w:r>
        <w:rPr>
          <w:spacing w:val="-86"/>
        </w:rPr>
      </w:r>
      <w:r>
        <w:rPr/>
        <w:t>值损失一经确认，在以后会计期间不得转回。</w:t>
      </w:r>
    </w:p>
    <w:p>
      <w:pPr>
        <w:pStyle w:val="Heading6"/>
        <w:spacing w:line="273" w:lineRule="auto"/>
        <w:ind w:left="154" w:right="1131" w:firstLine="420"/>
        <w:jc w:val="both"/>
      </w:pPr>
      <w:r>
        <w:rPr>
          <w:spacing w:val="-1"/>
        </w:rPr>
        <w:t>资产减值损失确认后，减值资产的折旧或者摊销费用在未来期间作相应调整，以使该资产在剩余使用</w:t>
      </w:r>
      <w:r>
        <w:rPr/>
        <w:t> 寿命内，系统地分摊调整后的资产账面价值（扣除预计净残值）。</w:t>
      </w:r>
    </w:p>
    <w:p>
      <w:pPr>
        <w:pStyle w:val="Heading6"/>
        <w:spacing w:line="273" w:lineRule="auto" w:before="8"/>
        <w:ind w:right="1131" w:firstLine="420"/>
        <w:jc w:val="both"/>
      </w:pPr>
      <w:r>
        <w:rPr>
          <w:spacing w:val="-1"/>
        </w:rPr>
        <w:t>因企业合并所形成的商誉和使用寿命不确定的无形资产，无论是否存在减值迹象，每年都进行减值测</w:t>
      </w:r>
      <w:r>
        <w:rPr/>
        <w:t> 试。</w:t>
      </w:r>
    </w:p>
    <w:p>
      <w:pPr>
        <w:pStyle w:val="Heading6"/>
        <w:spacing w:line="273" w:lineRule="auto"/>
        <w:ind w:left="154" w:right="1131" w:firstLine="420"/>
        <w:jc w:val="both"/>
      </w:pPr>
      <w:r>
        <w:rPr>
          <w:spacing w:val="-1"/>
        </w:rPr>
        <w:t>商誉结合与其相关的资产组或者资产组组合进行减值测试。在对包含商誉的相关资产组或者资产组组</w:t>
      </w:r>
      <w:r>
        <w:rPr/>
        <w:t> </w:t>
      </w:r>
      <w:r>
        <w:rPr>
          <w:spacing w:val="-1"/>
        </w:rPr>
        <w:t>合进行减值测试时，如与商誉相关的资产组或者资产组组合存在减值迹象的，先对不包含商誉的资产组或</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1131"/>
        <w:jc w:val="both"/>
      </w:pPr>
      <w:r>
        <w:rPr>
          <w:spacing w:val="-1"/>
        </w:rPr>
        <w:t>者资产组组合进行减值测试，计算可收回金额，并与相关账面价值相比较，确认相应的减值损失。再对包</w:t>
      </w:r>
      <w:r>
        <w:rPr>
          <w:spacing w:val="-86"/>
        </w:rPr>
        <w:t> </w:t>
      </w:r>
      <w:r>
        <w:rPr>
          <w:spacing w:val="-86"/>
        </w:rPr>
      </w:r>
      <w:r>
        <w:rPr>
          <w:spacing w:val="-1"/>
        </w:rPr>
        <w:t>含商誉的资产组或者资产组组合进行减值测试，比较这些相关资产组或者资产组组合的账面价值（包括所</w:t>
      </w:r>
      <w:r>
        <w:rPr>
          <w:spacing w:val="-81"/>
        </w:rPr>
        <w:t> </w:t>
      </w:r>
      <w:r>
        <w:rPr>
          <w:spacing w:val="-81"/>
        </w:rPr>
      </w:r>
      <w:r>
        <w:rPr>
          <w:spacing w:val="-1"/>
        </w:rPr>
        <w:t>分摊的商誉的账面价值部分）与其可收回金额，如相关资产组或者资产组组合的可收回金额低于其账面价</w:t>
      </w:r>
      <w:r>
        <w:rPr>
          <w:spacing w:val="-81"/>
        </w:rPr>
        <w:t> </w:t>
      </w:r>
      <w:r>
        <w:rPr>
          <w:spacing w:val="-81"/>
        </w:rPr>
      </w:r>
      <w:r>
        <w:rPr/>
        <w:t>值的，确认商誉的减值损失。</w:t>
      </w:r>
    </w:p>
    <w:p>
      <w:pPr>
        <w:spacing w:line="240" w:lineRule="auto" w:before="1"/>
        <w:rPr>
          <w:rFonts w:ascii="宋体" w:hAnsi="宋体" w:cs="宋体" w:eastAsia="宋体" w:hint="default"/>
          <w:sz w:val="23"/>
          <w:szCs w:val="23"/>
        </w:rPr>
      </w:pPr>
    </w:p>
    <w:p>
      <w:pPr>
        <w:pStyle w:val="Heading6"/>
        <w:spacing w:line="610" w:lineRule="atLeast" w:before="0"/>
        <w:ind w:left="574" w:right="0" w:hanging="420"/>
        <w:jc w:val="left"/>
      </w:pPr>
      <w:bookmarkStart w:name="18、长期待摊费用" w:id="181"/>
      <w:bookmarkEnd w:id="181"/>
      <w:r>
        <w:rPr/>
      </w:r>
      <w:r>
        <w:rPr>
          <w:rFonts w:ascii="Times New Roman" w:hAnsi="Times New Roman" w:cs="Times New Roman" w:eastAsia="Times New Roman" w:hint="default"/>
          <w:b/>
          <w:bCs/>
        </w:rPr>
        <w:t>18</w:t>
      </w:r>
      <w:r>
        <w:rPr>
          <w:rFonts w:ascii="宋体" w:hAnsi="宋体" w:cs="宋体" w:eastAsia="宋体" w:hint="default"/>
          <w:b/>
          <w:bCs/>
        </w:rPr>
        <w:t>、长期待摊费用</w:t>
      </w:r>
      <w:r>
        <w:rPr>
          <w:rFonts w:ascii="宋体" w:hAnsi="宋体" w:cs="宋体" w:eastAsia="宋体" w:hint="default"/>
          <w:b/>
          <w:bCs/>
          <w:w w:val="99"/>
        </w:rPr>
        <w:t> </w:t>
      </w:r>
      <w:r>
        <w:rPr>
          <w:spacing w:val="-1"/>
        </w:rPr>
        <w:t>本公司长期待摊费用是指已经支出，但受益期限在</w:t>
      </w:r>
      <w:r>
        <w:rPr>
          <w:rFonts w:ascii="Times New Roman" w:hAnsi="Times New Roman" w:cs="Times New Roman" w:eastAsia="Times New Roman" w:hint="default"/>
          <w:spacing w:val="-1"/>
        </w:rPr>
        <w:t>1</w:t>
      </w:r>
      <w:r>
        <w:rPr>
          <w:spacing w:val="-1"/>
        </w:rPr>
        <w:t>年以上（不含</w:t>
      </w:r>
      <w:r>
        <w:rPr>
          <w:rFonts w:ascii="Times New Roman" w:hAnsi="Times New Roman" w:cs="Times New Roman" w:eastAsia="Times New Roman" w:hint="default"/>
          <w:spacing w:val="-1"/>
        </w:rPr>
        <w:t>1</w:t>
      </w:r>
      <w:r>
        <w:rPr>
          <w:spacing w:val="-1"/>
        </w:rPr>
        <w:t>年）的各项费用，有明确受益期限</w:t>
      </w:r>
    </w:p>
    <w:p>
      <w:pPr>
        <w:pStyle w:val="Heading6"/>
        <w:spacing w:line="256" w:lineRule="auto" w:before="21"/>
        <w:ind w:right="1198"/>
        <w:jc w:val="left"/>
      </w:pPr>
      <w:r>
        <w:rPr/>
        <w:t>的，按受益期限平均摊销；无明确受益期的，分</w:t>
      </w:r>
      <w:r>
        <w:rPr>
          <w:rFonts w:ascii="Times New Roman" w:hAnsi="Times New Roman" w:cs="Times New Roman" w:eastAsia="Times New Roman" w:hint="default"/>
        </w:rPr>
        <w:t>5</w:t>
      </w:r>
      <w:r>
        <w:rPr/>
        <w:t>年平均摊销，一旦预计对以后会计期间不能带来经济利 益流入，就将摊余价值一次性计入当期损益。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left="154" w:right="0"/>
        <w:jc w:val="left"/>
        <w:rPr>
          <w:b w:val="0"/>
          <w:bCs w:val="0"/>
        </w:rPr>
      </w:pPr>
      <w:bookmarkStart w:name="19、职工薪酬" w:id="182"/>
      <w:bookmarkEnd w:id="182"/>
      <w:r>
        <w:rPr>
          <w:b w:val="0"/>
          <w:bCs w:val="0"/>
        </w:rPr>
      </w:r>
      <w:r>
        <w:rPr>
          <w:rFonts w:ascii="Times New Roman" w:hAnsi="Times New Roman" w:cs="Times New Roman" w:eastAsia="Times New Roman" w:hint="default"/>
        </w:rPr>
        <w:t>19</w:t>
      </w:r>
      <w:r>
        <w:rPr/>
        <w:t>、职工薪酬</w:t>
      </w:r>
      <w:r>
        <w:rPr>
          <w:b w:val="0"/>
          <w:bCs w:val="0"/>
        </w:rPr>
      </w:r>
    </w:p>
    <w:p>
      <w:pPr>
        <w:spacing w:line="590" w:lineRule="atLeast" w:before="23"/>
        <w:ind w:left="574" w:right="1302" w:hanging="420"/>
        <w:jc w:val="left"/>
        <w:rPr>
          <w:rFonts w:ascii="宋体" w:hAnsi="宋体" w:cs="宋体" w:eastAsia="宋体" w:hint="default"/>
          <w:sz w:val="21"/>
          <w:szCs w:val="21"/>
        </w:rPr>
      </w:pPr>
      <w:bookmarkStart w:name="（1）短期薪酬的会计处理方法" w:id="183"/>
      <w:bookmarkEnd w:id="1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短期薪酬是指本公司在职工提供相关服务的年度报告期间结束后十二个月内需要全部予以支付的职</w:t>
      </w:r>
    </w:p>
    <w:p>
      <w:pPr>
        <w:pStyle w:val="Heading6"/>
        <w:spacing w:line="273" w:lineRule="auto" w:before="37"/>
        <w:ind w:left="154" w:right="1023"/>
        <w:jc w:val="left"/>
      </w:pPr>
      <w:r>
        <w:rPr>
          <w:spacing w:val="-3"/>
        </w:rPr>
        <w:t>工薪酬，离职后福利和辞退福利除外。本公司在职工提供服务的会计期间，将应付的短期薪酬确认为负债，</w:t>
      </w:r>
      <w:r>
        <w:rPr>
          <w:spacing w:val="-90"/>
        </w:rPr>
        <w:t> </w:t>
      </w:r>
      <w:r>
        <w:rPr>
          <w:spacing w:val="-90"/>
        </w:rPr>
      </w:r>
      <w:r>
        <w:rPr/>
        <w:t>并根据职工提供服务的受益对象计入相关资产成本和费用。</w:t>
      </w:r>
    </w:p>
    <w:p>
      <w:pPr>
        <w:spacing w:line="240" w:lineRule="auto" w:before="8"/>
        <w:rPr>
          <w:rFonts w:ascii="宋体" w:hAnsi="宋体" w:cs="宋体" w:eastAsia="宋体" w:hint="default"/>
          <w:sz w:val="24"/>
          <w:szCs w:val="24"/>
        </w:rPr>
      </w:pPr>
    </w:p>
    <w:p>
      <w:pPr>
        <w:spacing w:line="590" w:lineRule="atLeast" w:before="0"/>
        <w:ind w:left="573" w:right="0" w:hanging="420"/>
        <w:jc w:val="left"/>
        <w:rPr>
          <w:rFonts w:ascii="宋体" w:hAnsi="宋体" w:cs="宋体" w:eastAsia="宋体" w:hint="default"/>
          <w:sz w:val="21"/>
          <w:szCs w:val="21"/>
        </w:rPr>
      </w:pPr>
      <w:bookmarkStart w:name="（2）离职后福利的会计处理方法" w:id="184"/>
      <w:bookmarkEnd w:id="1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离职后福利是指本公司为获得职工提供的服务而在职工退休或与企业解除劳动关系后，提供的各种形</w:t>
      </w:r>
    </w:p>
    <w:p>
      <w:pPr>
        <w:pStyle w:val="Heading6"/>
        <w:spacing w:line="273" w:lineRule="auto" w:before="37"/>
        <w:ind w:left="573" w:right="0" w:hanging="420"/>
        <w:jc w:val="left"/>
      </w:pPr>
      <w:r>
        <w:rPr/>
        <w:t>式的报酬和福利，短期薪酬和辞退福利除外。离职后福利计划分类为设定提存计划和设定受益计划。 </w:t>
      </w:r>
      <w:r>
        <w:rPr>
          <w:spacing w:val="-1"/>
        </w:rPr>
        <w:t>离职后福利设定提存计划主要为参加由各地劳动及社会保障机构组织实施的社会基本养老保险、失业</w:t>
      </w:r>
    </w:p>
    <w:p>
      <w:pPr>
        <w:pStyle w:val="Heading6"/>
        <w:spacing w:line="273" w:lineRule="auto"/>
        <w:ind w:right="0"/>
        <w:jc w:val="left"/>
      </w:pPr>
      <w:r>
        <w:rPr>
          <w:spacing w:val="-1"/>
        </w:rPr>
        <w:t>保险等。在职工为本公司提供服务的会计期间，将根据设定提存计划计算的应缴存金额确认为负债，并计</w:t>
      </w:r>
      <w:r>
        <w:rPr>
          <w:spacing w:val="-83"/>
        </w:rPr>
        <w:t> </w:t>
      </w:r>
      <w:r>
        <w:rPr>
          <w:spacing w:val="-83"/>
        </w:rPr>
      </w:r>
      <w:r>
        <w:rPr/>
        <w:t>入当期损益或相关资产成本。</w:t>
      </w:r>
    </w:p>
    <w:p>
      <w:pPr>
        <w:pStyle w:val="Heading6"/>
        <w:spacing w:line="240" w:lineRule="auto"/>
        <w:ind w:left="574" w:right="0"/>
        <w:jc w:val="left"/>
      </w:pPr>
      <w:r>
        <w:rPr/>
        <w:t>本公司按照国家规定的标准和年金计划定期缴付上述款项后，不再有其他的支付义务。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90" w:lineRule="atLeast" w:before="139"/>
        <w:ind w:left="573" w:right="0" w:hanging="420"/>
        <w:jc w:val="left"/>
        <w:rPr>
          <w:rFonts w:ascii="宋体" w:hAnsi="宋体" w:cs="宋体" w:eastAsia="宋体" w:hint="default"/>
          <w:sz w:val="21"/>
          <w:szCs w:val="21"/>
        </w:rPr>
      </w:pPr>
      <w:bookmarkStart w:name="（3）辞退福利的会计处理方法"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辞退福利是指本公司在职工劳动合同到期之前解除与职工的劳动关系，或者为鼓励职工自愿接受裁减</w:t>
      </w:r>
    </w:p>
    <w:p>
      <w:pPr>
        <w:pStyle w:val="Heading6"/>
        <w:spacing w:line="240" w:lineRule="auto" w:before="37"/>
        <w:ind w:right="0"/>
        <w:jc w:val="left"/>
      </w:pPr>
      <w:r>
        <w:rPr/>
        <w:t>而给予职工的补偿，在发生当期计入当期损益。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506" w:lineRule="auto" w:before="0"/>
        <w:ind w:left="154" w:right="2772" w:firstLine="0"/>
        <w:jc w:val="left"/>
        <w:rPr>
          <w:rFonts w:ascii="宋体" w:hAnsi="宋体" w:cs="宋体" w:eastAsia="宋体" w:hint="default"/>
          <w:sz w:val="21"/>
          <w:szCs w:val="21"/>
        </w:rPr>
      </w:pPr>
      <w:bookmarkStart w:name="（4）其他长期职工福利的会计处理方法"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其他长期职工福利是指除短期薪酬、离职后福利、辞退福利之外的其他所有职工福利。</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0、预计负债" w:id="187"/>
      <w:bookmarkEnd w:id="187"/>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7"/>
        <w:rPr>
          <w:rFonts w:ascii="宋体" w:hAnsi="宋体" w:cs="宋体" w:eastAsia="宋体" w:hint="default"/>
          <w:b/>
          <w:bCs/>
          <w:sz w:val="24"/>
          <w:szCs w:val="24"/>
        </w:rPr>
      </w:pPr>
    </w:p>
    <w:p>
      <w:pPr>
        <w:pStyle w:val="Heading6"/>
        <w:spacing w:line="268" w:lineRule="auto" w:before="0"/>
        <w:ind w:left="573" w:right="3823" w:hanging="420"/>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256" w:lineRule="auto" w:before="12"/>
        <w:ind w:left="574" w:right="31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本公司预计负债按履行相关现时义务所需的支出的最佳估计数进行初始计量。</w:t>
      </w:r>
    </w:p>
    <w:p>
      <w:pPr>
        <w:pStyle w:val="Heading6"/>
        <w:spacing w:line="273" w:lineRule="auto" w:before="22"/>
        <w:ind w:right="0" w:firstLine="420"/>
        <w:jc w:val="left"/>
      </w:pPr>
      <w:r>
        <w:rPr>
          <w:spacing w:val="-1"/>
        </w:rPr>
        <w:t>本公司在确定最佳估计数时，综合考虑与或有事项有关的风险、不确定性和货币时间价值等因素。对</w:t>
      </w:r>
      <w:r>
        <w:rPr/>
        <w:t> 于货币时间价值影响重大的，通过对相关未来现金流出进行折现后确定最佳估计数。</w:t>
      </w:r>
    </w:p>
    <w:p>
      <w:pPr>
        <w:pStyle w:val="Heading6"/>
        <w:spacing w:line="273" w:lineRule="auto"/>
        <w:ind w:left="573" w:right="0"/>
        <w:jc w:val="left"/>
      </w:pPr>
      <w:r>
        <w:rPr/>
        <w:t>最佳估计数分别以下情况处理： </w:t>
      </w:r>
      <w:r>
        <w:rPr>
          <w:spacing w:val="-1"/>
        </w:rPr>
        <w:t>所需支出存在一个连续范围（或区间），且该范围内各种结果发生的可能性相同的，则最佳估计数按</w:t>
      </w:r>
    </w:p>
    <w:p>
      <w:pPr>
        <w:pStyle w:val="Heading6"/>
        <w:spacing w:line="273" w:lineRule="auto"/>
        <w:ind w:left="574" w:right="0"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Heading6"/>
        <w:spacing w:line="273" w:lineRule="auto"/>
        <w:ind w:right="0"/>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 </w:t>
      </w:r>
      <w:r>
        <w:rPr>
          <w:spacing w:val="-1"/>
        </w:rPr>
        <w:t>本公司清偿预计负债所需支出全部或部分预期由第三方补偿的，补偿金额在基本确定能够收到时，作为资</w:t>
      </w:r>
      <w:r>
        <w:rPr>
          <w:spacing w:val="-81"/>
        </w:rPr>
        <w:t> </w:t>
      </w:r>
      <w:r>
        <w:rPr>
          <w:spacing w:val="-81"/>
        </w:rPr>
      </w:r>
      <w:r>
        <w:rPr/>
        <w:t>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21、股份支付" w:id="188"/>
      <w:bookmarkEnd w:id="188"/>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9"/>
        <w:rPr>
          <w:rFonts w:ascii="宋体" w:hAnsi="宋体" w:cs="宋体" w:eastAsia="宋体" w:hint="default"/>
          <w:b/>
          <w:bCs/>
          <w:sz w:val="24"/>
          <w:szCs w:val="24"/>
        </w:rPr>
      </w:pPr>
    </w:p>
    <w:p>
      <w:pPr>
        <w:spacing w:line="360" w:lineRule="auto" w:before="0"/>
        <w:ind w:left="514" w:right="4632" w:firstLine="62"/>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本公司的股份支付分为以权益结算的股份支付和以现金结算的股份支付。</w:t>
      </w:r>
    </w:p>
    <w:p>
      <w:pPr>
        <w:spacing w:line="396" w:lineRule="auto" w:before="87"/>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、权益工具公允价值的确定方法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对于授予的存在活跃市场的期权等权益工具，按照活跃市场中的报价确定其公允价值。对于授予的不存在活跃市场的期</w:t>
      </w:r>
    </w:p>
    <w:p>
      <w:pPr>
        <w:pStyle w:val="BodyText"/>
        <w:spacing w:line="209" w:lineRule="exact"/>
        <w:ind w:right="0"/>
        <w:jc w:val="left"/>
      </w:pPr>
      <w:r>
        <w:rPr/>
        <w:t>权等权益工具，采用期权定价模型等确定其公允价值，选用的期权定价模型考虑以下因素：（</w:t>
      </w:r>
      <w:r>
        <w:rPr>
          <w:rFonts w:ascii="Times New Roman" w:hAnsi="Times New Roman" w:cs="Times New Roman" w:eastAsia="Times New Roman" w:hint="default"/>
        </w:rPr>
        <w:t>1</w:t>
      </w:r>
      <w:r>
        <w:rPr/>
        <w:t>）期权的行权价格；（</w:t>
      </w:r>
      <w:r>
        <w:rPr>
          <w:rFonts w:ascii="Times New Roman" w:hAnsi="Times New Roman" w:cs="Times New Roman" w:eastAsia="Times New Roman" w:hint="default"/>
        </w:rPr>
        <w:t>2</w:t>
      </w:r>
      <w:r>
        <w:rPr/>
        <w:t>）期</w:t>
      </w:r>
    </w:p>
    <w:p>
      <w:pPr>
        <w:pStyle w:val="BodyText"/>
        <w:spacing w:line="396" w:lineRule="auto" w:before="64"/>
        <w:ind w:left="513" w:right="0" w:hanging="360"/>
        <w:jc w:val="left"/>
      </w:pPr>
      <w:r>
        <w:rPr>
          <w:spacing w:val="-4"/>
        </w:rPr>
        <w:t>权的有效期；（</w:t>
      </w:r>
      <w:r>
        <w:rPr>
          <w:rFonts w:ascii="Times New Roman" w:hAnsi="Times New Roman" w:cs="Times New Roman" w:eastAsia="Times New Roman" w:hint="default"/>
          <w:spacing w:val="-4"/>
        </w:rPr>
        <w:t>3</w:t>
      </w:r>
      <w:r>
        <w:rPr>
          <w:spacing w:val="-4"/>
        </w:rPr>
        <w:t>）标的股份的现行价格；（</w:t>
      </w:r>
      <w:r>
        <w:rPr>
          <w:rFonts w:ascii="Times New Roman" w:hAnsi="Times New Roman" w:cs="Times New Roman" w:eastAsia="Times New Roman" w:hint="default"/>
          <w:spacing w:val="-4"/>
        </w:rPr>
        <w:t>4</w:t>
      </w:r>
      <w:r>
        <w:rPr>
          <w:spacing w:val="-4"/>
        </w:rPr>
        <w:t>）股价预计波动率；（</w:t>
      </w:r>
      <w:r>
        <w:rPr>
          <w:rFonts w:ascii="Times New Roman" w:hAnsi="Times New Roman" w:cs="Times New Roman" w:eastAsia="Times New Roman" w:hint="default"/>
          <w:spacing w:val="-4"/>
        </w:rPr>
        <w:t>5</w:t>
      </w:r>
      <w:r>
        <w:rPr>
          <w:spacing w:val="-4"/>
        </w:rPr>
        <w:t>）股份的预计股利；（</w:t>
      </w:r>
      <w:r>
        <w:rPr>
          <w:rFonts w:ascii="Times New Roman" w:hAnsi="Times New Roman" w:cs="Times New Roman" w:eastAsia="Times New Roman" w:hint="default"/>
          <w:spacing w:val="-4"/>
        </w:rPr>
        <w:t>6</w:t>
      </w:r>
      <w:r>
        <w:rPr>
          <w:spacing w:val="-4"/>
        </w:rPr>
        <w:t>）期权有效期内的无风险利率。</w:t>
      </w:r>
      <w:r>
        <w:rPr>
          <w:spacing w:val="-38"/>
        </w:rPr>
        <w:t> </w:t>
      </w:r>
      <w:r>
        <w:rPr>
          <w:spacing w:val="-38"/>
        </w:rPr>
      </w:r>
      <w:r>
        <w:rPr>
          <w:spacing w:val="-2"/>
        </w:rPr>
        <w:t>在确定权益工具授予日的公允价值时，考虑股份支付协议规定的可行权条件中的市场条件和非可行权条件的影响。股份</w:t>
      </w:r>
    </w:p>
    <w:p>
      <w:pPr>
        <w:pStyle w:val="BodyText"/>
        <w:spacing w:line="195" w:lineRule="exact"/>
        <w:ind w:right="0"/>
        <w:jc w:val="left"/>
      </w:pPr>
      <w:r>
        <w:rPr/>
        <w:t>支付存在非可行权条件的，只要职工或其他方满足了所有可行权条件中的非市场条件（如服务期限等），即确认已得到服务</w:t>
      </w:r>
    </w:p>
    <w:p>
      <w:pPr>
        <w:pStyle w:val="BodyText"/>
        <w:spacing w:line="240" w:lineRule="auto" w:before="77"/>
        <w:ind w:right="0"/>
        <w:jc w:val="left"/>
      </w:pPr>
      <w:r>
        <w:rPr/>
        <w:t>相对应的成本费用。</w:t>
      </w:r>
    </w:p>
    <w:p>
      <w:pPr>
        <w:spacing w:line="240" w:lineRule="auto" w:before="7"/>
        <w:rPr>
          <w:rFonts w:ascii="宋体" w:hAnsi="宋体" w:cs="宋体" w:eastAsia="宋体" w:hint="default"/>
          <w:sz w:val="13"/>
          <w:szCs w:val="13"/>
        </w:rPr>
      </w:pPr>
    </w:p>
    <w:p>
      <w:pPr>
        <w:spacing w:line="396"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、确定可行权权益工具最佳估计的依据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等待期内每个资产负债表日，根据最新取得的可行权职工人数变动等后续信息作出最佳估计，修正预计可行权的权益工</w:t>
      </w:r>
    </w:p>
    <w:p>
      <w:pPr>
        <w:pStyle w:val="BodyText"/>
        <w:spacing w:line="196" w:lineRule="exact"/>
        <w:ind w:right="0"/>
        <w:jc w:val="left"/>
      </w:pPr>
      <w:r>
        <w:rPr/>
        <w:t>具数量。在可行权日，最终预计可行权权益工具的数量与实际可行权数量一致。</w:t>
      </w:r>
    </w:p>
    <w:p>
      <w:pPr>
        <w:spacing w:line="240" w:lineRule="auto" w:before="6"/>
        <w:rPr>
          <w:rFonts w:ascii="宋体" w:hAnsi="宋体" w:cs="宋体" w:eastAsia="宋体" w:hint="default"/>
          <w:sz w:val="13"/>
          <w:szCs w:val="13"/>
        </w:rPr>
      </w:pPr>
    </w:p>
    <w:p>
      <w:pPr>
        <w:spacing w:line="396"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、实施、修改、终止股份支付计划的相关会计处理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以权益结算的股份支付，按授予职工权益工具的公允价值计量。授予后立即可行权的，在授予日按照权益工具的公允价</w:t>
      </w:r>
    </w:p>
    <w:p>
      <w:pPr>
        <w:pStyle w:val="BodyText"/>
        <w:spacing w:line="195" w:lineRule="exact"/>
        <w:ind w:right="0"/>
        <w:jc w:val="left"/>
      </w:pPr>
      <w:r>
        <w:rPr/>
        <w:t>值计入相关成本或费用，相应增加资本公积。在完成等待期内的服务或达到规定业绩条件才可行权的，在等待期内的每个资</w:t>
      </w:r>
    </w:p>
    <w:p>
      <w:pPr>
        <w:pStyle w:val="BodyText"/>
        <w:spacing w:line="319" w:lineRule="auto" w:before="77"/>
        <w:ind w:right="0"/>
        <w:jc w:val="left"/>
      </w:pPr>
      <w:r>
        <w:rPr>
          <w:spacing w:val="-2"/>
        </w:rPr>
        <w:t>产负债表日，以对可行权权益工具数量的最佳估计为基础，按照权益工具授予日的公允价值，将当期取得的服务计入相关成</w:t>
      </w:r>
      <w:r>
        <w:rPr>
          <w:spacing w:val="-66"/>
        </w:rPr>
        <w:t> </w:t>
      </w:r>
      <w:r>
        <w:rPr>
          <w:spacing w:val="-66"/>
        </w:rPr>
      </w:r>
      <w:r>
        <w:rPr/>
        <w:t>本或费用和资本公积。在可行权日之后不再对已确认的相关成本或费用和所有者权益总额进行调整。</w:t>
      </w:r>
    </w:p>
    <w:p>
      <w:pPr>
        <w:pStyle w:val="BodyText"/>
        <w:spacing w:line="316" w:lineRule="auto" w:before="115"/>
        <w:ind w:right="0" w:firstLine="360"/>
        <w:jc w:val="left"/>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p>
    <w:p>
      <w:pPr>
        <w:spacing w:after="0" w:line="316" w:lineRule="auto"/>
        <w:jc w:val="left"/>
        <w:sectPr>
          <w:footerReference w:type="default" r:id="rId18"/>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jc w:val="both"/>
      </w:pPr>
      <w:r>
        <w:rPr>
          <w:spacing w:val="-2"/>
        </w:rPr>
        <w:t>业绩条件以后才可行权的以现金结算的股份支付，在等待期内的每个资产负债表日，以对可行权情况的最佳估计为基础，按</w:t>
      </w:r>
      <w:r>
        <w:rPr>
          <w:spacing w:val="-66"/>
        </w:rPr>
        <w:t> </w:t>
      </w:r>
      <w:r>
        <w:rPr>
          <w:spacing w:val="-66"/>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spacing w:line="396" w:lineRule="auto" w:before="116"/>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、对于存在修改条款和条件的情况的，本期的修改情况及相关会计处理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若在等待期内取消了授予的权益工具，本公司对取消所授予的权益性工具作为加速行权处理，将剩余等待期内应确认的</w:t>
      </w:r>
    </w:p>
    <w:p>
      <w:pPr>
        <w:pStyle w:val="BodyText"/>
        <w:spacing w:line="195" w:lineRule="exact"/>
        <w:ind w:right="0"/>
        <w:jc w:val="both"/>
      </w:pPr>
      <w:r>
        <w:rPr/>
        <w:t>金额立即计入当期损益，同时确认资本公积。职工或其他方能够选择满足非可行权条件但在等待期内未满足的，本公司将其</w:t>
      </w:r>
    </w:p>
    <w:p>
      <w:pPr>
        <w:pStyle w:val="BodyText"/>
        <w:spacing w:line="240" w:lineRule="auto" w:before="77"/>
        <w:ind w:right="0"/>
        <w:jc w:val="both"/>
      </w:pPr>
      <w:r>
        <w:rPr/>
        <w:t>作为授予权益工具的取消处理。</w:t>
      </w:r>
    </w:p>
    <w:p>
      <w:pPr>
        <w:spacing w:line="240" w:lineRule="auto" w:before="10"/>
        <w:rPr>
          <w:rFonts w:ascii="宋体" w:hAnsi="宋体" w:cs="宋体" w:eastAsia="宋体" w:hint="default"/>
          <w:sz w:val="26"/>
          <w:szCs w:val="26"/>
        </w:rPr>
      </w:pPr>
    </w:p>
    <w:p>
      <w:pPr>
        <w:pStyle w:val="Heading5"/>
        <w:spacing w:line="240" w:lineRule="auto"/>
        <w:ind w:right="0"/>
        <w:jc w:val="both"/>
        <w:rPr>
          <w:b w:val="0"/>
          <w:bCs w:val="0"/>
        </w:rPr>
      </w:pPr>
      <w:bookmarkStart w:name="22、收入" w:id="189"/>
      <w:bookmarkEnd w:id="189"/>
      <w:r>
        <w:rPr>
          <w:b w:val="0"/>
          <w:bCs w:val="0"/>
        </w:rPr>
      </w:r>
      <w:r>
        <w:rPr>
          <w:rFonts w:ascii="Times New Roman" w:hAnsi="Times New Roman" w:cs="Times New Roman" w:eastAsia="Times New Roman" w:hint="default"/>
        </w:rPr>
        <w:t>22</w:t>
      </w:r>
      <w:r>
        <w:rPr/>
        <w:t>、收入</w:t>
      </w:r>
      <w:r>
        <w:rPr>
          <w:b w:val="0"/>
          <w:bCs w:val="0"/>
        </w:rPr>
      </w:r>
    </w:p>
    <w:p>
      <w:pPr>
        <w:spacing w:line="240" w:lineRule="auto" w:before="9"/>
        <w:rPr>
          <w:rFonts w:ascii="宋体" w:hAnsi="宋体" w:cs="宋体" w:eastAsia="宋体" w:hint="default"/>
          <w:b/>
          <w:bCs/>
          <w:sz w:val="26"/>
          <w:szCs w:val="26"/>
        </w:rPr>
      </w:pPr>
    </w:p>
    <w:p>
      <w:pPr>
        <w:spacing w:line="396"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195" w:lineRule="exact"/>
        <w:ind w:right="0"/>
        <w:jc w:val="both"/>
      </w:pPr>
      <w:r>
        <w:rPr/>
        <w:t>出的商品实施有效控制；收入的金额能够可靠地计量；相关的经济利益很可能流入企业；相关的已发生或将发生的成本能够</w:t>
      </w:r>
    </w:p>
    <w:p>
      <w:pPr>
        <w:pStyle w:val="BodyText"/>
        <w:spacing w:line="240" w:lineRule="auto" w:before="77"/>
        <w:ind w:right="0"/>
        <w:jc w:val="both"/>
      </w:pPr>
      <w:r>
        <w:rPr/>
        <w:t>可靠地计量时，确认商品销售收入实现。</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具体地，成套开关设备收入确认的时点是：本公司与客户签订销售合同后，根据合同要求组织生产，产品完工后验收入</w:t>
      </w:r>
      <w:r>
        <w:rPr/>
        <w:t> </w:t>
      </w:r>
      <w:r>
        <w:rPr>
          <w:spacing w:val="-2"/>
        </w:rPr>
        <w:t>库，根据客户要求开具出库单将产品发到指定地点进行安装调试，安装调试达到验收标准后即获得收取货款的权利，据此开</w:t>
      </w:r>
      <w:r>
        <w:rPr>
          <w:spacing w:val="-66"/>
        </w:rPr>
        <w:t> </w:t>
      </w:r>
      <w:r>
        <w:rPr>
          <w:spacing w:val="-66"/>
        </w:rPr>
      </w:r>
      <w:r>
        <w:rPr/>
        <w:t>具发票确认收入。</w:t>
      </w:r>
    </w:p>
    <w:p>
      <w:pPr>
        <w:pStyle w:val="BodyText"/>
        <w:spacing w:line="316" w:lineRule="auto" w:before="19"/>
        <w:ind w:right="0" w:firstLine="360"/>
        <w:jc w:val="left"/>
      </w:pPr>
      <w:r>
        <w:rPr>
          <w:spacing w:val="-2"/>
        </w:rPr>
        <w:t>其他产品确认的时点是：本公司根据合同要求组织生产，于仓库发出产品，开具出库单，获得收取货款的权利，据此开</w:t>
      </w:r>
      <w:r>
        <w:rPr/>
        <w:t> 具发票确认收入。</w:t>
      </w:r>
    </w:p>
    <w:p>
      <w:pPr>
        <w:spacing w:line="398" w:lineRule="auto" w:before="119"/>
        <w:ind w:left="513" w:right="103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与交易相关的经济利益很可能流入企业，收入的金额能够可靠地计量时，分别下列情况确定让渡资产使用权收入金额：</w:t>
      </w:r>
    </w:p>
    <w:p>
      <w:pPr>
        <w:pStyle w:val="BodyText"/>
        <w:spacing w:line="240" w:lineRule="auto" w:before="57"/>
        <w:ind w:left="51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spacing w:line="240" w:lineRule="auto" w:before="7"/>
        <w:rPr>
          <w:rFonts w:ascii="宋体" w:hAnsi="宋体" w:cs="宋体" w:eastAsia="宋体" w:hint="default"/>
          <w:sz w:val="12"/>
          <w:szCs w:val="12"/>
        </w:rPr>
      </w:pPr>
    </w:p>
    <w:p>
      <w:pPr>
        <w:pStyle w:val="BodyText"/>
        <w:spacing w:line="240" w:lineRule="auto"/>
        <w:ind w:left="513"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5"/>
        <w:rPr>
          <w:rFonts w:ascii="宋体" w:hAnsi="宋体" w:cs="宋体" w:eastAsia="宋体" w:hint="default"/>
          <w:sz w:val="12"/>
          <w:szCs w:val="12"/>
        </w:rPr>
      </w:pPr>
    </w:p>
    <w:p>
      <w:pPr>
        <w:spacing w:line="396"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b/>
          <w:bCs/>
          <w:w w:val="99"/>
          <w:sz w:val="18"/>
          <w:szCs w:val="18"/>
        </w:rPr>
        <w:t> </w:t>
      </w:r>
      <w:r>
        <w:rPr>
          <w:rFonts w:ascii="宋体" w:hAnsi="宋体" w:cs="宋体" w:eastAsia="宋体" w:hint="default"/>
          <w:spacing w:val="-4"/>
          <w:sz w:val="18"/>
          <w:szCs w:val="18"/>
        </w:rPr>
        <w:t>在资产负债表日提供劳务交易的结果能够可靠估计的，采用完工百分比法确认提供劳务收入。提供劳务交易的完工进度，</w:t>
      </w:r>
    </w:p>
    <w:p>
      <w:pPr>
        <w:pStyle w:val="BodyText"/>
        <w:spacing w:line="196" w:lineRule="exact"/>
        <w:ind w:right="0"/>
        <w:jc w:val="both"/>
      </w:pPr>
      <w:r>
        <w:rPr/>
        <w:t>依据已完工作的测量确定。</w:t>
      </w:r>
    </w:p>
    <w:p>
      <w:pPr>
        <w:spacing w:line="240" w:lineRule="auto" w:before="7"/>
        <w:rPr>
          <w:rFonts w:ascii="宋体" w:hAnsi="宋体" w:cs="宋体" w:eastAsia="宋体" w:hint="default"/>
          <w:sz w:val="13"/>
          <w:szCs w:val="13"/>
        </w:rPr>
      </w:pPr>
    </w:p>
    <w:p>
      <w:pPr>
        <w:pStyle w:val="BodyText"/>
        <w:spacing w:line="240" w:lineRule="auto"/>
        <w:ind w:left="513" w:right="0"/>
        <w:jc w:val="left"/>
      </w:pPr>
      <w:r>
        <w:rPr/>
        <w:t>提供劳务交易的结果能够可靠估计，是指同时满足下列条件：</w:t>
      </w:r>
    </w:p>
    <w:p>
      <w:pPr>
        <w:spacing w:line="240" w:lineRule="auto" w:before="6"/>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1</w:t>
      </w:r>
      <w:r>
        <w:rPr/>
        <w:t>）收入的金额能够可靠地计量；</w:t>
      </w:r>
    </w:p>
    <w:p>
      <w:pPr>
        <w:spacing w:line="240" w:lineRule="auto" w:before="5"/>
        <w:rPr>
          <w:rFonts w:ascii="宋体" w:hAnsi="宋体" w:cs="宋体" w:eastAsia="宋体" w:hint="default"/>
          <w:sz w:val="12"/>
          <w:szCs w:val="12"/>
        </w:rPr>
      </w:pPr>
    </w:p>
    <w:p>
      <w:pPr>
        <w:pStyle w:val="BodyText"/>
        <w:spacing w:line="240" w:lineRule="auto"/>
        <w:ind w:left="513" w:right="0"/>
        <w:jc w:val="left"/>
      </w:pPr>
      <w:r>
        <w:rPr/>
        <w:t>（</w:t>
      </w:r>
      <w:r>
        <w:rPr>
          <w:rFonts w:ascii="Times New Roman" w:hAnsi="Times New Roman" w:cs="Times New Roman" w:eastAsia="Times New Roman" w:hint="default"/>
        </w:rPr>
        <w:t>2</w:t>
      </w:r>
      <w:r>
        <w:rPr/>
        <w:t>）相关的经济利益很可能流入企业；</w:t>
      </w:r>
    </w:p>
    <w:p>
      <w:pPr>
        <w:spacing w:line="240" w:lineRule="auto" w:before="7"/>
        <w:rPr>
          <w:rFonts w:ascii="宋体" w:hAnsi="宋体" w:cs="宋体" w:eastAsia="宋体" w:hint="default"/>
          <w:sz w:val="12"/>
          <w:szCs w:val="12"/>
        </w:rPr>
      </w:pPr>
    </w:p>
    <w:p>
      <w:pPr>
        <w:pStyle w:val="BodyText"/>
        <w:spacing w:line="240" w:lineRule="auto"/>
        <w:ind w:left="513" w:right="0"/>
        <w:jc w:val="left"/>
      </w:pPr>
      <w:r>
        <w:rPr/>
        <w:t>（</w:t>
      </w:r>
      <w:r>
        <w:rPr>
          <w:rFonts w:ascii="Times New Roman" w:hAnsi="Times New Roman" w:cs="Times New Roman" w:eastAsia="Times New Roman" w:hint="default"/>
        </w:rPr>
        <w:t>3</w:t>
      </w:r>
      <w:r>
        <w:rPr/>
        <w:t>）交易的完工进度能够可靠地确定；</w:t>
      </w:r>
    </w:p>
    <w:p>
      <w:pPr>
        <w:spacing w:line="240" w:lineRule="auto" w:before="5"/>
        <w:rPr>
          <w:rFonts w:ascii="宋体" w:hAnsi="宋体" w:cs="宋体" w:eastAsia="宋体" w:hint="default"/>
          <w:sz w:val="12"/>
          <w:szCs w:val="12"/>
        </w:rPr>
      </w:pPr>
    </w:p>
    <w:p>
      <w:pPr>
        <w:pStyle w:val="BodyText"/>
        <w:spacing w:line="396" w:lineRule="auto"/>
        <w:ind w:left="514" w:right="0"/>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195" w:lineRule="exact"/>
        <w:ind w:left="154" w:right="0"/>
        <w:jc w:val="both"/>
      </w:pPr>
      <w:r>
        <w:rPr/>
        <w:t>日按照提供劳务收入总额乘以完工进度扣除以前会计期间累计已确认提供劳务收入后的金额</w:t>
      </w:r>
      <w:r>
        <w:rPr>
          <w:spacing w:val="-87"/>
        </w:rPr>
        <w:t>，</w:t>
      </w:r>
      <w:r>
        <w:rPr/>
        <w:t>确认当期提供劳务收入</w:t>
      </w:r>
      <w:r>
        <w:rPr>
          <w:spacing w:val="-87"/>
        </w:rPr>
        <w:t>；</w:t>
      </w:r>
      <w:r>
        <w:rPr/>
        <w:t>同时，</w:t>
      </w:r>
    </w:p>
    <w:p>
      <w:pPr>
        <w:pStyle w:val="BodyText"/>
        <w:spacing w:line="420" w:lineRule="auto" w:before="77"/>
        <w:ind w:left="513" w:right="2113" w:hanging="360"/>
        <w:jc w:val="left"/>
      </w:pPr>
      <w:r>
        <w:rPr/>
        <w:t>按照提供劳务估计总成本乘以完工进度扣除以前会计期间累计已确认劳务成本后的金额，结转当期劳务成本。 在资产负债表日提供劳务交易结果不能够可靠估计的，分别下列情况处理：</w:t>
      </w:r>
    </w:p>
    <w:p>
      <w:pPr>
        <w:pStyle w:val="BodyText"/>
        <w:spacing w:line="302" w:lineRule="auto" w:before="40"/>
        <w:ind w:left="154" w:right="1122"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 劳务成本。</w:t>
      </w:r>
    </w:p>
    <w:p>
      <w:pPr>
        <w:pStyle w:val="BodyText"/>
        <w:spacing w:line="240" w:lineRule="auto" w:before="129"/>
        <w:ind w:left="514"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w:t>
      </w:r>
    </w:p>
    <w:p>
      <w:pPr>
        <w:spacing w:after="0" w:line="240" w:lineRule="auto"/>
        <w:jc w:val="left"/>
        <w:sectPr>
          <w:footerReference w:type="default" r:id="rId19"/>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t>本公司与其他企业签订的合同或协议包括销售商品和提供劳务时，销售商品部分和提供劳务部分能够区分且能够单独计量</w:t>
      </w:r>
      <w:r>
        <w:rPr>
          <w:spacing w:val="-9"/>
        </w:rPr>
        <w:t> </w:t>
      </w:r>
      <w:r>
        <w:rPr>
          <w:spacing w:val="-9"/>
        </w:rPr>
      </w:r>
      <w:r>
        <w:rPr>
          <w:spacing w:val="-4"/>
        </w:rPr>
        <w:t>的，将销售商品的部分作为销售商品处理，将提供劳务的部分作为提供劳务处理。销售商品部分和提供劳务部分不能够区分，</w:t>
      </w:r>
      <w:r>
        <w:rPr>
          <w:spacing w:val="-44"/>
        </w:rPr>
        <w:t> </w:t>
      </w:r>
      <w:r>
        <w:rPr>
          <w:spacing w:val="-44"/>
        </w:rPr>
      </w:r>
      <w:r>
        <w:rPr/>
        <w:t>或虽能区分但不能够单独计量的，将销售商品部分和提供劳务部分全部作为销售商品处理。</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bookmarkStart w:name="23、政府补助" w:id="190"/>
      <w:bookmarkEnd w:id="190"/>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10"/>
        <w:rPr>
          <w:rFonts w:ascii="宋体" w:hAnsi="宋体" w:cs="宋体" w:eastAsia="宋体" w:hint="default"/>
          <w:b/>
          <w:bCs/>
          <w:sz w:val="24"/>
          <w:szCs w:val="24"/>
        </w:rPr>
      </w:pPr>
    </w:p>
    <w:p>
      <w:pPr>
        <w:spacing w:line="506" w:lineRule="auto" w:before="0"/>
        <w:ind w:left="574" w:right="1092" w:hanging="420"/>
        <w:jc w:val="left"/>
        <w:rPr>
          <w:rFonts w:ascii="宋体" w:hAnsi="宋体" w:cs="宋体" w:eastAsia="宋体" w:hint="default"/>
          <w:sz w:val="21"/>
          <w:szCs w:val="21"/>
        </w:rPr>
      </w:pPr>
      <w:bookmarkStart w:name="（1）与资产相关的政府补助判断依据及会计处理方法"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与资产相关的政府补助，确认为递延收益，按照所建造或购买的资产使用年限分期计入营业外收入；</w:t>
      </w:r>
    </w:p>
    <w:p>
      <w:pPr>
        <w:spacing w:line="590" w:lineRule="atLeast" w:before="118"/>
        <w:ind w:left="574" w:right="0" w:hanging="420"/>
        <w:jc w:val="left"/>
        <w:rPr>
          <w:rFonts w:ascii="宋体" w:hAnsi="宋体" w:cs="宋体" w:eastAsia="宋体" w:hint="default"/>
          <w:sz w:val="21"/>
          <w:szCs w:val="21"/>
        </w:rPr>
      </w:pPr>
      <w:bookmarkStart w:name="（2）与收益相关的政府补助判断依据及会计处理方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与收益相关的政府补助，用于补偿企业以后期间的相关费用或损失的，确认为递延收益，在确认相关</w:t>
      </w:r>
    </w:p>
    <w:p>
      <w:pPr>
        <w:pStyle w:val="Heading6"/>
        <w:spacing w:line="273" w:lineRule="auto" w:before="37"/>
        <w:ind w:left="154" w:right="1118"/>
        <w:jc w:val="left"/>
      </w:pPr>
      <w:r>
        <w:rPr>
          <w:spacing w:val="-1"/>
        </w:rPr>
        <w:t>费用的期间计入当期营业外收入；用于补偿企业已发生的相关费用或损失的，取得时直接计入当期营业外</w:t>
      </w:r>
      <w:r>
        <w:rPr>
          <w:spacing w:val="-81"/>
        </w:rPr>
        <w:t> </w:t>
      </w:r>
      <w:r>
        <w:rPr>
          <w:spacing w:val="-81"/>
        </w:rPr>
      </w:r>
      <w:r>
        <w:rPr/>
        <w:t>收入。</w:t>
      </w:r>
    </w:p>
    <w:p>
      <w:pPr>
        <w:pStyle w:val="Heading6"/>
        <w:spacing w:line="273" w:lineRule="auto"/>
        <w:ind w:left="154" w:right="0" w:firstLine="420"/>
        <w:jc w:val="left"/>
      </w:pPr>
      <w:r>
        <w:rPr>
          <w:spacing w:val="-1"/>
        </w:rPr>
        <w:t>已确认的政府补助需要返还时，存在相关递延收益余额的，冲减相关递延收益账面余额，超出部分计</w:t>
      </w:r>
      <w:r>
        <w:rPr/>
        <w:t> 入当期损益；不存在相关递延收益的，直接计入当期损益。</w:t>
      </w:r>
    </w:p>
    <w:p>
      <w:pPr>
        <w:spacing w:line="240" w:lineRule="auto" w:before="8"/>
        <w:rPr>
          <w:rFonts w:ascii="宋体" w:hAnsi="宋体" w:cs="宋体" w:eastAsia="宋体" w:hint="default"/>
          <w:sz w:val="23"/>
          <w:szCs w:val="23"/>
        </w:rPr>
      </w:pPr>
    </w:p>
    <w:p>
      <w:pPr>
        <w:pStyle w:val="Heading5"/>
        <w:spacing w:line="240" w:lineRule="auto"/>
        <w:ind w:right="0"/>
        <w:jc w:val="left"/>
        <w:rPr>
          <w:b w:val="0"/>
          <w:bCs w:val="0"/>
        </w:rPr>
      </w:pPr>
      <w:bookmarkStart w:name="24、递延所得税资产/递延所得税负债" w:id="193"/>
      <w:bookmarkEnd w:id="193"/>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0"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spacing w:line="396" w:lineRule="auto" w:before="13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本公司以很可能取得用来抵扣可抵扣暂时性差异、能够结转以后年度的可抵扣亏损和税款抵减的应纳税所得额为限，确</w:t>
      </w:r>
    </w:p>
    <w:p>
      <w:pPr>
        <w:pStyle w:val="BodyText"/>
        <w:spacing w:line="195" w:lineRule="exact"/>
        <w:ind w:right="0"/>
        <w:jc w:val="left"/>
      </w:pPr>
      <w:r>
        <w:rPr/>
        <w:t>认由可抵扣暂时性差异产生的递延所得税资产。但是，同时具有下列特征的交易中因资产或负债的初始确认所产生的递延所</w:t>
      </w:r>
    </w:p>
    <w:p>
      <w:pPr>
        <w:pStyle w:val="BodyText"/>
        <w:spacing w:line="396" w:lineRule="auto" w:before="77"/>
        <w:ind w:left="514" w:right="1032" w:hanging="360"/>
        <w:jc w:val="left"/>
      </w:pP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 </w:t>
      </w:r>
      <w:r>
        <w:rPr>
          <w:spacing w:val="-2"/>
        </w:rPr>
        <w:t>对于与联营企业投资相关的可抵扣暂时性差异，同时满足下列条件的，确认相应的递延所得税资产：暂时性差异在可预</w:t>
      </w:r>
    </w:p>
    <w:p>
      <w:pPr>
        <w:pStyle w:val="BodyText"/>
        <w:spacing w:line="196" w:lineRule="exact"/>
        <w:ind w:left="154" w:right="0"/>
        <w:jc w:val="left"/>
      </w:pPr>
      <w:r>
        <w:rPr/>
        <w:t>见的未来很可能转回，且未来很可能获得用来抵扣可抵扣暂时性差异的应纳税所得额。</w:t>
      </w:r>
    </w:p>
    <w:p>
      <w:pPr>
        <w:spacing w:line="240" w:lineRule="auto" w:before="7"/>
        <w:rPr>
          <w:rFonts w:ascii="宋体" w:hAnsi="宋体" w:cs="宋体" w:eastAsia="宋体" w:hint="default"/>
          <w:sz w:val="13"/>
          <w:szCs w:val="13"/>
        </w:rPr>
      </w:pPr>
    </w:p>
    <w:p>
      <w:pPr>
        <w:spacing w:line="396" w:lineRule="auto" w:before="0"/>
        <w:ind w:left="513" w:right="337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59"/>
        <w:ind w:left="513" w:right="0"/>
        <w:jc w:val="left"/>
      </w:pPr>
      <w:r>
        <w:rPr/>
        <w:t>（</w:t>
      </w:r>
      <w:r>
        <w:rPr>
          <w:rFonts w:ascii="Times New Roman" w:hAnsi="Times New Roman" w:cs="Times New Roman" w:eastAsia="Times New Roman" w:hint="default"/>
        </w:rPr>
        <w:t>1</w:t>
      </w:r>
      <w:r>
        <w:rPr/>
        <w:t>）商誉的初始确认所形成的暂时性差异；</w:t>
      </w:r>
    </w:p>
    <w:p>
      <w:pPr>
        <w:spacing w:line="240" w:lineRule="auto" w:before="5"/>
        <w:rPr>
          <w:rFonts w:ascii="宋体" w:hAnsi="宋体" w:cs="宋体" w:eastAsia="宋体" w:hint="default"/>
          <w:sz w:val="12"/>
          <w:szCs w:val="12"/>
        </w:rPr>
      </w:pPr>
    </w:p>
    <w:p>
      <w:pPr>
        <w:pStyle w:val="BodyText"/>
        <w:spacing w:line="302" w:lineRule="auto"/>
        <w:ind w:left="154" w:right="1122" w:firstLine="36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 损）所形成的暂时性差异；</w:t>
      </w:r>
    </w:p>
    <w:p>
      <w:pPr>
        <w:pStyle w:val="BodyText"/>
        <w:spacing w:line="302" w:lineRule="auto" w:before="128"/>
        <w:ind w:right="1123" w:firstLine="36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 可预见的未来很可能不会转回。</w:t>
      </w:r>
    </w:p>
    <w:p>
      <w:pPr>
        <w:spacing w:line="240" w:lineRule="auto" w:before="2"/>
        <w:rPr>
          <w:rFonts w:ascii="宋体" w:hAnsi="宋体" w:cs="宋体" w:eastAsia="宋体" w:hint="default"/>
          <w:sz w:val="23"/>
          <w:szCs w:val="23"/>
        </w:rPr>
      </w:pPr>
    </w:p>
    <w:p>
      <w:pPr>
        <w:pStyle w:val="Heading5"/>
        <w:spacing w:line="240" w:lineRule="auto"/>
        <w:ind w:right="0"/>
        <w:jc w:val="left"/>
        <w:rPr>
          <w:b w:val="0"/>
          <w:bCs w:val="0"/>
        </w:rPr>
      </w:pPr>
      <w:bookmarkStart w:name="25、租赁" w:id="194"/>
      <w:bookmarkEnd w:id="194"/>
      <w:r>
        <w:rPr>
          <w:b w:val="0"/>
          <w:bCs w:val="0"/>
        </w:rPr>
      </w:r>
      <w:r>
        <w:rPr>
          <w:rFonts w:ascii="Times New Roman" w:hAnsi="Times New Roman" w:cs="Times New Roman" w:eastAsia="Times New Roman" w:hint="default"/>
        </w:rPr>
        <w:t>25</w:t>
      </w:r>
      <w:r>
        <w:rPr/>
        <w:t>、租赁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经营租赁的会计处理方法" w:id="195"/>
      <w:bookmarkEnd w:id="19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74" w:right="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left="573" w:right="0" w:hanging="420"/>
        <w:jc w:val="left"/>
      </w:pPr>
      <w:r>
        <w:rPr/>
        <w:t>期费用。公司支付的与租赁交易相关的初始直接费用，计入当期费用。 </w:t>
      </w:r>
      <w:r>
        <w:rPr>
          <w:spacing w:val="-1"/>
        </w:rPr>
        <w:t>资产出租方承担了应由公司承担的与租赁相关的费用时，公司将该部分费用从租金总额中扣除，按扣</w:t>
      </w:r>
    </w:p>
    <w:p>
      <w:pPr>
        <w:pStyle w:val="Heading6"/>
        <w:spacing w:line="240" w:lineRule="auto"/>
        <w:ind w:right="0"/>
        <w:jc w:val="left"/>
      </w:pPr>
      <w:r>
        <w:rPr/>
        <w:t>除后的租金费用在租赁期内分摊，计入当期费用。</w:t>
      </w:r>
    </w:p>
    <w:p>
      <w:pPr>
        <w:pStyle w:val="Heading6"/>
        <w:spacing w:line="266" w:lineRule="auto" w:before="37"/>
        <w:ind w:right="1093" w:firstLine="42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 租赁收入。公司支付的与租赁交易相关的初始直接费用，计入当期费用；如金额较大的，则予以资本化， 在整个租赁期间内按照与租赁收入确认相同的基础分期计入当期收益。</w:t>
      </w:r>
    </w:p>
    <w:p>
      <w:pPr>
        <w:pStyle w:val="Heading6"/>
        <w:spacing w:line="273" w:lineRule="auto" w:before="14"/>
        <w:ind w:right="0" w:firstLine="420"/>
        <w:jc w:val="left"/>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3"/>
          <w:szCs w:val="23"/>
        </w:rPr>
      </w:pPr>
    </w:p>
    <w:p>
      <w:pPr>
        <w:pStyle w:val="Heading5"/>
        <w:spacing w:line="240" w:lineRule="auto"/>
        <w:ind w:right="0"/>
        <w:jc w:val="left"/>
        <w:rPr>
          <w:b w:val="0"/>
          <w:bCs w:val="0"/>
        </w:rPr>
      </w:pPr>
      <w:bookmarkStart w:name="（2）融资租赁的会计处理方法" w:id="196"/>
      <w:bookmarkEnd w:id="19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right="1024"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 </w:t>
      </w:r>
      <w:r>
        <w:rPr>
          <w:spacing w:val="-3"/>
        </w:rPr>
        <w:t>作为租入资产的入账价值，将最低租赁付款额作为长期应付款的入账价值，其差额作为未确认的融资费用。</w:t>
      </w:r>
    </w:p>
    <w:p>
      <w:pPr>
        <w:pStyle w:val="Heading6"/>
        <w:spacing w:line="240" w:lineRule="auto" w:before="22"/>
        <w:ind w:left="573" w:right="0"/>
        <w:jc w:val="left"/>
      </w:pPr>
      <w:r>
        <w:rPr/>
        <w:t>公司采用实际利率法对未确认的融资费用，在资产租赁期间内摊销，计入财务费用。</w:t>
      </w:r>
    </w:p>
    <w:p>
      <w:pPr>
        <w:pStyle w:val="Heading6"/>
        <w:spacing w:line="264" w:lineRule="auto" w:before="37"/>
        <w:ind w:right="0" w:firstLine="42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 </w:t>
      </w:r>
      <w:r>
        <w:rPr>
          <w:spacing w:val="-1"/>
        </w:rPr>
        <w:t>为未实现融资收益，在将来收到租金的各期间内确认为租赁收入，公司发生的与出租交易相关的初始直接</w:t>
      </w:r>
      <w:r>
        <w:rPr>
          <w:spacing w:val="-81"/>
        </w:rPr>
        <w:t> </w:t>
      </w:r>
      <w:r>
        <w:rPr>
          <w:spacing w:val="-81"/>
        </w:rPr>
      </w:r>
      <w:r>
        <w:rPr/>
        <w:t>费用，计入应收融资租赁款的初始计量中，并减少租赁期内确认的收益金额。</w:t>
      </w:r>
    </w:p>
    <w:p>
      <w:pPr>
        <w:spacing w:line="240" w:lineRule="auto" w:before="3"/>
        <w:rPr>
          <w:rFonts w:ascii="宋体" w:hAnsi="宋体" w:cs="宋体" w:eastAsia="宋体" w:hint="default"/>
          <w:sz w:val="24"/>
          <w:szCs w:val="24"/>
        </w:rPr>
      </w:pPr>
    </w:p>
    <w:p>
      <w:pPr>
        <w:pStyle w:val="Heading5"/>
        <w:spacing w:line="240" w:lineRule="auto"/>
        <w:ind w:right="0"/>
        <w:jc w:val="left"/>
        <w:rPr>
          <w:b w:val="0"/>
          <w:bCs w:val="0"/>
        </w:rPr>
      </w:pPr>
      <w:bookmarkStart w:name="26、重要会计政策和会计估计变更" w:id="197"/>
      <w:bookmarkEnd w:id="197"/>
      <w:r>
        <w:rPr>
          <w:b w:val="0"/>
          <w:bCs w:val="0"/>
        </w:rPr>
      </w:r>
      <w:r>
        <w:rPr>
          <w:rFonts w:ascii="Times New Roman" w:hAnsi="Times New Roman" w:cs="Times New Roman" w:eastAsia="Times New Roman" w:hint="default"/>
        </w:rPr>
        <w:t>26</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会计政策变更" w:id="198"/>
      <w:bookmarkEnd w:id="19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日起执行财政部</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年修订或新制定发布的《企业会</w:t>
            </w:r>
          </w:p>
          <w:p>
            <w:pPr>
              <w:pStyle w:val="TableParagraph"/>
              <w:spacing w:line="302" w:lineRule="auto" w:before="63"/>
              <w:ind w:left="22" w:right="36"/>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职工薪酬》等八项具体会 计准则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本次变更经公司第六届董事会第十二次 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会计政策变更说明：</w:t>
      </w:r>
    </w:p>
    <w:p>
      <w:pPr>
        <w:spacing w:line="240" w:lineRule="auto" w:before="5"/>
        <w:rPr>
          <w:rFonts w:ascii="宋体" w:hAnsi="宋体" w:cs="宋体" w:eastAsia="宋体" w:hint="default"/>
          <w:sz w:val="13"/>
          <w:szCs w:val="13"/>
        </w:rPr>
      </w:pPr>
    </w:p>
    <w:p>
      <w:pPr>
        <w:pStyle w:val="BodyText"/>
        <w:spacing w:line="300" w:lineRule="auto"/>
        <w:ind w:right="1033" w:firstLine="360"/>
        <w:jc w:val="left"/>
      </w:pPr>
      <w:r>
        <w:rPr/>
        <w:t>财政部于</w:t>
      </w:r>
      <w:r>
        <w:rPr>
          <w:rFonts w:ascii="Times New Roman" w:hAnsi="Times New Roman" w:cs="Times New Roman" w:eastAsia="Times New Roman" w:hint="default"/>
        </w:rPr>
        <w:t>2014</w:t>
      </w:r>
      <w:r>
        <w:rPr/>
        <w:t>年陆续颁布或修订了一系列企业会计准则，本公司已按要求于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日执行新的该等企业会计准则， 并按照新准则的衔接规定对比较财务报表进行调整。执行新准则对比较财务报表影响说明如下：</w:t>
      </w:r>
    </w:p>
    <w:p>
      <w:pPr>
        <w:pStyle w:val="BodyText"/>
        <w:spacing w:line="316" w:lineRule="auto" w:before="31"/>
        <w:ind w:left="513" w:right="0"/>
        <w:jc w:val="left"/>
      </w:pPr>
      <w:r>
        <w:rPr/>
        <w:t>①长期股权投资 </w:t>
      </w:r>
      <w:r>
        <w:rPr>
          <w:spacing w:val="-2"/>
        </w:rPr>
        <w:t>本公司根据新修订的《长期股权投资准则》，将原成本法核算的对被投资单位不具有控制、共同控制或重大影响的权益</w:t>
      </w:r>
    </w:p>
    <w:p>
      <w:pPr>
        <w:pStyle w:val="BodyText"/>
        <w:spacing w:line="316" w:lineRule="auto" w:before="19"/>
        <w:ind w:right="0"/>
        <w:jc w:val="left"/>
      </w:pPr>
      <w:r>
        <w:rPr>
          <w:spacing w:val="-2"/>
        </w:rPr>
        <w:t>性投资纳入可供出售金融资产核算，其中：在活跃市场中没有报价、公允价值不能可靠计量的权益工具按照成本进行后续计</w:t>
      </w:r>
      <w:r>
        <w:rPr>
          <w:spacing w:val="-65"/>
        </w:rPr>
        <w:t> </w:t>
      </w:r>
      <w:r>
        <w:rPr>
          <w:spacing w:val="-65"/>
        </w:rPr>
      </w:r>
      <w:r>
        <w:rPr/>
        <w:t>量，其他权益工具按公允价值进行后续计量。上述会计政策变更追溯调整影响如下：</w:t>
      </w:r>
    </w:p>
    <w:tbl>
      <w:tblPr>
        <w:tblW w:w="0" w:type="auto"/>
        <w:jc w:val="left"/>
        <w:tblInd w:w="160" w:type="dxa"/>
        <w:tblLayout w:type="fixed"/>
        <w:tblCellMar>
          <w:top w:w="0" w:type="dxa"/>
          <w:left w:w="0" w:type="dxa"/>
          <w:bottom w:w="0" w:type="dxa"/>
          <w:right w:w="0" w:type="dxa"/>
        </w:tblCellMar>
        <w:tblLook w:val="01E0"/>
      </w:tblPr>
      <w:tblGrid>
        <w:gridCol w:w="2256"/>
        <w:gridCol w:w="714"/>
        <w:gridCol w:w="1396"/>
        <w:gridCol w:w="1576"/>
        <w:gridCol w:w="1559"/>
        <w:gridCol w:w="1418"/>
      </w:tblGrid>
      <w:tr>
        <w:trPr>
          <w:trHeight w:val="355" w:hRule="exact"/>
        </w:trPr>
        <w:tc>
          <w:tcPr>
            <w:tcW w:w="2256" w:type="dxa"/>
            <w:vMerge w:val="restart"/>
            <w:tcBorders>
              <w:top w:val="single" w:sz="6" w:space="0" w:color="000000"/>
              <w:left w:val="single" w:sz="6" w:space="0" w:color="000000"/>
              <w:right w:val="single" w:sz="6" w:space="0" w:color="000000"/>
            </w:tcBorders>
          </w:tcPr>
          <w:p>
            <w:pPr>
              <w:pStyle w:val="TableParagraph"/>
              <w:spacing w:line="240" w:lineRule="auto" w:before="36"/>
              <w:ind w:left="720" w:right="0"/>
              <w:jc w:val="left"/>
              <w:rPr>
                <w:rFonts w:ascii="宋体" w:hAnsi="宋体" w:cs="宋体" w:eastAsia="宋体" w:hint="default"/>
                <w:sz w:val="16"/>
                <w:szCs w:val="16"/>
              </w:rPr>
            </w:pPr>
            <w:r>
              <w:rPr>
                <w:rFonts w:ascii="宋体" w:hAnsi="宋体" w:cs="宋体" w:eastAsia="宋体" w:hint="default"/>
                <w:sz w:val="16"/>
                <w:szCs w:val="16"/>
              </w:rPr>
              <w:t>被投资单位</w:t>
            </w:r>
          </w:p>
        </w:tc>
        <w:tc>
          <w:tcPr>
            <w:tcW w:w="714" w:type="dxa"/>
            <w:vMerge w:val="restart"/>
            <w:tcBorders>
              <w:top w:val="single" w:sz="6" w:space="0" w:color="000000"/>
              <w:left w:val="single" w:sz="6" w:space="0" w:color="000000"/>
              <w:right w:val="single" w:sz="6" w:space="0" w:color="000000"/>
            </w:tcBorders>
          </w:tcPr>
          <w:p>
            <w:pPr>
              <w:pStyle w:val="TableParagraph"/>
              <w:spacing w:line="357" w:lineRule="auto" w:before="36"/>
              <w:ind w:left="68" w:right="69" w:firstLine="120"/>
              <w:jc w:val="left"/>
              <w:rPr>
                <w:rFonts w:ascii="Times New Roman" w:hAnsi="Times New Roman" w:cs="Times New Roman" w:eastAsia="Times New Roman" w:hint="default"/>
                <w:sz w:val="16"/>
                <w:szCs w:val="16"/>
              </w:rPr>
            </w:pPr>
            <w:r>
              <w:rPr>
                <w:rFonts w:ascii="宋体" w:hAnsi="宋体" w:cs="宋体" w:eastAsia="宋体" w:hint="default"/>
                <w:sz w:val="16"/>
                <w:szCs w:val="16"/>
              </w:rPr>
              <w:t>持股</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396" w:type="dxa"/>
            <w:vMerge w:val="restart"/>
            <w:tcBorders>
              <w:top w:val="single" w:sz="6" w:space="0" w:color="000000"/>
              <w:left w:val="single" w:sz="6" w:space="0" w:color="000000"/>
              <w:right w:val="single" w:sz="6" w:space="0" w:color="000000"/>
            </w:tcBorders>
          </w:tcPr>
          <w:p>
            <w:pPr>
              <w:pStyle w:val="TableParagraph"/>
              <w:spacing w:line="338" w:lineRule="auto" w:before="36"/>
              <w:ind w:left="50" w:right="49"/>
              <w:jc w:val="left"/>
              <w:rPr>
                <w:rFonts w:ascii="宋体" w:hAnsi="宋体" w:cs="宋体" w:eastAsia="宋体" w:hint="default"/>
                <w:sz w:val="16"/>
                <w:szCs w:val="16"/>
              </w:rPr>
            </w:pPr>
            <w:r>
              <w:rPr>
                <w:rFonts w:ascii="Times New Roman" w:hAnsi="Times New Roman" w:cs="Times New Roman" w:eastAsia="Times New Roman" w:hint="default"/>
                <w:sz w:val="16"/>
                <w:szCs w:val="16"/>
              </w:rPr>
              <w:t>2013</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宋体" w:hAnsi="宋体" w:cs="宋体" w:eastAsia="宋体" w:hint="default"/>
                <w:sz w:val="16"/>
                <w:szCs w:val="16"/>
              </w:rPr>
              <w:t>日归属</w:t>
            </w:r>
            <w:r>
              <w:rPr>
                <w:rFonts w:ascii="宋体" w:hAnsi="宋体" w:cs="宋体" w:eastAsia="宋体" w:hint="default"/>
                <w:w w:val="99"/>
                <w:sz w:val="16"/>
                <w:szCs w:val="16"/>
              </w:rPr>
              <w:t> </w:t>
            </w:r>
            <w:r>
              <w:rPr>
                <w:rFonts w:ascii="宋体" w:hAnsi="宋体" w:cs="宋体" w:eastAsia="宋体" w:hint="default"/>
                <w:sz w:val="16"/>
                <w:szCs w:val="16"/>
              </w:rPr>
              <w:t>于母公司股东权益</w:t>
            </w:r>
          </w:p>
        </w:tc>
        <w:tc>
          <w:tcPr>
            <w:tcW w:w="4553"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5"/>
              <w:jc w:val="center"/>
              <w:rPr>
                <w:rFonts w:ascii="宋体" w:hAnsi="宋体" w:cs="宋体" w:eastAsia="宋体" w:hint="default"/>
                <w:sz w:val="16"/>
                <w:szCs w:val="16"/>
              </w:rPr>
            </w:pPr>
            <w:r>
              <w:rPr>
                <w:rFonts w:ascii="Times New Roman" w:hAnsi="Times New Roman" w:cs="Times New Roman" w:eastAsia="Times New Roman" w:hint="default"/>
                <w:sz w:val="16"/>
                <w:szCs w:val="16"/>
              </w:rPr>
              <w:t>2013</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r>
      <w:tr>
        <w:trPr>
          <w:trHeight w:val="665" w:hRule="exact"/>
        </w:trPr>
        <w:tc>
          <w:tcPr>
            <w:tcW w:w="2256" w:type="dxa"/>
            <w:vMerge/>
            <w:tcBorders>
              <w:left w:val="single" w:sz="6" w:space="0" w:color="000000"/>
              <w:bottom w:val="single" w:sz="12" w:space="0" w:color="000000"/>
              <w:right w:val="single" w:sz="6" w:space="0" w:color="000000"/>
            </w:tcBorders>
          </w:tcPr>
          <w:p>
            <w:pPr/>
          </w:p>
        </w:tc>
        <w:tc>
          <w:tcPr>
            <w:tcW w:w="714" w:type="dxa"/>
            <w:vMerge/>
            <w:tcBorders>
              <w:left w:val="single" w:sz="6" w:space="0" w:color="000000"/>
              <w:bottom w:val="single" w:sz="12" w:space="0" w:color="000000"/>
              <w:right w:val="single" w:sz="6" w:space="0" w:color="000000"/>
            </w:tcBorders>
          </w:tcPr>
          <w:p>
            <w:pPr/>
          </w:p>
        </w:tc>
        <w:tc>
          <w:tcPr>
            <w:tcW w:w="1396" w:type="dxa"/>
            <w:vMerge/>
            <w:tcBorders>
              <w:left w:val="single" w:sz="6" w:space="0" w:color="000000"/>
              <w:bottom w:val="single" w:sz="12" w:space="0" w:color="000000"/>
              <w:right w:val="single" w:sz="6" w:space="0" w:color="000000"/>
            </w:tcBorders>
          </w:tcPr>
          <w:p>
            <w:pP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00"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31"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5"/>
              <w:ind w:left="381" w:right="229" w:hanging="161"/>
              <w:jc w:val="left"/>
              <w:rPr>
                <w:rFonts w:ascii="宋体" w:hAnsi="宋体" w:cs="宋体" w:eastAsia="宋体" w:hint="default"/>
                <w:sz w:val="16"/>
                <w:szCs w:val="16"/>
              </w:rPr>
            </w:pPr>
            <w:r>
              <w:rPr>
                <w:rFonts w:ascii="宋体" w:hAnsi="宋体" w:cs="宋体" w:eastAsia="宋体" w:hint="default"/>
                <w:sz w:val="16"/>
                <w:szCs w:val="16"/>
              </w:rPr>
              <w:t>归属于母公司</w:t>
            </w:r>
            <w:r>
              <w:rPr>
                <w:rFonts w:ascii="宋体" w:hAnsi="宋体" w:cs="宋体" w:eastAsia="宋体" w:hint="default"/>
                <w:w w:val="99"/>
                <w:sz w:val="16"/>
                <w:szCs w:val="16"/>
              </w:rPr>
              <w:t> </w:t>
            </w:r>
            <w:r>
              <w:rPr>
                <w:rFonts w:ascii="宋体" w:hAnsi="宋体" w:cs="宋体" w:eastAsia="宋体" w:hint="default"/>
                <w:sz w:val="16"/>
                <w:szCs w:val="16"/>
              </w:rPr>
              <w:t>股东权益</w:t>
            </w:r>
          </w:p>
        </w:tc>
      </w:tr>
      <w:tr>
        <w:trPr>
          <w:trHeight w:val="664" w:hRule="exact"/>
        </w:trPr>
        <w:tc>
          <w:tcPr>
            <w:tcW w:w="2256"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2" w:right="159"/>
              <w:jc w:val="left"/>
              <w:rPr>
                <w:rFonts w:ascii="宋体" w:hAnsi="宋体" w:cs="宋体" w:eastAsia="宋体" w:hint="default"/>
                <w:sz w:val="16"/>
                <w:szCs w:val="16"/>
              </w:rPr>
            </w:pPr>
            <w:r>
              <w:rPr>
                <w:rFonts w:ascii="宋体" w:hAnsi="宋体" w:cs="宋体" w:eastAsia="宋体" w:hint="default"/>
                <w:sz w:val="16"/>
                <w:szCs w:val="16"/>
              </w:rPr>
              <w:t>芜湖市中小企业信用担保有限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396" w:type="dxa"/>
            <w:tcBorders>
              <w:top w:val="single" w:sz="12" w:space="0" w:color="000000"/>
              <w:left w:val="single" w:sz="6" w:space="0" w:color="000000"/>
              <w:bottom w:val="single" w:sz="12" w:space="0" w:color="000000"/>
              <w:right w:val="single" w:sz="6" w:space="0" w:color="000000"/>
            </w:tcBorders>
          </w:tcPr>
          <w:p>
            <w:pP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-5,000,000.00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5,000,000.00</w:t>
            </w:r>
            <w:r>
              <w:rPr>
                <w:rFonts w:ascii="Times New Roman"/>
                <w:sz w:val="16"/>
              </w:rPr>
            </w:r>
          </w:p>
        </w:tc>
        <w:tc>
          <w:tcPr>
            <w:tcW w:w="1418"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2256"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2" w:right="159"/>
              <w:jc w:val="left"/>
              <w:rPr>
                <w:rFonts w:ascii="宋体" w:hAnsi="宋体" w:cs="宋体" w:eastAsia="宋体" w:hint="default"/>
                <w:sz w:val="16"/>
                <w:szCs w:val="16"/>
              </w:rPr>
            </w:pPr>
            <w:r>
              <w:rPr>
                <w:rFonts w:ascii="宋体" w:hAnsi="宋体" w:cs="宋体" w:eastAsia="宋体" w:hint="default"/>
                <w:sz w:val="16"/>
                <w:szCs w:val="16"/>
              </w:rPr>
              <w:t>芜湖扬子农村商业银行股份有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0.15</w:t>
            </w:r>
            <w:r>
              <w:rPr>
                <w:rFonts w:ascii="Times New Roman"/>
                <w:sz w:val="16"/>
              </w:rPr>
            </w:r>
          </w:p>
        </w:tc>
        <w:tc>
          <w:tcPr>
            <w:tcW w:w="1396" w:type="dxa"/>
            <w:tcBorders>
              <w:top w:val="single" w:sz="12" w:space="0" w:color="000000"/>
              <w:left w:val="single" w:sz="6" w:space="0" w:color="000000"/>
              <w:bottom w:val="single" w:sz="12" w:space="0" w:color="000000"/>
              <w:right w:val="single" w:sz="6" w:space="0" w:color="000000"/>
            </w:tcBorders>
          </w:tcPr>
          <w:p>
            <w:pP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-1,000,000.00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1418"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56"/>
        <w:gridCol w:w="714"/>
        <w:gridCol w:w="1396"/>
        <w:gridCol w:w="1576"/>
        <w:gridCol w:w="1559"/>
        <w:gridCol w:w="1418"/>
      </w:tblGrid>
      <w:tr>
        <w:trPr>
          <w:trHeight w:val="355" w:hRule="exact"/>
        </w:trPr>
        <w:tc>
          <w:tcPr>
            <w:tcW w:w="22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w:t>
            </w:r>
          </w:p>
        </w:tc>
        <w:tc>
          <w:tcPr>
            <w:tcW w:w="1396" w:type="dxa"/>
            <w:tcBorders>
              <w:top w:val="single" w:sz="6" w:space="0" w:color="000000"/>
              <w:left w:val="single" w:sz="6" w:space="0" w:color="000000"/>
              <w:bottom w:val="single" w:sz="12" w:space="0" w:color="000000"/>
              <w:right w:val="single" w:sz="6" w:space="0" w:color="000000"/>
            </w:tcBorders>
          </w:tcPr>
          <w:p>
            <w:pPr/>
          </w:p>
        </w:tc>
        <w:tc>
          <w:tcPr>
            <w:tcW w:w="15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left="664" w:right="0"/>
              <w:jc w:val="left"/>
              <w:rPr>
                <w:rFonts w:ascii="Times New Roman" w:hAnsi="Times New Roman" w:cs="Times New Roman" w:eastAsia="Times New Roman" w:hint="default"/>
                <w:sz w:val="16"/>
                <w:szCs w:val="16"/>
              </w:rPr>
            </w:pPr>
            <w:r>
              <w:rPr>
                <w:rFonts w:ascii="Times New Roman"/>
                <w:sz w:val="16"/>
              </w:rPr>
              <w:t>-6,000,000.00</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left="700" w:right="0"/>
              <w:jc w:val="left"/>
              <w:rPr>
                <w:rFonts w:ascii="Times New Roman" w:hAnsi="Times New Roman" w:cs="Times New Roman" w:eastAsia="Times New Roman" w:hint="default"/>
                <w:sz w:val="16"/>
                <w:szCs w:val="16"/>
              </w:rPr>
            </w:pPr>
            <w:r>
              <w:rPr>
                <w:rFonts w:ascii="Times New Roman"/>
                <w:sz w:val="16"/>
              </w:rPr>
              <w:t>6,000,000.00</w:t>
            </w:r>
          </w:p>
        </w:tc>
        <w:tc>
          <w:tcPr>
            <w:tcW w:w="1418"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10"/>
        <w:ind w:left="514" w:right="0"/>
        <w:jc w:val="left"/>
      </w:pPr>
      <w:r>
        <w:rPr/>
        <w:t>②职工薪酬</w:t>
      </w:r>
    </w:p>
    <w:p>
      <w:pPr>
        <w:pStyle w:val="BodyText"/>
        <w:spacing w:line="300" w:lineRule="auto" w:before="76"/>
        <w:ind w:left="154" w:right="1117" w:firstLine="360"/>
        <w:jc w:val="left"/>
      </w:pPr>
      <w:r>
        <w:rPr>
          <w:spacing w:val="-1"/>
        </w:rPr>
        <w:t>本公司根据财政部《企业会计准则第</w:t>
      </w:r>
      <w:r>
        <w:rPr>
          <w:rFonts w:ascii="Times New Roman" w:hAnsi="Times New Roman" w:cs="Times New Roman" w:eastAsia="Times New Roman" w:hint="default"/>
          <w:spacing w:val="-1"/>
        </w:rPr>
        <w:t>9</w:t>
      </w:r>
      <w:r>
        <w:rPr>
          <w:spacing w:val="-1"/>
        </w:rPr>
        <w:t>号</w:t>
      </w:r>
      <w:r>
        <w:rPr>
          <w:rFonts w:ascii="Times New Roman" w:hAnsi="Times New Roman" w:cs="Times New Roman" w:eastAsia="Times New Roman" w:hint="default"/>
          <w:spacing w:val="-1"/>
        </w:rPr>
        <w:t>-</w:t>
      </w:r>
      <w:r>
        <w:rPr>
          <w:spacing w:val="-1"/>
        </w:rPr>
        <w:t>职工薪酬》（</w:t>
      </w:r>
      <w:r>
        <w:rPr>
          <w:rFonts w:ascii="Times New Roman" w:hAnsi="Times New Roman" w:cs="Times New Roman" w:eastAsia="Times New Roman" w:hint="default"/>
          <w:spacing w:val="-1"/>
        </w:rPr>
        <w:t>2014</w:t>
      </w:r>
      <w:r>
        <w:rPr>
          <w:spacing w:val="-1"/>
        </w:rPr>
        <w:t>年修订）的规定，对基本养老保险及失业保险单独分类至离</w:t>
      </w:r>
      <w:r>
        <w:rPr/>
        <w:t> 职后福利明细项目核算。</w:t>
      </w:r>
    </w:p>
    <w:p>
      <w:pPr>
        <w:pStyle w:val="BodyText"/>
        <w:spacing w:line="316" w:lineRule="auto" w:before="32"/>
        <w:ind w:left="514" w:right="0"/>
        <w:jc w:val="left"/>
      </w:pPr>
      <w:r>
        <w:rPr/>
        <w:t>③财务报表列报准则变动对于合并财务报表的影响 </w:t>
      </w:r>
      <w:r>
        <w:rPr>
          <w:spacing w:val="-2"/>
        </w:rPr>
        <w:t>本公司根据修订后的《企业会计准则第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财务报表列报》，根据列报要求将递延收益单独列报，并对年初数采用追</w:t>
      </w:r>
    </w:p>
    <w:p>
      <w:pPr>
        <w:pStyle w:val="BodyText"/>
        <w:spacing w:line="235" w:lineRule="exact"/>
        <w:ind w:right="0"/>
        <w:jc w:val="left"/>
      </w:pPr>
      <w:r>
        <w:rPr/>
        <w:t>溯调整法进行调整列报，追溯调整影响如下：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86"/>
        <w:gridCol w:w="1834"/>
        <w:gridCol w:w="1559"/>
        <w:gridCol w:w="1702"/>
        <w:gridCol w:w="1560"/>
      </w:tblGrid>
      <w:tr>
        <w:trPr>
          <w:trHeight w:val="355" w:hRule="exact"/>
        </w:trPr>
        <w:tc>
          <w:tcPr>
            <w:tcW w:w="2386" w:type="dxa"/>
            <w:vMerge w:val="restart"/>
            <w:tcBorders>
              <w:top w:val="single" w:sz="6" w:space="0" w:color="000000"/>
              <w:left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339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2013</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宋体" w:hAnsi="宋体" w:cs="宋体" w:eastAsia="宋体" w:hint="default"/>
                <w:sz w:val="16"/>
                <w:szCs w:val="16"/>
              </w:rPr>
              <w:t>日</w:t>
            </w:r>
          </w:p>
        </w:tc>
        <w:tc>
          <w:tcPr>
            <w:tcW w:w="3262"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left="106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2013</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r>
      <w:tr>
        <w:trPr>
          <w:trHeight w:val="353" w:hRule="exact"/>
        </w:trPr>
        <w:tc>
          <w:tcPr>
            <w:tcW w:w="2386" w:type="dxa"/>
            <w:vMerge/>
            <w:tcBorders>
              <w:left w:val="single" w:sz="6" w:space="0" w:color="000000"/>
              <w:bottom w:val="single" w:sz="12" w:space="0" w:color="000000"/>
              <w:right w:val="single" w:sz="6" w:space="0" w:color="000000"/>
            </w:tcBorders>
          </w:tcPr>
          <w:p>
            <w:pPr/>
          </w:p>
        </w:tc>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调整前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调整后</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3"/>
              <w:jc w:val="center"/>
              <w:rPr>
                <w:rFonts w:ascii="宋体" w:hAnsi="宋体" w:cs="宋体" w:eastAsia="宋体" w:hint="default"/>
                <w:sz w:val="16"/>
                <w:szCs w:val="16"/>
              </w:rPr>
            </w:pPr>
            <w:r>
              <w:rPr>
                <w:rFonts w:ascii="宋体" w:hAnsi="宋体" w:cs="宋体" w:eastAsia="宋体" w:hint="default"/>
                <w:sz w:val="16"/>
                <w:szCs w:val="16"/>
              </w:rPr>
              <w:t>调整前</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right="8"/>
              <w:jc w:val="center"/>
              <w:rPr>
                <w:rFonts w:ascii="宋体" w:hAnsi="宋体" w:cs="宋体" w:eastAsia="宋体" w:hint="default"/>
                <w:sz w:val="16"/>
                <w:szCs w:val="16"/>
              </w:rPr>
            </w:pPr>
            <w:r>
              <w:rPr>
                <w:rFonts w:ascii="宋体" w:hAnsi="宋体" w:cs="宋体" w:eastAsia="宋体" w:hint="default"/>
                <w:sz w:val="16"/>
                <w:szCs w:val="16"/>
              </w:rPr>
              <w:t>调整后</w:t>
            </w:r>
          </w:p>
        </w:tc>
      </w:tr>
      <w:tr>
        <w:trPr>
          <w:trHeight w:val="352"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递延收益</w:t>
            </w:r>
          </w:p>
        </w:tc>
        <w:tc>
          <w:tcPr>
            <w:tcW w:w="1834"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9"/>
              <w:jc w:val="right"/>
              <w:rPr>
                <w:rFonts w:ascii="Times New Roman" w:hAnsi="Times New Roman" w:cs="Times New Roman" w:eastAsia="Times New Roman" w:hint="default"/>
                <w:sz w:val="16"/>
                <w:szCs w:val="16"/>
              </w:rPr>
            </w:pPr>
            <w:r>
              <w:rPr>
                <w:rFonts w:ascii="Times New Roman"/>
                <w:spacing w:val="-1"/>
                <w:sz w:val="16"/>
              </w:rPr>
              <w:t>20,887,713.22</w:t>
            </w:r>
          </w:p>
        </w:tc>
      </w:tr>
      <w:tr>
        <w:trPr>
          <w:trHeight w:val="352"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其他非流动负债</w:t>
            </w:r>
          </w:p>
        </w:tc>
        <w:tc>
          <w:tcPr>
            <w:tcW w:w="1834"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20,887,713.22</w:t>
            </w:r>
          </w:p>
        </w:tc>
        <w:tc>
          <w:tcPr>
            <w:tcW w:w="156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834"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20,887,713.22</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9"/>
              <w:jc w:val="right"/>
              <w:rPr>
                <w:rFonts w:ascii="Times New Roman" w:hAnsi="Times New Roman" w:cs="Times New Roman" w:eastAsia="Times New Roman" w:hint="default"/>
                <w:sz w:val="16"/>
                <w:szCs w:val="16"/>
              </w:rPr>
            </w:pPr>
            <w:r>
              <w:rPr>
                <w:rFonts w:ascii="Times New Roman"/>
                <w:spacing w:val="-1"/>
                <w:sz w:val="16"/>
              </w:rPr>
              <w:t>20,887,713.22</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重要会计估计变更" w:id="199"/>
      <w:bookmarkEnd w:id="19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六、税项" w:id="200"/>
      <w:bookmarkEnd w:id="200"/>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主要税种及税率" w:id="201"/>
      <w:bookmarkEnd w:id="20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销售货物或提供加工、修理修配劳务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安装收入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 纳税基准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安徽鑫龙电器股份有限公司本部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安徽鑫龙电器股份有限公司北京鑫龙北方分公司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安徽鑫龙电器股份有限公司天津分公司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安徽鑫龙电器股份有限公司营销中心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安徽鑫龙电器元件销售有限公司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安徽鑫龙变压器有限公司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安徽鑫东投资管理有限公司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安徽佑赛科技有限公司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安徽鑫龙电力工程安装有限公司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斯高思（安徽）电器有限公司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亳州鑫龙电气有限公司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天津市泰达工程设计有限公司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税收优惠" w:id="202"/>
      <w:bookmarkEnd w:id="20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6"/>
        <w:spacing w:line="264" w:lineRule="auto" w:before="0"/>
        <w:ind w:right="102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日，安徽鑫龙电器股份有限公司、安徽鑫龙低压电器有限公司、安徽森源电器有限公司、安徽 </w:t>
      </w:r>
      <w:r>
        <w:rPr>
          <w:spacing w:val="-3"/>
        </w:rPr>
        <w:t>鑫龙自动化有限公司、安徽佑赛科技有限公司取得安徽省科学技术厅、安徽省财政厅、安徽省国家税务局、</w:t>
      </w:r>
      <w:r>
        <w:rPr>
          <w:spacing w:val="-90"/>
        </w:rPr>
        <w:t> </w:t>
      </w:r>
      <w:r>
        <w:rPr>
          <w:spacing w:val="-90"/>
        </w:rPr>
      </w:r>
      <w:r>
        <w:rPr>
          <w:spacing w:val="-5"/>
        </w:rPr>
        <w:t>安徽省地方税务局联合颁发的《高新技术企业证书》（证书编号分别为</w:t>
      </w:r>
      <w:r>
        <w:rPr>
          <w:rFonts w:ascii="Times New Roman" w:hAnsi="Times New Roman" w:cs="Times New Roman" w:eastAsia="Times New Roman" w:hint="default"/>
          <w:spacing w:val="-5"/>
        </w:rPr>
        <w:t>GR201434000593</w:t>
      </w:r>
      <w:r>
        <w:rPr>
          <w:spacing w:val="-5"/>
        </w:rPr>
        <w:t>、</w:t>
      </w:r>
      <w:r>
        <w:rPr>
          <w:rFonts w:ascii="Times New Roman" w:hAnsi="Times New Roman" w:cs="Times New Roman" w:eastAsia="Times New Roman" w:hint="default"/>
          <w:spacing w:val="-5"/>
        </w:rPr>
        <w:t>GR201434000102</w:t>
      </w:r>
      <w:r>
        <w:rPr>
          <w:spacing w:val="-5"/>
        </w:rPr>
        <w:t>、</w:t>
      </w:r>
      <w:r>
        <w:rPr>
          <w:spacing w:val="-95"/>
        </w:rPr>
        <w:t> </w:t>
      </w:r>
      <w:r>
        <w:rPr>
          <w:rFonts w:ascii="Times New Roman" w:hAnsi="Times New Roman" w:cs="Times New Roman" w:eastAsia="Times New Roman" w:hint="default"/>
        </w:rPr>
        <w:t>GR201434000608</w:t>
      </w:r>
      <w:r>
        <w:rPr/>
        <w:t>、</w:t>
      </w:r>
      <w:r>
        <w:rPr>
          <w:rFonts w:ascii="Times New Roman" w:hAnsi="Times New Roman" w:cs="Times New Roman" w:eastAsia="Times New Roman" w:hint="default"/>
        </w:rPr>
        <w:t>GR201434000239</w:t>
      </w:r>
      <w:r>
        <w:rPr/>
        <w:t>、</w:t>
      </w:r>
      <w:r>
        <w:rPr>
          <w:rFonts w:ascii="Times New Roman" w:hAnsi="Times New Roman" w:cs="Times New Roman" w:eastAsia="Times New Roman" w:hint="default"/>
        </w:rPr>
        <w:t>GR201434000444</w:t>
      </w:r>
      <w:r>
        <w:rPr/>
        <w:t>），有效期三年。根据有关规定，安徽鑫龙电器股 份有限公司、安徽鑫龙低压电器有限公司、安徽森源电器有限公司、安徽鑫龙自动化有限公司、安徽佑赛 科技有限公司</w:t>
      </w:r>
      <w:r>
        <w:rPr>
          <w:rFonts w:ascii="Times New Roman" w:hAnsi="Times New Roman" w:cs="Times New Roman" w:eastAsia="Times New Roman" w:hint="default"/>
        </w:rPr>
        <w:t>2014</w:t>
      </w:r>
      <w:r>
        <w:rPr/>
        <w:t>年度享受国家关于高新技术企业的相关优惠政策，按</w:t>
      </w:r>
      <w:r>
        <w:rPr>
          <w:rFonts w:ascii="Times New Roman" w:hAnsi="Times New Roman" w:cs="Times New Roman" w:eastAsia="Times New Roman" w:hint="default"/>
        </w:rPr>
        <w:t>15%</w:t>
      </w:r>
      <w:r>
        <w:rPr/>
        <w:t>的税率计缴企业所得税。</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3、其他" w:id="203"/>
      <w:bookmarkEnd w:id="203"/>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4"/>
          <w:szCs w:val="24"/>
        </w:rPr>
      </w:pPr>
    </w:p>
    <w:p>
      <w:pPr>
        <w:pStyle w:val="Heading6"/>
        <w:spacing w:line="273" w:lineRule="auto" w:before="0"/>
        <w:ind w:right="0" w:firstLine="420"/>
        <w:jc w:val="left"/>
      </w:pPr>
      <w:r>
        <w:rPr>
          <w:spacing w:val="-1"/>
        </w:rPr>
        <w:t>经税务机关批准，安徽鑫龙电器股份有限公司营销中心由安徽鑫龙电器股份有限公司本部汇总向其所</w:t>
      </w:r>
      <w:r>
        <w:rPr/>
        <w:t> 在地主管税务机关申报纳税。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七、合并财务报表项目注释" w:id="204"/>
      <w:bookmarkEnd w:id="204"/>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货币资金" w:id="205"/>
      <w:bookmarkEnd w:id="20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182,045.87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241,848.12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264,748,350.66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408,428,297.29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21,087,216.80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30,056,267.87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286,017,613.33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438,726,413.28</w:t>
            </w:r>
          </w:p>
        </w:tc>
      </w:tr>
    </w:tbl>
    <w:p>
      <w:pPr>
        <w:pStyle w:val="BodyText"/>
        <w:spacing w:line="240" w:lineRule="auto" w:before="51"/>
        <w:ind w:left="154" w:right="0"/>
        <w:jc w:val="left"/>
      </w:pPr>
      <w:r>
        <w:rPr/>
        <w:t>其他说明</w:t>
      </w:r>
    </w:p>
    <w:p>
      <w:pPr>
        <w:spacing w:line="240" w:lineRule="auto" w:before="1"/>
        <w:rPr>
          <w:rFonts w:ascii="宋体" w:hAnsi="宋体" w:cs="宋体" w:eastAsia="宋体" w:hint="default"/>
          <w:sz w:val="13"/>
          <w:szCs w:val="13"/>
        </w:rPr>
      </w:pPr>
    </w:p>
    <w:p>
      <w:pPr>
        <w:pStyle w:val="Heading6"/>
        <w:spacing w:line="256" w:lineRule="auto" w:before="0"/>
        <w:ind w:left="574" w:right="2982"/>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日止，本公司不存在质押、冻结，或有潜在收回风险的款项。 其中受限制的货币资金明细如下：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652"/>
        <w:gridCol w:w="2553"/>
        <w:gridCol w:w="2325"/>
      </w:tblGrid>
      <w:tr>
        <w:trPr>
          <w:trHeight w:val="355" w:hRule="exact"/>
        </w:trPr>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3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8"/>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银行承兑汇票保证金</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10,240,655.15</w:t>
            </w:r>
          </w:p>
        </w:tc>
        <w:tc>
          <w:tcPr>
            <w:tcW w:w="23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10"/>
              <w:jc w:val="right"/>
              <w:rPr>
                <w:rFonts w:ascii="Times New Roman" w:hAnsi="Times New Roman" w:cs="Times New Roman" w:eastAsia="Times New Roman" w:hint="default"/>
                <w:sz w:val="16"/>
                <w:szCs w:val="16"/>
              </w:rPr>
            </w:pPr>
            <w:r>
              <w:rPr>
                <w:rFonts w:ascii="Times New Roman"/>
                <w:w w:val="95"/>
                <w:sz w:val="16"/>
              </w:rPr>
              <w:t>21,405,876.74</w:t>
            </w:r>
            <w:r>
              <w:rPr>
                <w:rFonts w:ascii="Times New Roman"/>
                <w:sz w:val="16"/>
              </w:rPr>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保函保证金</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10,846,561.65</w:t>
            </w:r>
          </w:p>
        </w:tc>
        <w:tc>
          <w:tcPr>
            <w:tcW w:w="23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10"/>
              <w:jc w:val="right"/>
              <w:rPr>
                <w:rFonts w:ascii="Times New Roman" w:hAnsi="Times New Roman" w:cs="Times New Roman" w:eastAsia="Times New Roman" w:hint="default"/>
                <w:sz w:val="16"/>
                <w:szCs w:val="16"/>
              </w:rPr>
            </w:pPr>
            <w:r>
              <w:rPr>
                <w:rFonts w:ascii="Times New Roman"/>
                <w:w w:val="95"/>
                <w:sz w:val="16"/>
              </w:rPr>
              <w:t>8,650,391.13</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652"/>
        <w:gridCol w:w="2553"/>
        <w:gridCol w:w="2325"/>
      </w:tblGrid>
      <w:tr>
        <w:trPr>
          <w:trHeight w:val="355" w:hRule="exact"/>
        </w:trPr>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left="1615" w:right="0"/>
              <w:jc w:val="left"/>
              <w:rPr>
                <w:rFonts w:ascii="Times New Roman" w:hAnsi="Times New Roman" w:cs="Times New Roman" w:eastAsia="Times New Roman" w:hint="default"/>
                <w:sz w:val="16"/>
                <w:szCs w:val="16"/>
              </w:rPr>
            </w:pPr>
            <w:r>
              <w:rPr>
                <w:rFonts w:ascii="Times New Roman"/>
                <w:sz w:val="16"/>
              </w:rPr>
              <w:t>21,087,216.80</w:t>
            </w:r>
          </w:p>
        </w:tc>
        <w:tc>
          <w:tcPr>
            <w:tcW w:w="23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2"/>
              <w:ind w:left="1386" w:right="0"/>
              <w:jc w:val="left"/>
              <w:rPr>
                <w:rFonts w:ascii="Times New Roman" w:hAnsi="Times New Roman" w:cs="Times New Roman" w:eastAsia="Times New Roman" w:hint="default"/>
                <w:sz w:val="16"/>
                <w:szCs w:val="16"/>
              </w:rPr>
            </w:pPr>
            <w:r>
              <w:rPr>
                <w:rFonts w:ascii="Times New Roman"/>
                <w:sz w:val="16"/>
              </w:rPr>
              <w:t>30,056,267.87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left="154" w:right="0"/>
        <w:jc w:val="left"/>
        <w:rPr>
          <w:b w:val="0"/>
          <w:bCs w:val="0"/>
        </w:rPr>
      </w:pPr>
      <w:bookmarkStart w:name="2、应收票据" w:id="206"/>
      <w:bookmarkEnd w:id="206"/>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票据分类列示" w:id="207"/>
      <w:bookmarkEnd w:id="20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50,004,673.78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78,440,498.15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7,920,920.30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5,357,840.80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57,925,594.08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83,798,338.95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期末公司已质押的应收票据" w:id="208"/>
      <w:bookmarkEnd w:id="208"/>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期末公司已背书或贴现且在资产负债表日尚未到期的应收票据" w:id="209"/>
      <w:bookmarkEnd w:id="209"/>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64,525,798.86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64,525,798.86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期末公司因出票人未履约而将其转应收账款的票据" w:id="210"/>
      <w:bookmarkEnd w:id="210"/>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应收账款" w:id="211"/>
      <w:bookmarkEnd w:id="211"/>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账款分类披露" w:id="212"/>
      <w:bookmarkEnd w:id="21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748,888,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869.23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64,911,6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18.47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683,977,2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50.76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739,381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,795.48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51,739,33</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687,642,45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9.39</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748,888,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869.23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64,911,6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18.47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683,977,2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50.76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739,381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,795.48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51,739,33</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687,642,45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9.39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427,993,078.67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12,839,792.36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197,275,690.52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19,727,569.05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98,219,309.86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19,643,861.97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25,400,790.18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12,700,395.09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748,888,869.23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64,911,618.47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8.67%</w:t>
            </w: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2）本期计提、收回或转回的坏账准备情况" w:id="213"/>
      <w:bookmarkEnd w:id="21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12,404,737.12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按欠款方归集的期末余额前五吊的应收账款情况" w:id="214"/>
      <w:bookmarkEnd w:id="21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44"/>
        <w:gridCol w:w="1985"/>
        <w:gridCol w:w="1559"/>
        <w:gridCol w:w="1985"/>
      </w:tblGrid>
      <w:tr>
        <w:trPr>
          <w:trHeight w:val="668"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75" w:right="50"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中国铁建电气化局集团有限公司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17,908,217.80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2.39</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1,048,438.62</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天津博通电力安装工程有限公司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15,758,855.00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2.10</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472,765.65</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中国银行股份有限公司安徽省分行</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15,631,253.60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2.09</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1,401,205.98</w:t>
            </w:r>
          </w:p>
        </w:tc>
      </w:tr>
      <w:tr>
        <w:trPr>
          <w:trHeight w:val="664"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44"/>
              <w:jc w:val="left"/>
              <w:rPr>
                <w:rFonts w:ascii="宋体" w:hAnsi="宋体" w:cs="宋体" w:eastAsia="宋体" w:hint="default"/>
                <w:sz w:val="18"/>
                <w:szCs w:val="18"/>
              </w:rPr>
            </w:pPr>
            <w:r>
              <w:rPr>
                <w:rFonts w:ascii="宋体" w:hAnsi="宋体" w:cs="宋体" w:eastAsia="宋体" w:hint="default"/>
                <w:sz w:val="18"/>
                <w:szCs w:val="18"/>
              </w:rPr>
              <w:t>中铁电气化局集团有限公司厦深铁路 广东段四电系统集成项目经理部</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13,686,998.00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1.83</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1,304,593.31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944"/>
        <w:gridCol w:w="1985"/>
        <w:gridCol w:w="1559"/>
        <w:gridCol w:w="1985"/>
      </w:tblGrid>
      <w:tr>
        <w:trPr>
          <w:trHeight w:val="355"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南宁轨道交通集团有限责任公司</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12,625,226.14</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1.69</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378,756.78</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75,610,550.54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10.10</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4,605,760.34</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5"/>
        <w:ind w:left="154" w:right="0"/>
        <w:jc w:val="left"/>
        <w:rPr>
          <w:b w:val="0"/>
          <w:bCs w:val="0"/>
        </w:rPr>
      </w:pPr>
      <w:bookmarkStart w:name="4、预付款项" w:id="215"/>
      <w:bookmarkEnd w:id="215"/>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预付款项按账龄列示" w:id="216"/>
      <w:bookmarkEnd w:id="21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10,441,490.30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20,290,186.66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257,858.82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137,812.92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24,833.14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484,768.68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682,144.53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1,259,930.27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11,406,326.79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22,172,698.53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Heading6"/>
        <w:spacing w:line="240" w:lineRule="auto" w:before="157"/>
        <w:ind w:left="154" w:right="0"/>
        <w:jc w:val="left"/>
      </w:pPr>
      <w:r>
        <w:rPr/>
        <w:t>期末预付款项中无账龄超过一年、金额较大款项。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5"/>
        <w:spacing w:line="240" w:lineRule="auto"/>
        <w:ind w:left="154" w:right="0"/>
        <w:jc w:val="left"/>
        <w:rPr>
          <w:b w:val="0"/>
          <w:bCs w:val="0"/>
        </w:rPr>
      </w:pPr>
      <w:bookmarkStart w:name="（2）按预付对象归集的期末余额前五吊的预付款情况" w:id="217"/>
      <w:bookmarkEnd w:id="21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802"/>
        <w:gridCol w:w="1418"/>
        <w:gridCol w:w="992"/>
        <w:gridCol w:w="1276"/>
        <w:gridCol w:w="2042"/>
      </w:tblGrid>
      <w:tr>
        <w:trPr>
          <w:trHeight w:val="979" w:hRule="exact"/>
        </w:trPr>
        <w:tc>
          <w:tcPr>
            <w:tcW w:w="2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38" w:lineRule="auto" w:before="21"/>
              <w:ind w:left="38" w:right="37"/>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占预付账款 总额的比例 </w:t>
            </w:r>
            <w:r>
              <w:rPr>
                <w:rFonts w:ascii="Times New Roman" w:hAnsi="Times New Roman" w:cs="Times New Roman" w:eastAsia="Times New Roman" w:hint="default"/>
                <w:sz w:val="18"/>
                <w:szCs w:val="18"/>
              </w:rPr>
              <w:t>(%)</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20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2"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安徽省巨高物资设备有限公司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952,847.86</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8.35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未到货</w:t>
            </w:r>
          </w:p>
        </w:tc>
      </w:tr>
      <w:tr>
        <w:trPr>
          <w:trHeight w:val="353"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安徽众森电力设计有限公司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795,000.00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6.97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未到货</w:t>
            </w:r>
          </w:p>
        </w:tc>
      </w:tr>
      <w:tr>
        <w:trPr>
          <w:trHeight w:val="352"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苏州丽尔赛精密机械科技有限公司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776,900.00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6.81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未到货</w:t>
            </w:r>
          </w:p>
        </w:tc>
      </w:tr>
      <w:tr>
        <w:trPr>
          <w:trHeight w:val="352"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合肥杰诺电气设备有限公司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704,411.12</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6.18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未到货</w:t>
            </w:r>
          </w:p>
        </w:tc>
      </w:tr>
      <w:tr>
        <w:trPr>
          <w:trHeight w:val="353"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天津滨海机电设备制造有限公司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675,460.00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5.92</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未到货</w:t>
            </w:r>
          </w:p>
        </w:tc>
      </w:tr>
      <w:tr>
        <w:trPr>
          <w:trHeight w:val="352"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3,904,618.98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34.23</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204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其他应收款" w:id="218"/>
      <w:bookmarkEnd w:id="218"/>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219"/>
      <w:bookmarkEnd w:id="21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28,359,5</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01.73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1,629,22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26,730,27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46,337,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014.22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2,117,016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44,219,997.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28,359,5</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01.73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1,629,22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5.74%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26,730,27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5.04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46,337,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014.22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2,117,016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4.57%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44,219,997.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21,229,589.66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636,887.69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5,992,654.32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599,265.43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585,184.38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117,036.88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552,073.37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276,036.69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28,359,501.73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1,629,226.69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5.74%</w:t>
            </w:r>
          </w:p>
        </w:tc>
      </w:tr>
    </w:tbl>
    <w:p>
      <w:pPr>
        <w:pStyle w:val="BodyText"/>
        <w:spacing w:line="357" w:lineRule="auto" w:before="51"/>
        <w:ind w:left="15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本期计提、收回或转回的坏账准备情况" w:id="220"/>
      <w:bookmarkEnd w:id="22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614,706.93</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19" w:space="2511"/>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其他应收款按款项性质分类情况" w:id="221"/>
      <w:bookmarkEnd w:id="22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14,936,083.83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27,139,969.99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11,454,000.71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17,122,493.24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254,925.00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141,713.74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793,534.40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1,785,341.48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981,369.05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34,284.51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28,359,501.73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46,337,014.22</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按欠款方归集的期末余额前五吊的其他应收款情况" w:id="222"/>
      <w:bookmarkEnd w:id="22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芜湖市鸠江区财政 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工期保证金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2,586,499.00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258,649.90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河北宏信招标有限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山东齐信招标有限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30,378.00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陕西省采购招标有 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广州公共资源交易 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5,849,099.00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356,527.90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6、存货" w:id="223"/>
      <w:bookmarkEnd w:id="223"/>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存货分类" w:id="224"/>
      <w:bookmarkEnd w:id="22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42,879,522.63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42,879,522.63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53,345,598.92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53,345,598.92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54,927,869.55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54,927,869.55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57,664,976.63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57,664,976.63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477,241,808.73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477,241,808.73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408,330,504.24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408,330,504.24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100,527.92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100,527.92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83,612.35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83,612.35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575,149,728.83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575,149,728.83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519,424,692.14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519,424,692.14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4" w:right="0"/>
        <w:jc w:val="left"/>
        <w:rPr>
          <w:b w:val="0"/>
          <w:bCs w:val="0"/>
        </w:rPr>
      </w:pPr>
      <w:bookmarkStart w:name="7、可供出售金融资产" w:id="225"/>
      <w:bookmarkEnd w:id="225"/>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可供出售金融资产情况" w:id="226"/>
      <w:bookmarkEnd w:id="22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期末按成本计量的可供出售金融资产" w:id="227"/>
      <w:bookmarkEnd w:id="227"/>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芜湖扬子 农村商业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146,000.00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芜湖市中 小企业信 用担保有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146,000.00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8、长期股权投资" w:id="228"/>
      <w:bookmarkEnd w:id="228"/>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安徽美能 储能系统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26,414,91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-6,886,05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6,540,738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26,069,59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湖北祥华 鑫龙电力 发展股份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696,291.9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-53,708.0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27,111,20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-6,939,76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6,540,738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26,069,59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27,111,20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-6,939,76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6,540,738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26,069,59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8.77</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9、固定资产" w:id="229"/>
      <w:bookmarkEnd w:id="229"/>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固定资产情况" w:id="230"/>
      <w:bookmarkEnd w:id="23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284,858,131.75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82,861,958.22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18,404,833.10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16,466,170.02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402,591,093.09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37,653,274.84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8,131,966.88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4,167,282.13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5,908,820.07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55,861,343.92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5,374,541.42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6,499,295.09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404,745.00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2,267,560.02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14,546,141.53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1,632,671.79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1,632,671.79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32,278,733.42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3,762,537.13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3,641,260.05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39,682,530.60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238,957.06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2,130,828.86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2,406,620.55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238,957.06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2,130,828.86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2,406,620.55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322,511,406.59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90,754,968.04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20,441,286.37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22,338,155.46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456,045,816.46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40,469,388.56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38,495,703.22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11,396,251.76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9,645,413.26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100,006,756.80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19,206,180.59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6,676,031.01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5,311,997.16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5,406,526.44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36,600,735.20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14,692,799.34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6,676,031.01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2,865,442.24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2,780,909.87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27,015,182.46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4,513,381.25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2,446,554.92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2,625,616.57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9,585,552.74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191,251.07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1,712,967.12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28,853.40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1,933,071.59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191,251.07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1,712,967.12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28,853.40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1,933,071.59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59,675,569.15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44,980,483.16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14,995,281.80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15,023,086.30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134,674,420.41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262,835,837.44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45,774,484.88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5,446,004.57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7,315,069.16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321,371,396.05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244,388,743.19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44,366,255.00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7,008,581.34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6,820,756.76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302,584,336.29</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未办妥产权证书的固定资产情况" w:id="231"/>
      <w:bookmarkEnd w:id="231"/>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35,201,187.28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35,201,187.28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0、在建工程" w:id="232"/>
      <w:bookmarkEnd w:id="232"/>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在建工程情况" w:id="233"/>
      <w:bookmarkEnd w:id="23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高、低压开关柜 及元件技术研究 中心建设项目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42,108,363.79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42,108,363.79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28,332,705.75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28,332,705.75</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万台智能 型电力电器元件 产品生产线项目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18,717,429.73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18,717,429.73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9,849,728.53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9,849,728.53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天律滨海湖</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 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29,221,189.30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29,221,189.30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21,416,553.20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21,416,553.20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90,046,982.82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90,046,982.82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59,598,987.48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59,598,987.48</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重要在建工程项目本期变动情况" w:id="234"/>
      <w:bookmarkEnd w:id="23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高、低压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开关柜 及元件 技术研 究中心 建设项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28,332,7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05.75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13,867,5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29.82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91,871.7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42,108,3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63.79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52.64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92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万台智 能型电 力电器 元件产 品生产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9,849,72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10,388,5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01.21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1,520,80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18,717,4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29.73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12.48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线项目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天律滨 海湖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21,416,5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53.20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7,824,63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29,221,1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89.30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252,000,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59,598,9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87.48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32,080,6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67.13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1,632,67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90,046,9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82.82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11、无形资产" w:id="235"/>
      <w:bookmarkEnd w:id="235"/>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无形资产情况" w:id="236"/>
      <w:bookmarkEnd w:id="23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87,804,768.56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12,402,050.00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697,899.53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100,904,718.09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2,236,423.75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2,236,423.75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94,210.61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94,210.61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2,142,213.14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2,142,213.14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87,804,768.56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12,402,050.00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2,934,323.28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103,141,141.84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9,394,060.90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3,402,000.00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336,818.24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13,132,879.14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1,756,095.36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1,200,050.00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1,058,383.56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4,014,528.92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1,756,095.36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1,200,050.00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332,573.88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3,288,719.24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725,809.68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725,809.68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11,150,156.26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4,602,050.00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1,395,201.80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17,147,408.06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76,654,612.30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1,539,121.48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85,993,733.78</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78,410,707.66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9,000,050.00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361,081.29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87,771,838.95</w:t>
            </w:r>
          </w:p>
        </w:tc>
      </w:tr>
    </w:tbl>
    <w:p>
      <w:pPr>
        <w:pStyle w:val="BodyText"/>
        <w:spacing w:line="240" w:lineRule="auto" w:before="51"/>
        <w:ind w:left="154" w:right="0"/>
        <w:jc w:val="left"/>
      </w:pPr>
      <w:r>
        <w:rPr/>
        <w:t>本期末通过公司内部研发形成的无形资产占无形资产余额的比例。</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2、商誉" w:id="237"/>
      <w:bookmarkEnd w:id="237"/>
      <w:r>
        <w:rPr>
          <w:b w:val="0"/>
          <w:bCs w:val="0"/>
        </w:rPr>
      </w:r>
      <w:r>
        <w:rPr>
          <w:rFonts w:ascii="Times New Roman" w:hAnsi="Times New Roman" w:cs="Times New Roman" w:eastAsia="Times New Roman" w:hint="default"/>
        </w:rPr>
        <w:t>12</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商誉账面原值" w:id="238"/>
      <w:bookmarkEnd w:id="23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78,884,309.82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78,884,309.82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78,884,309.82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78,884,309.82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13、长期待摊费用" w:id="239"/>
      <w:bookmarkEnd w:id="239"/>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2,144,259.92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362,470.80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1,781,789.12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2,144,259.92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362,470.80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1,781,789.12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4、递延所得税资产/递延所得税负债" w:id="240"/>
      <w:bookmarkEnd w:id="240"/>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241"/>
      <w:bookmarkEnd w:id="24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66,540,845.16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10,064,888.51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53,856,352.68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8,113,905.88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886,399.36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205,578.77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436,646.48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109,161.61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10,300,891.42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2,575,222.86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24,592,193.80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3,688,829.07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20,887,713.22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3,133,156.98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102,320,329.74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16,534,519.21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75,180,712.38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11,356,224.47</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未经抵销的递延所得税负债" w:id="242"/>
      <w:bookmarkEnd w:id="24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12,460,510.45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3,115,127.61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12,460,510.45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3,115,127.61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15、其他非流动资产" w:id="243"/>
      <w:bookmarkEnd w:id="243"/>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2,910,402.29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4,023,094.12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2,910,402.29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4,023,094.12</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6、短期借款" w:id="244"/>
      <w:bookmarkEnd w:id="244"/>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短期借款分类" w:id="245"/>
      <w:bookmarkEnd w:id="24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420,000,000.00</w:t>
            </w:r>
          </w:p>
        </w:tc>
      </w:tr>
    </w:tbl>
    <w:p>
      <w:pPr>
        <w:pStyle w:val="BodyText"/>
        <w:spacing w:line="240" w:lineRule="auto" w:before="51"/>
        <w:ind w:left="154" w:right="0"/>
        <w:jc w:val="left"/>
      </w:pPr>
      <w:r>
        <w:rPr/>
        <w:t>短期借款分类的说明：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17、应付票据" w:id="246"/>
      <w:bookmarkEnd w:id="246"/>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102,567,210.00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178,230,000.00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102,567,210.00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198,230,000.00</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5"/>
        <w:spacing w:line="240" w:lineRule="auto"/>
        <w:ind w:left="154" w:right="0"/>
        <w:jc w:val="left"/>
        <w:rPr>
          <w:b w:val="0"/>
          <w:bCs w:val="0"/>
        </w:rPr>
      </w:pPr>
      <w:bookmarkStart w:name="18、应付账款" w:id="247"/>
      <w:bookmarkEnd w:id="247"/>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付账款列示" w:id="248"/>
      <w:bookmarkEnd w:id="24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96,677,708.25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120,222,469.65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16,687,804.48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27,869,974.21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951,415.62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152,840.33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316,308.00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应付软件系统费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114,685,436.35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148,251,284.19</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账龄超过1年的重要应付账款" w:id="249"/>
      <w:bookmarkEnd w:id="24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安徽两淮建设有限责任公司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14,821,657.80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安徽华业建工集团有限公司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1,408,225.99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16,229,883.79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9、预收款项" w:id="250"/>
      <w:bookmarkEnd w:id="250"/>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预收款项列示" w:id="251"/>
      <w:bookmarkEnd w:id="25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48,885,852.53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34,084,132.15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48,885,852.53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34,084,132.15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账龄超过1年的重要预收款项" w:id="252"/>
      <w:bookmarkEnd w:id="25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呼伦贝尔市华建设备制造有限公司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2,168,360.00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2,168,360.00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0、应付职工薪酬" w:id="253"/>
      <w:bookmarkEnd w:id="253"/>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付职工薪酬列示" w:id="254"/>
      <w:bookmarkEnd w:id="25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7,182,280.58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107,771,389.06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96,035,949.70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18,917,719.94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10,497,536.15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10,497,536.15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7,182,280.58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118,268,925.21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106,533,485.85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18,917,719.94</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短期薪酬列示" w:id="255"/>
      <w:bookmarkEnd w:id="25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9" w:right="0"/>
              <w:jc w:val="left"/>
              <w:rPr>
                <w:rFonts w:ascii="Times New Roman" w:hAnsi="Times New Roman" w:cs="Times New Roman" w:eastAsia="Times New Roman" w:hint="default"/>
                <w:sz w:val="18"/>
                <w:szCs w:val="18"/>
              </w:rPr>
            </w:pPr>
            <w:r>
              <w:rPr>
                <w:rFonts w:ascii="Times New Roman"/>
                <w:sz w:val="18"/>
              </w:rPr>
              <w:t>3,867,361.65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93,444,137.68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81,383,273.17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15,928,226.16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4,809,890.86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4,809,890.86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4,521,788.97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4,521,788.97</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3,997,236.66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3,997,236.66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243,389.37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243,389.37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281,162.94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281,162.94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3,846,418.00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3,846,418.00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3,314,918.93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1,149,153.55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1,474,578.70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2,989,493.78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7,182,280.58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107,771,389.06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96,035,949.70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18,917,719.94</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设定提存计划列示" w:id="256"/>
      <w:bookmarkEnd w:id="25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9,744,130.99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9,744,130.99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534,544.74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534,544.74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218,860.42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218,860.42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10,497,536.15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10,497,536.15</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1、应交税费" w:id="257"/>
      <w:bookmarkEnd w:id="257"/>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6,619,281.05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10,094,317.59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7,065,176.53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4,318,153.50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166,902.92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632,527.61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501,244.81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708,892.07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769,984.09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66,799.97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214,800.71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303,792.38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67,669.37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79,732.20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143,128.48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202,364.58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67,416.23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14,120.27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河道维护管理费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54,018.44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675,758.31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294,071.47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16,302,307.59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16,776,973.18</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2、应付利息" w:id="258"/>
      <w:bookmarkEnd w:id="258"/>
      <w:r>
        <w:rPr>
          <w:b w:val="0"/>
          <w:bCs w:val="0"/>
        </w:rPr>
      </w:r>
      <w:r>
        <w:rPr>
          <w:rFonts w:ascii="Times New Roman" w:hAnsi="Times New Roman" w:cs="Times New Roman" w:eastAsia="Times New Roman" w:hint="default"/>
        </w:rPr>
        <w:t>22</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227,735.41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3,678,125.00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3,678,125.00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614,915.56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708,583.33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4,520,775.97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4,386,708.33</w:t>
            </w:r>
          </w:p>
        </w:tc>
      </w:tr>
    </w:tbl>
    <w:p>
      <w:pPr>
        <w:pStyle w:val="BodyText"/>
        <w:spacing w:line="240" w:lineRule="auto" w:before="51"/>
        <w:ind w:left="154"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3、其他应付款" w:id="259"/>
      <w:bookmarkEnd w:id="259"/>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按款项性质列示其他应付款" w:id="260"/>
      <w:bookmarkEnd w:id="26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1,486,320.60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1,340,602.60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4,114,806.30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1,574,034.61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998,371.50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158,593.78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32,758.50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148,138.48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336,242.15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259,860.91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6,968,499.05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4,561,230.38</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账龄超过1年的重要其他应付款" w:id="261"/>
      <w:bookmarkEnd w:id="26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芜湖市畅顺运输有限公司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500,009.00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4、一年内到期的非流动负债" w:id="262"/>
      <w:bookmarkEnd w:id="262"/>
      <w:r>
        <w:rPr>
          <w:b w:val="0"/>
          <w:bCs w:val="0"/>
        </w:rPr>
      </w:r>
      <w:r>
        <w:rPr>
          <w:rFonts w:ascii="Times New Roman" w:hAnsi="Times New Roman" w:cs="Times New Roman" w:eastAsia="Times New Roman" w:hint="default"/>
        </w:rPr>
        <w:t>24</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148,462,081.53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148,462,081.53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5、长期借款" w:id="263"/>
      <w:bookmarkEnd w:id="263"/>
      <w:r>
        <w:rPr>
          <w:b w:val="0"/>
          <w:bCs w:val="0"/>
        </w:rPr>
      </w:r>
      <w:r>
        <w:rPr>
          <w:rFonts w:ascii="Times New Roman" w:hAnsi="Times New Roman" w:cs="Times New Roman" w:eastAsia="Times New Roman" w:hint="default"/>
        </w:rPr>
        <w:t>25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长期借款分类" w:id="264"/>
      <w:bookmarkEnd w:id="26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5"/>
        <w:spacing w:line="240" w:lineRule="auto"/>
        <w:ind w:left="154" w:right="0"/>
        <w:jc w:val="left"/>
        <w:rPr>
          <w:b w:val="0"/>
          <w:bCs w:val="0"/>
        </w:rPr>
      </w:pPr>
      <w:bookmarkStart w:name="26、应付债券" w:id="265"/>
      <w:bookmarkEnd w:id="265"/>
      <w:r>
        <w:rPr>
          <w:b w:val="0"/>
          <w:bCs w:val="0"/>
        </w:rPr>
      </w:r>
      <w:r>
        <w:rPr>
          <w:rFonts w:ascii="Times New Roman" w:hAnsi="Times New Roman" w:cs="Times New Roman" w:eastAsia="Times New Roman" w:hint="default"/>
        </w:rPr>
        <w:t>26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应付债券" w:id="266"/>
      <w:bookmarkEnd w:id="26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集合票据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148,462,081.53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145,705,986.21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减：一年到期的集合票据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-148,462,081.53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145,705,986.21</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应付债券的增减变动（上包括划分为金融负债的优先股、永续债等其他金融工具）" w:id="267"/>
      <w:bookmarkEnd w:id="26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集合票据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145,705,9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2,756,095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148,462,0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81.53</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145,705,9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2,756,095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148,462,0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81.53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7、递延收益" w:id="268"/>
      <w:bookmarkEnd w:id="268"/>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20,887,713.22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420,519.42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24,592,193.80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20,887,713.22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420,519.42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24,592,193.80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pict>
          <v:shape style="position:absolute;margin-left:119.100006pt;margin-top:59.031693pt;width:74.2pt;height:31.2pt;mso-position-horizontal-relative:page;mso-position-vertical-relative:paragraph;z-index:-852184"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25.300003pt;margin-top:59.031693pt;width:68pt;height:31.2pt;mso-position-horizontal-relative:page;mso-position-vertical-relative:paragraph;z-index:-852160" coordorigin="2506,1181" coordsize="1360,624">
            <v:shape style="position:absolute;left:2506;top:1181;width:1360;height:624" coordorigin="2506,1181" coordsize="1360,624" path="m2506,1805l3866,1805,3866,1181,2506,1181,2506,1805xe" filled="true" fillcolor="#ffffff" stroked="false">
              <v:path arrowok="t"/>
              <v:fill type="solid"/>
            </v:shape>
            <w10:wrap type="none"/>
          </v:group>
        </w:pict>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228"/>
        <w:gridCol w:w="1141"/>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轨道交通（高铁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信号可靠性供电 保障系统关键技 术的开发及产业 化</w:t>
            </w:r>
            <w:r>
              <w:rPr>
                <w:rFonts w:ascii="Times New Roman" w:hAnsi="Times New Roman" w:cs="Times New Roman" w:eastAsia="Times New Roman" w:hint="default"/>
                <w:sz w:val="18"/>
                <w:szCs w:val="18"/>
              </w:rPr>
              <w:t>*1</w:t>
            </w:r>
          </w:p>
        </w:tc>
        <w:tc>
          <w:tcPr>
            <w:tcW w:w="228" w:type="dxa"/>
            <w:tcBorders>
              <w:top w:val="single" w:sz="4" w:space="0" w:color="000000"/>
              <w:left w:val="single" w:sz="4" w:space="0" w:color="000000"/>
              <w:bottom w:val="single" w:sz="4" w:space="0" w:color="000000"/>
              <w:right w:val="nil" w:sz="6" w:space="0" w:color="auto"/>
            </w:tcBorders>
          </w:tcPr>
          <w:p>
            <w:pPr/>
          </w:p>
        </w:tc>
        <w:tc>
          <w:tcPr>
            <w:tcW w:w="1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高效节能数字式 软启动装置产业 化项目</w:t>
            </w:r>
            <w:r>
              <w:rPr>
                <w:rFonts w:ascii="Times New Roman" w:hAnsi="Times New Roman" w:cs="Times New Roman" w:eastAsia="Times New Roman" w:hint="default"/>
                <w:sz w:val="18"/>
                <w:szCs w:val="18"/>
              </w:rPr>
              <w:t>*2</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9,000,000.00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重点实验室建设 专项资金</w:t>
            </w:r>
            <w:r>
              <w:rPr>
                <w:rFonts w:ascii="Times New Roman" w:hAnsi="Times New Roman" w:cs="Times New Roman" w:eastAsia="Times New Roman" w:hint="default"/>
                <w:sz w:val="18"/>
                <w:szCs w:val="18"/>
              </w:rPr>
              <w:t>*3</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298,684.21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15,789.48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282,894.73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多层厂房奖励资 金</w:t>
            </w:r>
            <w:r>
              <w:rPr>
                <w:rFonts w:ascii="Times New Roman" w:hAnsi="Times New Roman" w:cs="Times New Roman" w:eastAsia="Times New Roman" w:hint="default"/>
                <w:sz w:val="18"/>
                <w:szCs w:val="18"/>
              </w:rPr>
              <w:t>*4</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6,458,731.98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370,836.24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6,087,895.74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双电源自动转换 开关项目设备补 助</w:t>
            </w:r>
            <w:r>
              <w:rPr>
                <w:rFonts w:ascii="Times New Roman" w:hAnsi="Times New Roman" w:cs="Times New Roman" w:eastAsia="Times New Roman" w:hint="default"/>
                <w:sz w:val="18"/>
                <w:szCs w:val="18"/>
              </w:rPr>
              <w:t>*5</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130,297.03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16,633.68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113,663.35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年重点新产 品补助资金</w:t>
            </w:r>
            <w:r>
              <w:rPr>
                <w:rFonts w:ascii="Times New Roman" w:hAnsi="Times New Roman" w:cs="Times New Roman" w:eastAsia="Times New Roman" w:hint="default"/>
                <w:sz w:val="18"/>
                <w:szCs w:val="18"/>
              </w:rPr>
              <w:t>*6</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10,084.02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189,915.98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创新服务体系专 项资金</w:t>
            </w:r>
            <w:r>
              <w:rPr>
                <w:rFonts w:ascii="Times New Roman" w:hAnsi="Times New Roman" w:cs="Times New Roman" w:eastAsia="Times New Roman" w:hint="default"/>
                <w:sz w:val="18"/>
                <w:szCs w:val="18"/>
              </w:rPr>
              <w:t>*7</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792,824.00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中低压电能质量 综合治理装置产 业化关键技术研 究</w:t>
            </w:r>
            <w:r>
              <w:rPr>
                <w:rFonts w:ascii="Times New Roman" w:hAnsi="Times New Roman" w:cs="Times New Roman" w:eastAsia="Times New Roman" w:hint="default"/>
                <w:sz w:val="18"/>
                <w:szCs w:val="18"/>
              </w:rPr>
              <w:t>*8</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自主创新能力建 设补助项目</w:t>
            </w:r>
            <w:r>
              <w:rPr>
                <w:rFonts w:ascii="Times New Roman" w:hAnsi="Times New Roman" w:cs="Times New Roman" w:eastAsia="Times New Roman" w:hint="default"/>
                <w:sz w:val="18"/>
                <w:szCs w:val="18"/>
              </w:rPr>
              <w:t>*9</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国家重点新产品 研发后补助项目</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*10</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芜湖市科技局项</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29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目经费</w:t>
            </w:r>
            <w:r>
              <w:rPr>
                <w:rFonts w:ascii="Times New Roman" w:hAnsi="Times New Roman" w:cs="Times New Roman" w:eastAsia="Times New Roman" w:hint="default"/>
                <w:sz w:val="18"/>
                <w:szCs w:val="18"/>
              </w:rPr>
              <w:t>-</w:t>
            </w:r>
            <w:r>
              <w:rPr>
                <w:rFonts w:ascii="宋体" w:hAnsi="宋体" w:cs="宋体" w:eastAsia="宋体" w:hint="default"/>
                <w:sz w:val="18"/>
                <w:szCs w:val="18"/>
              </w:rPr>
              <w:t>研制</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AXGQ-63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自复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式过欠压保护器</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pacing w:val="-3"/>
                <w:sz w:val="18"/>
              </w:rPr>
              <w:t>*11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20,887,713.22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4,125,000.00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420,519.42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24,592,193.80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300" w:lineRule="auto" w:before="116"/>
        <w:ind w:left="154" w:right="1217" w:firstLine="363"/>
        <w:jc w:val="both"/>
      </w:pPr>
      <w:r>
        <w:rPr>
          <w:rFonts w:ascii="Times New Roman" w:hAnsi="Times New Roman" w:cs="Times New Roman" w:eastAsia="Times New Roman" w:hint="default"/>
        </w:rPr>
        <w:t>1.</w:t>
      </w:r>
      <w:r>
        <w:rPr/>
        <w:t>根据安徽省财政厅颁布的皖创新办【</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5 </w:t>
      </w:r>
      <w:r>
        <w:rPr/>
        <w:t>号文件《关于下达</w:t>
      </w:r>
      <w:r>
        <w:rPr>
          <w:spacing w:val="-39"/>
        </w:rPr>
        <w:t> </w:t>
      </w:r>
      <w:r>
        <w:rPr>
          <w:rFonts w:ascii="Times New Roman" w:hAnsi="Times New Roman" w:cs="Times New Roman" w:eastAsia="Times New Roman" w:hint="default"/>
        </w:rPr>
        <w:t>2013</w:t>
      </w:r>
      <w:r>
        <w:rPr/>
        <w:t>年国家技术创新工程试点省和合芜蚌自主创新 综合试验区专项资金项目计划的通知》，公司于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月收到政府补助 </w:t>
      </w:r>
      <w:r>
        <w:rPr>
          <w:rFonts w:ascii="Times New Roman" w:hAnsi="Times New Roman" w:cs="Times New Roman" w:eastAsia="Times New Roman" w:hint="default"/>
        </w:rPr>
        <w:t>500.00</w:t>
      </w:r>
      <w:r>
        <w:rPr>
          <w:rFonts w:ascii="Times New Roman" w:hAnsi="Times New Roman" w:cs="Times New Roman" w:eastAsia="Times New Roman" w:hint="default"/>
          <w:spacing w:val="8"/>
        </w:rPr>
        <w:t> </w:t>
      </w:r>
      <w:r>
        <w:rPr/>
        <w:t>万元，待项目完工后按照资产的使用年限 分期转入政府补助。</w:t>
      </w:r>
    </w:p>
    <w:p>
      <w:pPr>
        <w:pStyle w:val="BodyText"/>
        <w:spacing w:line="300" w:lineRule="auto" w:before="31"/>
        <w:ind w:right="1132" w:firstLine="363"/>
        <w:jc w:val="both"/>
      </w:pPr>
      <w:r>
        <w:rPr>
          <w:rFonts w:ascii="Times New Roman" w:hAnsi="Times New Roman" w:cs="Times New Roman" w:eastAsia="Times New Roman" w:hint="default"/>
          <w:spacing w:val="-2"/>
        </w:rPr>
        <w:t>2</w:t>
      </w:r>
      <w:r>
        <w:rPr>
          <w:spacing w:val="-2"/>
        </w:rPr>
        <w:t>．根据国家发展和改革委员会办公厅颁布的发改办环资【</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103</w:t>
      </w:r>
      <w:r>
        <w:rPr>
          <w:spacing w:val="-2"/>
        </w:rPr>
        <w:t>号文件《关于</w:t>
      </w:r>
      <w:r>
        <w:rPr>
          <w:rFonts w:ascii="Times New Roman" w:hAnsi="Times New Roman" w:cs="Times New Roman" w:eastAsia="Times New Roman" w:hint="default"/>
          <w:spacing w:val="-2"/>
        </w:rPr>
        <w:t>2013</w:t>
      </w:r>
      <w:r>
        <w:rPr>
          <w:spacing w:val="-2"/>
        </w:rPr>
        <w:t>年第四批资源节约和环境保护项</w:t>
      </w:r>
      <w:r>
        <w:rPr/>
        <w:t> 目的复函》，公司于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月收到政府补助 </w:t>
      </w:r>
      <w:r>
        <w:rPr>
          <w:rFonts w:ascii="Times New Roman" w:hAnsi="Times New Roman" w:cs="Times New Roman" w:eastAsia="Times New Roman" w:hint="default"/>
        </w:rPr>
        <w:t>900.00</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月收到政府补助</w:t>
      </w:r>
      <w:r>
        <w:rPr>
          <w:rFonts w:ascii="Times New Roman" w:hAnsi="Times New Roman" w:cs="Times New Roman" w:eastAsia="Times New Roman" w:hint="default"/>
        </w:rPr>
        <w:t>100.00</w:t>
      </w:r>
      <w:r>
        <w:rPr/>
        <w:t>万元，待项目完工后按照资产 的使用年限分期转入政府补助。</w:t>
      </w:r>
    </w:p>
    <w:p>
      <w:pPr>
        <w:pStyle w:val="BodyText"/>
        <w:spacing w:line="240" w:lineRule="auto" w:before="31"/>
        <w:ind w:left="517" w:right="0"/>
        <w:jc w:val="left"/>
      </w:pPr>
      <w:r>
        <w:rPr>
          <w:rFonts w:ascii="Times New Roman" w:hAnsi="Times New Roman" w:cs="Times New Roman" w:eastAsia="Times New Roman" w:hint="default"/>
        </w:rPr>
        <w:t>3</w:t>
      </w:r>
      <w:r>
        <w:rPr/>
        <w:t>．根据安徽省财政厅颁布的财教【</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1197  </w:t>
      </w:r>
      <w:r>
        <w:rPr/>
        <w:t>号文件《关于下达</w:t>
      </w:r>
      <w:r>
        <w:rPr>
          <w:spacing w:val="-38"/>
        </w:rPr>
        <w:t> </w:t>
      </w:r>
      <w:r>
        <w:rPr>
          <w:rFonts w:ascii="Times New Roman" w:hAnsi="Times New Roman" w:cs="Times New Roman" w:eastAsia="Times New Roman" w:hint="default"/>
        </w:rPr>
        <w:t>2013</w:t>
      </w:r>
      <w:r>
        <w:rPr/>
        <w:t>年重点实验室建设专项资金的通知》，公司于</w:t>
      </w:r>
    </w:p>
    <w:p>
      <w:pPr>
        <w:pStyle w:val="BodyText"/>
        <w:spacing w:line="300" w:lineRule="auto" w:before="63"/>
        <w:ind w:left="154" w:right="1113"/>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月收到政府补助 </w:t>
      </w:r>
      <w:r>
        <w:rPr>
          <w:rFonts w:ascii="Times New Roman" w:hAnsi="Times New Roman" w:cs="Times New Roman" w:eastAsia="Times New Roman" w:hint="default"/>
        </w:rPr>
        <w:t>30.00 </w:t>
      </w:r>
      <w:r>
        <w:rPr>
          <w:spacing w:val="-3"/>
        </w:rPr>
        <w:t>万元，该实验室已于</w:t>
      </w:r>
      <w:r>
        <w:rPr>
          <w:spacing w:val="-54"/>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月投入使用，按照此资产的预计剩余可使用年限，本期转入营 业外收入</w:t>
      </w:r>
      <w:r>
        <w:rPr>
          <w:rFonts w:ascii="Times New Roman" w:hAnsi="Times New Roman" w:cs="Times New Roman" w:eastAsia="Times New Roman" w:hint="default"/>
        </w:rPr>
        <w:t>15,789.48</w:t>
      </w:r>
      <w:r>
        <w:rPr/>
        <w:t>元。</w:t>
      </w:r>
    </w:p>
    <w:p>
      <w:pPr>
        <w:pStyle w:val="BodyText"/>
        <w:spacing w:line="300" w:lineRule="auto" w:before="13"/>
        <w:ind w:right="0" w:firstLine="363"/>
        <w:jc w:val="left"/>
      </w:pPr>
      <w:r>
        <w:rPr>
          <w:rFonts w:ascii="Times New Roman" w:hAnsi="Times New Roman" w:cs="Times New Roman" w:eastAsia="Times New Roman" w:hint="default"/>
          <w:spacing w:val="-5"/>
        </w:rPr>
        <w:t>4</w:t>
      </w:r>
      <w:r>
        <w:rPr>
          <w:spacing w:val="-5"/>
        </w:rPr>
        <w:t>．根据安徽省芜湖市人民政府颁布的芜政【</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59</w:t>
      </w:r>
      <w:r>
        <w:rPr>
          <w:spacing w:val="-5"/>
        </w:rPr>
        <w:t>号文件《关于加快承接产业转移促进工业发展的若干政策的通知》，</w:t>
      </w:r>
      <w:r>
        <w:rPr/>
        <w:t> 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月收到多层厂房建设奖励资金</w:t>
      </w:r>
      <w:r>
        <w:rPr>
          <w:rFonts w:ascii="Times New Roman" w:hAnsi="Times New Roman" w:cs="Times New Roman" w:eastAsia="Times New Roman" w:hint="default"/>
        </w:rPr>
        <w:t>6,489,635.00</w:t>
      </w:r>
      <w:r>
        <w:rPr/>
        <w:t>元，该多层厂房已于</w:t>
      </w:r>
      <w:r>
        <w:rPr>
          <w:spacing w:val="-19"/>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月投入使用，按照此资产的预计剩 余可使用年限，本期转入营业外收入</w:t>
      </w:r>
      <w:r>
        <w:rPr>
          <w:rFonts w:ascii="Times New Roman" w:hAnsi="Times New Roman" w:cs="Times New Roman" w:eastAsia="Times New Roman" w:hint="default"/>
        </w:rPr>
        <w:t>370,836.24</w:t>
      </w:r>
      <w:r>
        <w:rPr/>
        <w:t>元。</w:t>
      </w:r>
    </w:p>
    <w:p>
      <w:pPr>
        <w:pStyle w:val="BodyText"/>
        <w:spacing w:line="300" w:lineRule="auto" w:before="13"/>
        <w:ind w:right="1118" w:firstLine="363"/>
        <w:jc w:val="left"/>
      </w:pPr>
      <w:r>
        <w:rPr>
          <w:rFonts w:ascii="Times New Roman" w:hAnsi="Times New Roman" w:cs="Times New Roman" w:eastAsia="Times New Roman" w:hint="default"/>
        </w:rPr>
        <w:t>5</w:t>
      </w:r>
      <w:r>
        <w:rPr/>
        <w:t>．根据公司与芜湖市科学技术局签订的项目任务合同书，公司作为</w:t>
      </w:r>
      <w:r>
        <w:rPr>
          <w:rFonts w:ascii="Times New Roman" w:hAnsi="Times New Roman" w:cs="Times New Roman" w:eastAsia="Times New Roman" w:hint="default"/>
        </w:rPr>
        <w:t>AXQ4</w:t>
      </w:r>
      <w:r>
        <w:rPr/>
        <w:t>系列双电源自动转换开关项目的承担单位， 芜湖市财政应补助项目设备费</w:t>
      </w:r>
      <w:r>
        <w:rPr>
          <w:rFonts w:ascii="Times New Roman" w:hAnsi="Times New Roman" w:cs="Times New Roman" w:eastAsia="Times New Roman" w:hint="default"/>
        </w:rPr>
        <w:t>20.00</w:t>
      </w:r>
      <w:r>
        <w:rPr/>
        <w:t>万元，公司于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月收到的政府补助</w:t>
      </w:r>
      <w:r>
        <w:rPr>
          <w:rFonts w:ascii="Times New Roman" w:hAnsi="Times New Roman" w:cs="Times New Roman" w:eastAsia="Times New Roman" w:hint="default"/>
        </w:rPr>
        <w:t>14.00 </w:t>
      </w:r>
      <w:r>
        <w:rPr>
          <w:spacing w:val="-3"/>
        </w:rPr>
        <w:t>万元，该项目设备已于</w:t>
      </w:r>
      <w:r>
        <w:rPr>
          <w:spacing w:val="-1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月全部投 入使用，按照该批资产的加权平均剩余可使用年限，本期转入营业外收入</w:t>
      </w:r>
      <w:r>
        <w:rPr>
          <w:rFonts w:ascii="Times New Roman" w:hAnsi="Times New Roman" w:cs="Times New Roman" w:eastAsia="Times New Roman" w:hint="default"/>
        </w:rPr>
        <w:t>16,633.68</w:t>
      </w:r>
      <w:r>
        <w:rPr/>
        <w:t>元。</w:t>
      </w:r>
    </w:p>
    <w:p>
      <w:pPr>
        <w:pStyle w:val="BodyText"/>
        <w:spacing w:line="300" w:lineRule="auto" w:before="13"/>
        <w:ind w:right="1131" w:firstLine="363"/>
        <w:jc w:val="both"/>
      </w:pPr>
      <w:r>
        <w:rPr>
          <w:rFonts w:ascii="Times New Roman" w:hAnsi="Times New Roman" w:cs="Times New Roman" w:eastAsia="Times New Roman" w:hint="default"/>
          <w:spacing w:val="-2"/>
        </w:rPr>
        <w:t>6</w:t>
      </w:r>
      <w:r>
        <w:rPr>
          <w:spacing w:val="-2"/>
        </w:rPr>
        <w:t>．根据公司与芜湖市科技局签订的安徽省重点新产品计划绩效合同书，公司于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月收到政府</w:t>
      </w:r>
      <w:r>
        <w:rPr>
          <w:rFonts w:ascii="Times New Roman" w:hAnsi="Times New Roman" w:cs="Times New Roman" w:eastAsia="Times New Roman" w:hint="default"/>
          <w:spacing w:val="-2"/>
        </w:rPr>
        <w:t>2014</w:t>
      </w:r>
      <w:r>
        <w:rPr>
          <w:spacing w:val="-2"/>
        </w:rPr>
        <w:t>年重点新产品补</w:t>
      </w:r>
      <w:r>
        <w:rPr/>
        <w:t> </w:t>
      </w:r>
      <w:r>
        <w:rPr>
          <w:spacing w:val="-1"/>
        </w:rPr>
        <w:t>助资金</w:t>
      </w:r>
      <w:r>
        <w:rPr>
          <w:rFonts w:ascii="Times New Roman" w:hAnsi="Times New Roman" w:cs="Times New Roman" w:eastAsia="Times New Roman" w:hint="default"/>
          <w:spacing w:val="-1"/>
        </w:rPr>
        <w:t>20.00</w:t>
      </w:r>
      <w:r>
        <w:rPr>
          <w:spacing w:val="-1"/>
        </w:rPr>
        <w:t>万用于购置设备，相关设备已于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月投入使用，按照该类设备的预计剩余可使用年限，本期转入营业外收</w:t>
      </w:r>
      <w:r>
        <w:rPr>
          <w:spacing w:val="-72"/>
        </w:rPr>
        <w:t> </w:t>
      </w:r>
      <w:r>
        <w:rPr>
          <w:spacing w:val="-72"/>
        </w:rPr>
      </w:r>
      <w:r>
        <w:rPr/>
        <w:t>入</w:t>
      </w:r>
      <w:r>
        <w:rPr>
          <w:rFonts w:ascii="Times New Roman" w:hAnsi="Times New Roman" w:cs="Times New Roman" w:eastAsia="Times New Roman" w:hint="default"/>
        </w:rPr>
        <w:t>10,084.02</w:t>
      </w:r>
      <w:r>
        <w:rPr/>
        <w:t>元。</w:t>
      </w:r>
    </w:p>
    <w:p>
      <w:pPr>
        <w:pStyle w:val="BodyText"/>
        <w:spacing w:line="300" w:lineRule="auto" w:before="13"/>
        <w:ind w:right="0" w:firstLine="363"/>
        <w:jc w:val="left"/>
      </w:pPr>
      <w:r>
        <w:rPr>
          <w:rFonts w:ascii="Times New Roman" w:hAnsi="Times New Roman" w:cs="Times New Roman" w:eastAsia="Times New Roman" w:hint="default"/>
          <w:spacing w:val="-4"/>
        </w:rPr>
        <w:t>7</w:t>
      </w:r>
      <w:r>
        <w:rPr>
          <w:spacing w:val="-4"/>
        </w:rPr>
        <w:t>．根据公司与芜湖市科技局签订的安徽省重点实验室绩效合同，公司于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月收到安徽省电器设备电磁兼容（</w:t>
      </w:r>
      <w:r>
        <w:rPr>
          <w:rFonts w:ascii="Times New Roman" w:hAnsi="Times New Roman" w:cs="Times New Roman" w:eastAsia="Times New Roman" w:hint="default"/>
          <w:spacing w:val="-4"/>
        </w:rPr>
        <w:t>EMC</w:t>
      </w:r>
      <w:r>
        <w:rPr>
          <w:spacing w:val="-4"/>
        </w:rPr>
        <w:t>）</w:t>
      </w:r>
      <w:r>
        <w:rPr/>
        <w:t> 省级实验室绩效考核补助资金</w:t>
      </w:r>
      <w:r>
        <w:rPr>
          <w:rFonts w:ascii="Times New Roman" w:hAnsi="Times New Roman" w:cs="Times New Roman" w:eastAsia="Times New Roman" w:hint="default"/>
        </w:rPr>
        <w:t>80.00</w:t>
      </w:r>
      <w:r>
        <w:rPr/>
        <w:t>万用于购置设备，相关设备已于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月投入使用，按照该类设备的预计剩 余可使用年限，本期转入营业外收入</w:t>
      </w:r>
      <w:r>
        <w:rPr>
          <w:rFonts w:ascii="Times New Roman" w:hAnsi="Times New Roman" w:cs="Times New Roman" w:eastAsia="Times New Roman" w:hint="default"/>
        </w:rPr>
        <w:t>7,176.00</w:t>
      </w:r>
      <w:r>
        <w:rPr/>
        <w:t>元。</w:t>
      </w:r>
    </w:p>
    <w:p>
      <w:pPr>
        <w:pStyle w:val="BodyText"/>
        <w:spacing w:line="300" w:lineRule="auto" w:before="13"/>
        <w:ind w:right="1120" w:firstLine="363"/>
        <w:jc w:val="left"/>
      </w:pPr>
      <w:r>
        <w:rPr>
          <w:rFonts w:ascii="Times New Roman" w:hAnsi="Times New Roman" w:cs="Times New Roman" w:eastAsia="Times New Roman" w:hint="default"/>
        </w:rPr>
        <w:t>8</w:t>
      </w:r>
      <w:r>
        <w:rPr/>
        <w:t>．根据公司与芜湖市科技局签订的芜湖市科技计划项目合同书，公司于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月收到补助</w:t>
      </w:r>
      <w:r>
        <w:rPr>
          <w:rFonts w:ascii="Times New Roman" w:hAnsi="Times New Roman" w:cs="Times New Roman" w:eastAsia="Times New Roman" w:hint="default"/>
        </w:rPr>
        <w:t>70</w:t>
      </w:r>
      <w:r>
        <w:rPr/>
        <w:t>万元，待项目完工后按 照资产的使用年限分期转入政府补助。</w:t>
      </w:r>
    </w:p>
    <w:p>
      <w:pPr>
        <w:pStyle w:val="BodyText"/>
        <w:spacing w:line="300" w:lineRule="auto" w:before="31"/>
        <w:ind w:left="154" w:right="1119" w:firstLine="363"/>
        <w:jc w:val="left"/>
      </w:pPr>
      <w:r>
        <w:rPr>
          <w:rFonts w:ascii="Times New Roman" w:hAnsi="Times New Roman" w:cs="Times New Roman" w:eastAsia="Times New Roman" w:hint="default"/>
        </w:rPr>
        <w:t>9</w:t>
      </w:r>
      <w:r>
        <w:rPr/>
        <w:t>．根据安徽省支持自主创新能力建设实施细则，公司于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月收到自主创新能力建设补助项目</w:t>
      </w:r>
      <w:r>
        <w:rPr>
          <w:rFonts w:ascii="Times New Roman" w:hAnsi="Times New Roman" w:cs="Times New Roman" w:eastAsia="Times New Roman" w:hint="default"/>
        </w:rPr>
        <w:t>(AXQ3</w:t>
      </w:r>
      <w:r>
        <w:rPr/>
        <w:t>自动转换开 关</w:t>
      </w:r>
      <w:r>
        <w:rPr>
          <w:rFonts w:ascii="Times New Roman" w:hAnsi="Times New Roman" w:cs="Times New Roman" w:eastAsia="Times New Roman" w:hint="default"/>
        </w:rPr>
        <w:t>)</w:t>
      </w:r>
      <w:r>
        <w:rPr/>
        <w:t>项目补助资金</w:t>
      </w:r>
      <w:r>
        <w:rPr>
          <w:rFonts w:ascii="Times New Roman" w:hAnsi="Times New Roman" w:cs="Times New Roman" w:eastAsia="Times New Roman" w:hint="default"/>
        </w:rPr>
        <w:t>28.5</w:t>
      </w:r>
      <w:r>
        <w:rPr/>
        <w:t>万元，待项目完工后按照资产的使用年限分期转入政府补助。</w:t>
      </w:r>
    </w:p>
    <w:p>
      <w:pPr>
        <w:pStyle w:val="BodyText"/>
        <w:spacing w:line="240" w:lineRule="auto" w:before="13"/>
        <w:ind w:left="517" w:right="0"/>
        <w:jc w:val="left"/>
      </w:pPr>
      <w:r>
        <w:rPr>
          <w:rFonts w:ascii="Times New Roman" w:hAnsi="Times New Roman" w:cs="Times New Roman" w:eastAsia="Times New Roman" w:hint="default"/>
        </w:rPr>
        <w:t>10</w:t>
      </w:r>
      <w:r>
        <w:rPr/>
        <w:t>．根据安徽省国家重点新产品研发后补助实施细则，公司于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月收到国家重点新产品研发后补助项目资金</w:t>
      </w:r>
    </w:p>
    <w:p>
      <w:pPr>
        <w:pStyle w:val="BodyText"/>
        <w:spacing w:line="240" w:lineRule="auto" w:before="63"/>
        <w:ind w:right="0"/>
        <w:jc w:val="left"/>
      </w:pPr>
      <w:r>
        <w:rPr>
          <w:rFonts w:ascii="Times New Roman" w:hAnsi="Times New Roman" w:cs="Times New Roman" w:eastAsia="Times New Roman" w:hint="default"/>
        </w:rPr>
        <w:t>100.00</w:t>
      </w:r>
      <w:r>
        <w:rPr/>
        <w:t>万元，待项目完工后按照资产的使用年限分期转入政府补助。</w:t>
      </w:r>
    </w:p>
    <w:p>
      <w:pPr>
        <w:pStyle w:val="BodyText"/>
        <w:spacing w:line="240" w:lineRule="auto" w:before="63"/>
        <w:ind w:left="517" w:right="0"/>
        <w:jc w:val="left"/>
        <w:rPr>
          <w:rFonts w:ascii="Times New Roman" w:hAnsi="Times New Roman" w:cs="Times New Roman" w:eastAsia="Times New Roman" w:hint="default"/>
        </w:rPr>
      </w:pPr>
      <w:r>
        <w:rPr>
          <w:rFonts w:ascii="Times New Roman" w:hAnsi="Times New Roman" w:cs="Times New Roman" w:eastAsia="Times New Roman" w:hint="default"/>
        </w:rPr>
        <w:t>11</w:t>
      </w:r>
      <w:r>
        <w:rPr/>
        <w:t>．根据芜湖市科技局芜科计【</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29</w:t>
      </w:r>
      <w:r>
        <w:rPr/>
        <w:t>文件，公司研制</w:t>
      </w:r>
      <w:r>
        <w:rPr>
          <w:rFonts w:ascii="Times New Roman" w:hAnsi="Times New Roman" w:cs="Times New Roman" w:eastAsia="Times New Roman" w:hint="default"/>
        </w:rPr>
        <w:t>AXGQ-63</w:t>
      </w:r>
      <w:r>
        <w:rPr/>
        <w:t>自复式过欠压保护器项目，芜湖市财政应补助</w:t>
      </w:r>
      <w:r>
        <w:rPr>
          <w:rFonts w:ascii="Times New Roman" w:hAnsi="Times New Roman" w:cs="Times New Roman" w:eastAsia="Times New Roman" w:hint="default"/>
        </w:rPr>
        <w:t>20.00</w:t>
      </w:r>
    </w:p>
    <w:p>
      <w:pPr>
        <w:pStyle w:val="BodyText"/>
        <w:spacing w:line="240" w:lineRule="auto" w:before="63"/>
        <w:ind w:left="154" w:right="0"/>
        <w:jc w:val="left"/>
      </w:pPr>
      <w:r>
        <w:rPr/>
        <w:t>万元，公司于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月收到政府补助资金</w:t>
      </w:r>
      <w:r>
        <w:rPr>
          <w:rFonts w:ascii="Times New Roman" w:hAnsi="Times New Roman" w:cs="Times New Roman" w:eastAsia="Times New Roman" w:hint="default"/>
        </w:rPr>
        <w:t>14</w:t>
      </w:r>
      <w:r>
        <w:rPr/>
        <w:t>万元，待项目完工后按照资产的使用年限分期转入政府补助。</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28、股本" w:id="269"/>
      <w:bookmarkEnd w:id="269"/>
      <w:r>
        <w:rPr>
          <w:b w:val="0"/>
          <w:bCs w:val="0"/>
        </w:rPr>
      </w:r>
      <w:r>
        <w:rPr>
          <w:rFonts w:ascii="Times New Roman" w:hAnsi="Times New Roman" w:cs="Times New Roman" w:eastAsia="Times New Roman" w:hint="default"/>
        </w:rPr>
        <w:t>28</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413,848,300.00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413,848,300.00</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9、资本公积" w:id="270"/>
      <w:bookmarkEnd w:id="270"/>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493,511,608.59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493,511,608.59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21,182,828.27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5,886,664.63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3,529,291.42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23,540,201.48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514,694,436.86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5,886,664.63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3,529,291.42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517,051,810.07</w:t>
            </w:r>
          </w:p>
        </w:tc>
      </w:tr>
    </w:tbl>
    <w:p>
      <w:pPr>
        <w:pStyle w:val="BodyText"/>
        <w:spacing w:line="240" w:lineRule="auto" w:before="51"/>
        <w:ind w:left="154" w:right="0"/>
        <w:jc w:val="left"/>
      </w:pPr>
      <w:r>
        <w:rPr/>
        <w:t>其他说明，包括本期增减变动情况、变动原因说明：</w:t>
      </w:r>
    </w:p>
    <w:p>
      <w:pPr>
        <w:spacing w:line="240" w:lineRule="auto" w:before="5"/>
        <w:rPr>
          <w:rFonts w:ascii="宋体" w:hAnsi="宋体" w:cs="宋体" w:eastAsia="宋体" w:hint="default"/>
          <w:sz w:val="13"/>
          <w:szCs w:val="13"/>
        </w:rPr>
      </w:pPr>
    </w:p>
    <w:p>
      <w:pPr>
        <w:pStyle w:val="BodyText"/>
        <w:spacing w:line="300" w:lineRule="auto"/>
        <w:ind w:right="1132" w:firstLine="360"/>
        <w:jc w:val="both"/>
      </w:pPr>
      <w:r>
        <w:rPr>
          <w:rFonts w:ascii="Times New Roman" w:hAnsi="Times New Roman" w:cs="Times New Roman" w:eastAsia="Times New Roman" w:hint="default"/>
          <w:spacing w:val="-2"/>
        </w:rPr>
        <w:t>1</w:t>
      </w:r>
      <w:r>
        <w:rPr>
          <w:spacing w:val="-2"/>
        </w:rPr>
        <w:t>．本期资本公积（其他资本公积）增加，系本期按权益法核算的联营企业安徽美能储能系统有限公司（以下简称</w:t>
      </w:r>
      <w:r>
        <w:rPr>
          <w:rFonts w:ascii="Times New Roman" w:hAnsi="Times New Roman" w:cs="Times New Roman" w:eastAsia="Times New Roman" w:hint="default"/>
          <w:spacing w:val="-2"/>
        </w:rPr>
        <w:t>“</w:t>
      </w:r>
      <w:r>
        <w:rPr>
          <w:spacing w:val="-2"/>
        </w:rPr>
        <w:t>美能</w:t>
      </w:r>
      <w:r>
        <w:rPr/>
        <w:t> 储能公司</w:t>
      </w:r>
      <w:r>
        <w:rPr>
          <w:rFonts w:ascii="Times New Roman" w:hAnsi="Times New Roman" w:cs="Times New Roman" w:eastAsia="Times New Roman" w:hint="default"/>
        </w:rPr>
        <w:t>”</w:t>
      </w:r>
      <w:r>
        <w:rPr/>
        <w:t>）增资而被动稀释对美能储能公司的持股比例，按新的持股比例确认归属于本公司的美能储能公司增发股份导致 的净资产增加份额，与应结转持股比例下降部分的长期股权投资账面价值之间的差额部分。</w:t>
      </w:r>
    </w:p>
    <w:p>
      <w:pPr>
        <w:pStyle w:val="BodyText"/>
        <w:spacing w:line="240" w:lineRule="auto" w:before="132"/>
        <w:ind w:left="0" w:right="1140"/>
        <w:jc w:val="right"/>
      </w:pPr>
      <w:r>
        <w:rPr>
          <w:rFonts w:ascii="Times New Roman" w:hAnsi="Times New Roman" w:cs="Times New Roman" w:eastAsia="Times New Roman" w:hint="default"/>
        </w:rPr>
        <w:t>2</w:t>
      </w:r>
      <w:r>
        <w:rPr/>
        <w:t>．本期其他资本公积减少，系本期公司对子公司天津市泰达工程设计有限公司法定代表人武文杰实施股权激励所致。</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0、盈余公积" w:id="271"/>
      <w:bookmarkEnd w:id="271"/>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42,462,337.50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1,102,323.91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43,564,661.41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42,462,337.50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1,102,323.91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43,564,661.41</w:t>
            </w:r>
          </w:p>
        </w:tc>
      </w:tr>
    </w:tbl>
    <w:p>
      <w:pPr>
        <w:pStyle w:val="BodyText"/>
        <w:spacing w:line="240" w:lineRule="auto" w:before="51"/>
        <w:ind w:left="15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31、未分配利润" w:id="272"/>
      <w:bookmarkEnd w:id="272"/>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306,639,964.47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235,051,872.69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306,639,964.47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235,051,872.69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14,998,539.05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87,486,738.75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1,102,323.91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7,721,266.97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14,484,690.50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8,177,380.00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306,051,489.11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306,639,964.47</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2、营业收入和营业成本" w:id="273"/>
      <w:bookmarkEnd w:id="273"/>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804,064,981.71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488,133,716.59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894,799,011.67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531,157,969.98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5,343,948.06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1,686,071.28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10,396,447.36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3,002,911.96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809,408,929.77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489,819,787.87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905,195,459.03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534,160,881.94</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3、营业税金及附加" w:id="274"/>
      <w:bookmarkEnd w:id="274"/>
      <w:r>
        <w:rPr>
          <w:b w:val="0"/>
          <w:bCs w:val="0"/>
        </w:rPr>
      </w:r>
      <w:r>
        <w:rPr>
          <w:rFonts w:ascii="Times New Roman" w:hAnsi="Times New Roman" w:cs="Times New Roman" w:eastAsia="Times New Roman" w:hint="default"/>
        </w:rPr>
        <w:t>33</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91,978.43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36,413.63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3,210,977.16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2,899,791.92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1,376,302.52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1,242,875.89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917,626.77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828,583.99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5,596,884.88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5,007,665.43</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4、销售费用" w:id="275"/>
      <w:bookmarkEnd w:id="275"/>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18,367,528.23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17,039,516.84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3,485,722.04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4,022,106.66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10,391,745.74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11,984,960.69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50,083,063.80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66,125,749.01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12,926,749.97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14,941,590.38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2,817,801.26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3,523,394.54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5,126,478.94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3,030,500.58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103,199,089.98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120,667,818.70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5、管理费用" w:id="276"/>
      <w:bookmarkEnd w:id="276"/>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34,771,106.69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34,988,355.86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60,053,293.97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73,914,277.78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6,118,257.40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3,975,349.99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12,764,951.35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11,060,189.46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13,466,213.48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7,927,136.25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10,300,891.42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-392,404.19</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10,161,538.66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8,486,725.87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147,636,252.97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139,959,631.02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6、财务费用" w:id="277"/>
      <w:bookmarkEnd w:id="277"/>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40,893,993.61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27,122,687.14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7,415,254.97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7,185,937.09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-1,339.77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1,963,302.45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6,747,900.06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35,440,701.32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26,696,095.08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7、资产减值损失" w:id="278"/>
      <w:bookmarkEnd w:id="278"/>
      <w:r>
        <w:rPr>
          <w:b w:val="0"/>
          <w:bCs w:val="0"/>
        </w:rPr>
      </w:r>
      <w:r>
        <w:rPr>
          <w:rFonts w:ascii="Times New Roman" w:hAnsi="Times New Roman" w:cs="Times New Roman" w:eastAsia="Times New Roman" w:hint="default"/>
        </w:rPr>
        <w:t>37</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11,790,030.19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18,431,446.72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11,790,030.19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18,431,446.72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8、公允价值变动收益" w:id="279"/>
      <w:bookmarkEnd w:id="279"/>
      <w:r>
        <w:rPr>
          <w:b w:val="0"/>
          <w:bCs w:val="0"/>
        </w:rPr>
      </w:r>
      <w:r>
        <w:rPr>
          <w:rFonts w:ascii="Times New Roman" w:hAnsi="Times New Roman" w:cs="Times New Roman" w:eastAsia="Times New Roman" w:hint="default"/>
        </w:rPr>
        <w:t>38</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30,780.00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9、投资收益" w:id="280"/>
      <w:bookmarkEnd w:id="280"/>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-6,886,055.22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-7,106,502.01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-11,513.93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-24,717.75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146,000.00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-6,776,286.90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-6,960,502.01</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0、营业外收入" w:id="281"/>
      <w:bookmarkEnd w:id="281"/>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14,308.43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7,652.20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14,308.43</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14,308.43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7,652.20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14,308.43</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11,199,340.42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46,409,942.78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11,199,340.42</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106,818.81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36,308.90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106,818.81</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11,320,467.66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46,453,903.88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11,320,467.66</w:t>
            </w:r>
          </w:p>
        </w:tc>
      </w:tr>
    </w:tbl>
    <w:p>
      <w:pPr>
        <w:pStyle w:val="BodyText"/>
        <w:spacing w:line="240" w:lineRule="auto" w:before="51"/>
        <w:ind w:left="15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技术标准战略奖励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技术改造奖励资金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单位创新奖励和产业技术升 级补助款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39,147,077.00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上市及债务融资奖补资金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2,575,521.00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1,333,044.00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非公党组织建设奖励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科技计划补助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综合效益十强奖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税收贡献奖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4,578,300.00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企业财政奖励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年省级专利发展补助及 专利奖励款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科学技术奖励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重点实验室建设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15,789.48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多层厂房建设奖励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370,836.24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30,903.02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科技计划项目设备资助款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16,633.68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创新服务体系专项资金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7,176.00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年重点新产品补助资金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10,084.02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商标品牌奖励和补贴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11,199,340.42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46,409,942.78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1、营业外支出" w:id="282"/>
      <w:bookmarkEnd w:id="282"/>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119,756.99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16,530.68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119,756.99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119,756.99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16,530.68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119,756.99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23,782.49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23,782.49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6,547.11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6,547.11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150,086.59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30,132.16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150,086.59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2、所得税费用" w:id="283"/>
      <w:bookmarkEnd w:id="283"/>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所得税费用表" w:id="284"/>
      <w:bookmarkEnd w:id="28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8,862,258.23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18,257,532.25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-5,165,693.35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-6,081,848.92</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3,696,564.88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12,175,683.33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会计利润与所得税费用调整过程" w:id="285"/>
      <w:bookmarkEnd w:id="28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20,351,056.73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3,052,658.51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183,573.72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629,114.48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1,691,557.60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1,453,355.17</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23,103.64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-3,337,094.73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3,696,564.88</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3、现金流量表项目" w:id="286"/>
      <w:bookmarkEnd w:id="286"/>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收到的其他与经营活动有关的现金" w:id="287"/>
      <w:bookmarkEnd w:id="28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8,969,051.07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594,840.37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政府补助及收益递延</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14,903,821.00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67,297,656.00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7,415,254.97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2,522,159.12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106,818.81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36,308.90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22,513,742.16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53,908,688.01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70,450,964.39</w:t>
            </w:r>
          </w:p>
        </w:tc>
      </w:tr>
    </w:tbl>
    <w:p>
      <w:pPr>
        <w:pStyle w:val="BodyText"/>
        <w:spacing w:line="240" w:lineRule="auto" w:before="51"/>
        <w:ind w:left="15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2）支付的其他与经营活动有关的现金" w:id="288"/>
      <w:bookmarkEnd w:id="28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32,616,396.68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31,184,704.30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84,059,094.99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103,591,894.40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14,032,257.84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2,549,239.20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119,224,730.87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148,808,856.54</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3）收到的其他与投资活动有关的现金" w:id="289"/>
      <w:bookmarkEnd w:id="28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4）支付的其他与投资活动有关的现金" w:id="290"/>
      <w:bookmarkEnd w:id="29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5）收到的其他与筹资活动有关的现金" w:id="291"/>
      <w:bookmarkEnd w:id="29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4,663,777.97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收回借款保证金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5,613,777.97</w:t>
            </w:r>
          </w:p>
        </w:tc>
      </w:tr>
    </w:tbl>
    <w:p>
      <w:pPr>
        <w:pStyle w:val="BodyText"/>
        <w:spacing w:line="240" w:lineRule="auto" w:before="51"/>
        <w:ind w:left="15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6）支付的其他与筹资活动有关的现金" w:id="292"/>
      <w:bookmarkEnd w:id="29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收购子公司少数股权款项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4,920,000.00</w:t>
            </w:r>
          </w:p>
        </w:tc>
      </w:tr>
    </w:tbl>
    <w:p>
      <w:pPr>
        <w:pStyle w:val="BodyText"/>
        <w:spacing w:line="240" w:lineRule="auto" w:before="51"/>
        <w:ind w:left="15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44、现金流量表补充资料" w:id="293"/>
      <w:bookmarkEnd w:id="293"/>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现金流量表补充资料" w:id="294"/>
      <w:bookmarkEnd w:id="29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324.22998pt;width:151.25pt;height:40.9pt;mso-position-horizontal-relative:page;mso-position-vertical-relative:page;z-index:-852136" coordorigin="4467,6485" coordsize="3025,818">
            <v:group style="position:absolute;left:4478;top:6496;width:2;height:393" coordorigin="4478,6496" coordsize="2,393">
              <v:shape style="position:absolute;left:4478;top:6496;width:2;height:393" coordorigin="4478,6496" coordsize="0,393" path="m4478,6496l4478,6888e" filled="false" stroked="true" strokeweight="1.140pt" strokecolor="#ffffff">
                <v:path arrowok="t"/>
              </v:shape>
            </v:group>
            <v:group style="position:absolute;left:4490;top:6496;width:3002;height:393" coordorigin="4490,6496" coordsize="3002,393">
              <v:shape style="position:absolute;left:4490;top:6496;width:3002;height:393" coordorigin="4490,6496" coordsize="3002,393" path="m4490,6888l7491,6888,7491,6496,4490,6496,4490,6888xe" filled="true" fillcolor="#ffffff" stroked="false">
                <v:path arrowok="t"/>
                <v:fill type="solid"/>
              </v:shape>
            </v:group>
            <v:group style="position:absolute;left:4478;top:6898;width:2;height:393" coordorigin="4478,6898" coordsize="2,393">
              <v:shape style="position:absolute;left:4478;top:6898;width:2;height:393" coordorigin="4478,6898" coordsize="0,393" path="m4478,6898l4478,7290e" filled="false" stroked="true" strokeweight="1.140pt" strokecolor="#ffffff">
                <v:path arrowok="t"/>
              </v:shape>
            </v:group>
            <v:group style="position:absolute;left:4490;top:6898;width:3002;height:393" coordorigin="4490,6898" coordsize="3002,393">
              <v:shape style="position:absolute;left:4490;top:6898;width:3002;height:393" coordorigin="4490,6898" coordsize="3002,393" path="m4490,7290l7491,7290,7491,6898,4490,6898,4490,729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16,654,491.85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87,559,506.52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11,790,030.19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18,431,446.72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27,015,182.46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21,594,080.70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3,288,719.24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3,016,941.04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362,470.80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105,488.23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8,878.48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-30,780.00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40,892,653.84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27,122,687.14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6,776,286.90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6,960,502.01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-4,946,984.17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-6,079,574.45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-218,709.18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-55,725,036.69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-98,101,146.83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56,076,802.03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-91,192,930.06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-79,918,546.02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-53,168,580.50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22,122,069.48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-83,848,189.23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264,930,396.53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408,670,145.41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408,670,145.41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474,399,966.73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-143,739,748.88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-65,729,821.32</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现金和现金等价物的构成" w:id="295"/>
      <w:bookmarkEnd w:id="295"/>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264,930,396.53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408,670,145.41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182,045.87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241,848.12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264,748,350.66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408,428,297.29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264,930,396.53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408,670,145.41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5、所有权或使用权受到限制的资产" w:id="296"/>
      <w:bookmarkEnd w:id="296"/>
      <w:r>
        <w:rPr>
          <w:b w:val="0"/>
          <w:bCs w:val="0"/>
        </w:rPr>
      </w:r>
      <w:r>
        <w:rPr>
          <w:rFonts w:ascii="Times New Roman" w:hAnsi="Times New Roman" w:cs="Times New Roman" w:eastAsia="Times New Roman" w:hint="default"/>
        </w:rPr>
        <w:t>45</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21,087,216.80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票据保证金、保函保证金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21,087,216.80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6、外币货币性项目" w:id="297"/>
      <w:bookmarkEnd w:id="297"/>
      <w:r>
        <w:rPr>
          <w:b w:val="0"/>
          <w:bCs w:val="0"/>
        </w:rPr>
      </w:r>
      <w:r>
        <w:rPr>
          <w:rFonts w:ascii="Times New Roman" w:hAnsi="Times New Roman" w:cs="Times New Roman" w:eastAsia="Times New Roman" w:hint="default"/>
        </w:rPr>
        <w:t>46</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外币货币性项目" w:id="298"/>
      <w:bookmarkEnd w:id="29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371,661.39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60,738.91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371,661.39</w:t>
            </w:r>
          </w:p>
        </w:tc>
      </w:tr>
    </w:tbl>
    <w:p>
      <w:pPr>
        <w:pStyle w:val="BodyText"/>
        <w:spacing w:line="240" w:lineRule="auto" w:before="51"/>
        <w:ind w:left="154" w:right="0"/>
        <w:jc w:val="left"/>
      </w:pPr>
      <w:r>
        <w:rPr/>
        <w:t>其他说明：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八、合并范围的变更" w:id="299"/>
      <w:bookmarkEnd w:id="299"/>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非同一控制下企业合并" w:id="300"/>
      <w:bookmarkEnd w:id="30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本期发生的非同一控制下企业合并" w:id="301"/>
      <w:bookmarkEnd w:id="30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32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天津市泰达 工程设计有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112,860,000.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65.74%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公司已于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63"/>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份支付了股 权收购款并 办理了工商 变更登记等 </w:t>
            </w:r>
            <w:r>
              <w:rPr>
                <w:rFonts w:ascii="宋体" w:hAnsi="宋体" w:cs="宋体" w:eastAsia="宋体" w:hint="default"/>
                <w:spacing w:val="-13"/>
                <w:sz w:val="18"/>
                <w:szCs w:val="18"/>
              </w:rPr>
              <w:t>相关手续，故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02" w:lineRule="auto"/>
              <w:ind w:left="22" w:right="12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日作为 购并日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40,187,265.6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6,552,882.23</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合并成本及商誉" w:id="302"/>
      <w:bookmarkEnd w:id="30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5070"/>
        <w:gridCol w:w="2976"/>
      </w:tblGrid>
      <w:tr>
        <w:trPr>
          <w:trHeight w:val="355" w:hRule="exact"/>
        </w:trPr>
        <w:tc>
          <w:tcPr>
            <w:tcW w:w="5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9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天津市泰达工程设计有限公司</w:t>
            </w:r>
          </w:p>
        </w:tc>
      </w:tr>
      <w:tr>
        <w:trPr>
          <w:trHeight w:val="353" w:hRule="exact"/>
        </w:trPr>
        <w:tc>
          <w:tcPr>
            <w:tcW w:w="5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9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112,860,000.00</w:t>
            </w:r>
          </w:p>
        </w:tc>
      </w:tr>
      <w:tr>
        <w:trPr>
          <w:trHeight w:val="352" w:hRule="exact"/>
        </w:trPr>
        <w:tc>
          <w:tcPr>
            <w:tcW w:w="5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非现金资产的公允价值</w:t>
            </w:r>
          </w:p>
        </w:tc>
        <w:tc>
          <w:tcPr>
            <w:tcW w:w="297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发行或承担的债务的公允价值</w:t>
            </w:r>
          </w:p>
        </w:tc>
        <w:tc>
          <w:tcPr>
            <w:tcW w:w="297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297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297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购买日之前持有的股权于购买日的公允价值</w:t>
            </w:r>
          </w:p>
        </w:tc>
        <w:tc>
          <w:tcPr>
            <w:tcW w:w="297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合并成本合计</w:t>
            </w:r>
          </w:p>
        </w:tc>
        <w:tc>
          <w:tcPr>
            <w:tcW w:w="29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112,860,000.00</w:t>
            </w:r>
          </w:p>
        </w:tc>
      </w:tr>
      <w:tr>
        <w:trPr>
          <w:trHeight w:val="352" w:hRule="exact"/>
        </w:trPr>
        <w:tc>
          <w:tcPr>
            <w:tcW w:w="5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9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33,975,690.18</w:t>
            </w:r>
          </w:p>
        </w:tc>
      </w:tr>
      <w:tr>
        <w:trPr>
          <w:trHeight w:val="353" w:hRule="exact"/>
        </w:trPr>
        <w:tc>
          <w:tcPr>
            <w:tcW w:w="5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78,884,309.82</w:t>
            </w:r>
          </w:p>
        </w:tc>
      </w:tr>
    </w:tbl>
    <w:p>
      <w:pPr>
        <w:spacing w:line="240" w:lineRule="auto" w:before="5"/>
        <w:rPr>
          <w:rFonts w:ascii="宋体" w:hAnsi="宋体" w:cs="宋体" w:eastAsia="宋体" w:hint="default"/>
          <w:b/>
          <w:bCs/>
          <w:sz w:val="24"/>
          <w:szCs w:val="24"/>
        </w:rPr>
      </w:pPr>
    </w:p>
    <w:p>
      <w:pPr>
        <w:pStyle w:val="BodyText"/>
        <w:spacing w:line="357" w:lineRule="auto" w:before="44"/>
        <w:ind w:left="154" w:right="6072"/>
        <w:jc w:val="left"/>
      </w:pPr>
      <w:r>
        <w:rPr/>
        <w:t>合并成本公允价值的确定方法、或有对价及其变动的说明： 大额商誉形成的主要原因：</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3）被购买方于购买日可辨认资产、负债" w:id="303"/>
      <w:bookmarkEnd w:id="30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44"/>
        <w:gridCol w:w="2550"/>
        <w:gridCol w:w="2412"/>
      </w:tblGrid>
      <w:tr>
        <w:trPr>
          <w:trHeight w:val="355" w:hRule="exact"/>
        </w:trPr>
        <w:tc>
          <w:tcPr>
            <w:tcW w:w="294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63"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1213" w:right="0"/>
              <w:jc w:val="left"/>
              <w:rPr>
                <w:rFonts w:ascii="宋体" w:hAnsi="宋体" w:cs="宋体" w:eastAsia="宋体" w:hint="default"/>
                <w:sz w:val="18"/>
                <w:szCs w:val="18"/>
              </w:rPr>
            </w:pPr>
            <w:r>
              <w:rPr>
                <w:rFonts w:ascii="宋体" w:hAnsi="宋体" w:cs="宋体" w:eastAsia="宋体" w:hint="default"/>
                <w:sz w:val="18"/>
                <w:szCs w:val="18"/>
              </w:rPr>
              <w:t>天津市泰达工程设计有限公司</w:t>
            </w:r>
          </w:p>
        </w:tc>
      </w:tr>
      <w:tr>
        <w:trPr>
          <w:trHeight w:val="352" w:hRule="exact"/>
        </w:trPr>
        <w:tc>
          <w:tcPr>
            <w:tcW w:w="2944" w:type="dxa"/>
            <w:vMerge/>
            <w:tcBorders>
              <w:left w:val="single" w:sz="6" w:space="0" w:color="000000"/>
              <w:bottom w:val="single" w:sz="12" w:space="0" w:color="000000"/>
              <w:right w:val="single" w:sz="6" w:space="0" w:color="000000"/>
            </w:tcBorders>
          </w:tcPr>
          <w:p>
            <w:pP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3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6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17,095,269.86</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17,095,269.86</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53,370.00</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53,370.00</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23,106.00</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23,106.00</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8,021,637.42</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8,021,637.42</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500,700.00</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500,700.00</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1,527,340.97</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1,527,340.97</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406.87</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406.87</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27,221,831.12</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27,221,831.12</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30,096,977.86</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17,171,097.49</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1,416,403.46</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1,006,936.68</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1,618,232.92</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1,618,232.92</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231,310.57</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231,310.57</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33,362,924.81</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20,027,577.66</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减：借款</w:t>
            </w:r>
          </w:p>
        </w:tc>
        <w:tc>
          <w:tcPr>
            <w:tcW w:w="2550" w:type="dxa"/>
            <w:tcBorders>
              <w:top w:val="single" w:sz="12" w:space="0" w:color="000000"/>
              <w:left w:val="single" w:sz="6" w:space="0" w:color="000000"/>
              <w:bottom w:val="single" w:sz="12" w:space="0" w:color="000000"/>
              <w:right w:val="single" w:sz="6" w:space="0" w:color="000000"/>
            </w:tcBorders>
          </w:tcPr>
          <w:p>
            <w:pPr/>
          </w:p>
        </w:tc>
        <w:tc>
          <w:tcPr>
            <w:tcW w:w="241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506,880.18</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506,880.18</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154,016.00</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154,016.00</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625,650.03</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625,650.03</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3,675,589.69</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2,516,671.18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944"/>
        <w:gridCol w:w="2550"/>
        <w:gridCol w:w="2412"/>
      </w:tblGrid>
      <w:tr>
        <w:trPr>
          <w:trHeight w:val="355"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605,297.00</w:t>
            </w:r>
          </w:p>
        </w:tc>
        <w:tc>
          <w:tcPr>
            <w:tcW w:w="24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605,297.00</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5,567,432.90</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4,408,514.39</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3,333,836.79</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3,333,836.79</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51,683,486.24</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42,840,894.39</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17,707,796.06</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14,678,147.24</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33,975,690.18</w:t>
            </w:r>
          </w:p>
        </w:tc>
        <w:tc>
          <w:tcPr>
            <w:tcW w:w="24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28,162,747.15</w:t>
            </w:r>
          </w:p>
        </w:tc>
      </w:tr>
    </w:tbl>
    <w:p>
      <w:pPr>
        <w:spacing w:line="240" w:lineRule="auto" w:before="5"/>
        <w:rPr>
          <w:rFonts w:ascii="宋体" w:hAnsi="宋体" w:cs="宋体" w:eastAsia="宋体" w:hint="default"/>
          <w:b/>
          <w:bCs/>
          <w:sz w:val="24"/>
          <w:szCs w:val="24"/>
        </w:rPr>
      </w:pPr>
    </w:p>
    <w:p>
      <w:pPr>
        <w:pStyle w:val="BodyText"/>
        <w:spacing w:line="360" w:lineRule="auto" w:before="44"/>
        <w:ind w:right="7530"/>
        <w:jc w:val="both"/>
      </w:pPr>
      <w:r>
        <w:rPr/>
        <w:t>可辨认资产、负债公允价值的确定方法： 企业合并中承担的被购买方的或有负债： 其他说明：</w:t>
      </w:r>
    </w:p>
    <w:p>
      <w:pPr>
        <w:spacing w:line="240" w:lineRule="auto" w:before="2"/>
        <w:rPr>
          <w:rFonts w:ascii="宋体" w:hAnsi="宋体" w:cs="宋体" w:eastAsia="宋体" w:hint="default"/>
          <w:sz w:val="18"/>
          <w:szCs w:val="18"/>
        </w:rPr>
      </w:pPr>
    </w:p>
    <w:p>
      <w:pPr>
        <w:pStyle w:val="Heading3"/>
        <w:spacing w:line="240" w:lineRule="auto"/>
        <w:ind w:right="0"/>
        <w:jc w:val="both"/>
        <w:rPr>
          <w:b w:val="0"/>
          <w:bCs w:val="0"/>
        </w:rPr>
      </w:pPr>
      <w:bookmarkStart w:name="九、在其他主体中的权益" w:id="304"/>
      <w:bookmarkEnd w:id="30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在子公司中的权益" w:id="305"/>
      <w:bookmarkEnd w:id="30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企业集团的构成" w:id="306"/>
      <w:bookmarkEnd w:id="30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安徽森源电器有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安徽鑫龙电器元 件销售有限公司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安徽鑫龙自动化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安徽鑫龙低压电 器有限公司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安徽鑫龙变压器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安徽鑫龙电力工 程安装有限公司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安装劳务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斯高思（安徽） 电器有限公司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安徽鑫东投资管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安徽佑赛科技有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亳州鑫龙电气有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374"/>
        <w:gridCol w:w="1367"/>
        <w:gridCol w:w="1367"/>
        <w:gridCol w:w="1367"/>
        <w:gridCol w:w="1367"/>
        <w:gridCol w:w="1367"/>
        <w:gridCol w:w="1366"/>
      </w:tblGrid>
      <w:tr>
        <w:trPr>
          <w:trHeight w:val="714"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54"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5"/>
        <w:spacing w:line="240" w:lineRule="auto"/>
        <w:ind w:left="154" w:right="0"/>
        <w:jc w:val="left"/>
        <w:rPr>
          <w:b w:val="0"/>
          <w:bCs w:val="0"/>
        </w:rPr>
      </w:pPr>
      <w:bookmarkStart w:name="（2）重要的非全资子公司" w:id="307"/>
      <w:bookmarkEnd w:id="30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安徽佑赛科技有限公司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69,391.93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10,287,812.54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天津市泰达工程设计有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2,245,148.51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23,482,235.99</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5"/>
        <w:spacing w:line="240" w:lineRule="auto"/>
        <w:ind w:left="154" w:right="0"/>
        <w:jc w:val="left"/>
        <w:rPr>
          <w:b w:val="0"/>
          <w:bCs w:val="0"/>
        </w:rPr>
      </w:pPr>
      <w:bookmarkStart w:name="（3）重要非全资子公司的主要财务信息" w:id="308"/>
      <w:bookmarkEnd w:id="30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安徽佑 赛科技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33,466,9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23.79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8,374,59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41,841,5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9,692,10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6.40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9,692,10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35,128,5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9,617,71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8.26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44,746,2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12,813,7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14.49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12,813,7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14.49</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天津市 泰达工 程设计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49,017,7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61.66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34,294,5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83,312,2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71.82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11,659,8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84.32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3,115,12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14,775,0</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11.93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安徽佑赛科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36,500,317.5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216,849.78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216,849.78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-3,572,485.94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30,550,841.4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1,725,849.11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1,725,849.11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7,528,745.83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4"/>
        <w:gridCol w:w="1061"/>
        <w:gridCol w:w="1062"/>
        <w:gridCol w:w="1066"/>
        <w:gridCol w:w="1064"/>
        <w:gridCol w:w="1063"/>
        <w:gridCol w:w="1064"/>
        <w:gridCol w:w="1063"/>
        <w:gridCol w:w="1066"/>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天津市泰达 工程设计有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40,187,265.6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6,552,882.23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6,552,882.23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34,055,885.3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在合营安排或联营企业中的权益" w:id="309"/>
      <w:bookmarkEnd w:id="309"/>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310"/>
      <w:bookmarkEnd w:id="31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安徽美能储能系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湖北祥华鑫龙电 力发展股份有限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0"/>
        <w:jc w:val="left"/>
      </w:pPr>
      <w:r>
        <w:rPr/>
        <w:t>在合营企业或联营企业的持股比例不同于表决权比例的说明：</w:t>
      </w:r>
    </w:p>
    <w:p>
      <w:pPr>
        <w:pStyle w:val="BodyText"/>
        <w:spacing w:line="240" w:lineRule="auto" w:before="117"/>
        <w:ind w:left="15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5"/>
        <w:spacing w:line="240" w:lineRule="auto"/>
        <w:ind w:left="154" w:right="0"/>
        <w:jc w:val="left"/>
        <w:rPr>
          <w:b w:val="0"/>
          <w:bCs w:val="0"/>
        </w:rPr>
      </w:pPr>
      <w:bookmarkStart w:name="（2）重要联营企业的主要财务信息" w:id="311"/>
      <w:bookmarkEnd w:id="311"/>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126"/>
        <w:gridCol w:w="4251"/>
      </w:tblGrid>
      <w:tr>
        <w:trPr>
          <w:trHeight w:val="355" w:hRule="exact"/>
        </w:trPr>
        <w:tc>
          <w:tcPr>
            <w:tcW w:w="4126" w:type="dxa"/>
            <w:vMerge w:val="restart"/>
            <w:tcBorders>
              <w:top w:val="single" w:sz="6" w:space="0" w:color="000000"/>
              <w:left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42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left="1376" w:right="0"/>
              <w:jc w:val="left"/>
              <w:rPr>
                <w:rFonts w:ascii="宋体" w:hAnsi="宋体" w:cs="宋体" w:eastAsia="宋体" w:hint="default"/>
                <w:sz w:val="16"/>
                <w:szCs w:val="16"/>
              </w:rPr>
            </w:pPr>
            <w:r>
              <w:rPr>
                <w:rFonts w:ascii="宋体" w:hAnsi="宋体" w:cs="宋体" w:eastAsia="宋体" w:hint="default"/>
                <w:sz w:val="16"/>
                <w:szCs w:val="16"/>
              </w:rPr>
              <w:t>期末余额</w:t>
            </w:r>
            <w:r>
              <w:rPr>
                <w:rFonts w:ascii="Times New Roman" w:hAnsi="Times New Roman" w:cs="Times New Roman" w:eastAsia="Times New Roman" w:hint="default"/>
                <w:sz w:val="16"/>
                <w:szCs w:val="16"/>
              </w:rPr>
              <w:t>/</w:t>
            </w:r>
            <w:r>
              <w:rPr>
                <w:rFonts w:ascii="宋体" w:hAnsi="宋体" w:cs="宋体" w:eastAsia="宋体" w:hint="default"/>
                <w:sz w:val="16"/>
                <w:szCs w:val="16"/>
              </w:rPr>
              <w:t>本期发生额</w:t>
            </w:r>
          </w:p>
        </w:tc>
      </w:tr>
      <w:tr>
        <w:trPr>
          <w:trHeight w:val="352" w:hRule="exact"/>
        </w:trPr>
        <w:tc>
          <w:tcPr>
            <w:tcW w:w="4126" w:type="dxa"/>
            <w:vMerge/>
            <w:tcBorders>
              <w:left w:val="single" w:sz="6" w:space="0" w:color="000000"/>
              <w:bottom w:val="single" w:sz="12" w:space="0" w:color="000000"/>
              <w:right w:val="single" w:sz="6" w:space="0" w:color="000000"/>
            </w:tcBorders>
          </w:tcPr>
          <w:p>
            <w:pP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1157" w:right="0"/>
              <w:jc w:val="left"/>
              <w:rPr>
                <w:rFonts w:ascii="宋体" w:hAnsi="宋体" w:cs="宋体" w:eastAsia="宋体" w:hint="default"/>
                <w:sz w:val="16"/>
                <w:szCs w:val="16"/>
              </w:rPr>
            </w:pPr>
            <w:r>
              <w:rPr>
                <w:rFonts w:ascii="宋体" w:hAnsi="宋体" w:cs="宋体" w:eastAsia="宋体" w:hint="default"/>
                <w:sz w:val="16"/>
                <w:szCs w:val="16"/>
              </w:rPr>
              <w:t>安徽美能储能系统有限公司</w:t>
            </w: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42,561,656.01</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21,993,145.07</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资产合计</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64,554,801.08</w:t>
            </w: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w w:val="95"/>
                <w:sz w:val="16"/>
              </w:rPr>
              <w:t>1,661,044.09</w:t>
            </w:r>
            <w:r>
              <w:rPr>
                <w:rFonts w:ascii="Times New Roman"/>
                <w:sz w:val="16"/>
              </w:rPr>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w w:val="95"/>
                <w:sz w:val="16"/>
              </w:rPr>
              <w:t>858,551.53</w:t>
            </w:r>
            <w:r>
              <w:rPr>
                <w:rFonts w:ascii="Times New Roman"/>
                <w:sz w:val="16"/>
              </w:rPr>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负债合计</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w w:val="95"/>
                <w:sz w:val="16"/>
              </w:rPr>
              <w:t>2,519,595.62</w:t>
            </w:r>
            <w:r>
              <w:rPr>
                <w:rFonts w:ascii="Times New Roman"/>
                <w:sz w:val="16"/>
              </w:rPr>
            </w: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42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归属于母公司股东权益</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62,035,205.46</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按持股比例计算的净资产份额</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26,178,856.70</w:t>
            </w: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调整事项</w:t>
            </w:r>
          </w:p>
        </w:tc>
        <w:tc>
          <w:tcPr>
            <w:tcW w:w="42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商誉</w:t>
            </w:r>
          </w:p>
        </w:tc>
        <w:tc>
          <w:tcPr>
            <w:tcW w:w="42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内部交易未实现利润</w:t>
            </w:r>
          </w:p>
        </w:tc>
        <w:tc>
          <w:tcPr>
            <w:tcW w:w="42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-109,257.93</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对联营企业权益投资的账面价值</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26,069,598.77</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存在公开报价的权益投资的公允价值</w:t>
            </w:r>
          </w:p>
        </w:tc>
        <w:tc>
          <w:tcPr>
            <w:tcW w:w="42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w w:val="95"/>
                <w:sz w:val="16"/>
              </w:rPr>
              <w:t>3,304,825.72</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4126"/>
        <w:gridCol w:w="4251"/>
      </w:tblGrid>
      <w:tr>
        <w:trPr>
          <w:trHeight w:val="355" w:hRule="exact"/>
        </w:trPr>
        <w:tc>
          <w:tcPr>
            <w:tcW w:w="4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42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2"/>
              <w:ind w:right="7"/>
              <w:jc w:val="right"/>
              <w:rPr>
                <w:rFonts w:ascii="Times New Roman" w:hAnsi="Times New Roman" w:cs="Times New Roman" w:eastAsia="Times New Roman" w:hint="default"/>
                <w:sz w:val="16"/>
                <w:szCs w:val="16"/>
              </w:rPr>
            </w:pPr>
            <w:r>
              <w:rPr>
                <w:rFonts w:ascii="Times New Roman"/>
                <w:spacing w:val="-1"/>
                <w:sz w:val="16"/>
              </w:rPr>
              <w:t>-15,789,458.68</w:t>
            </w: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终止经营的净利润</w:t>
            </w:r>
          </w:p>
        </w:tc>
        <w:tc>
          <w:tcPr>
            <w:tcW w:w="42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42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综合收益总额</w:t>
            </w:r>
          </w:p>
        </w:tc>
        <w:tc>
          <w:tcPr>
            <w:tcW w:w="42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-15,789,458.68</w:t>
            </w: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企业本期收到的来自联营企业的股利</w:t>
            </w:r>
          </w:p>
        </w:tc>
        <w:tc>
          <w:tcPr>
            <w:tcW w:w="4251"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5"/>
          <w:szCs w:val="5"/>
        </w:rPr>
      </w:pPr>
    </w:p>
    <w:p>
      <w:pPr>
        <w:pStyle w:val="Heading6"/>
        <w:spacing w:line="240" w:lineRule="auto" w:before="35"/>
        <w:ind w:left="574" w:right="0"/>
        <w:jc w:val="left"/>
      </w:pPr>
      <w:r>
        <w:rPr/>
        <w:t>续：</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126"/>
        <w:gridCol w:w="4254"/>
      </w:tblGrid>
      <w:tr>
        <w:trPr>
          <w:trHeight w:val="355" w:hRule="exact"/>
        </w:trPr>
        <w:tc>
          <w:tcPr>
            <w:tcW w:w="4126" w:type="dxa"/>
            <w:vMerge w:val="restart"/>
            <w:tcBorders>
              <w:top w:val="single" w:sz="6" w:space="0" w:color="000000"/>
              <w:left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42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left="1377" w:right="0"/>
              <w:jc w:val="left"/>
              <w:rPr>
                <w:rFonts w:ascii="宋体" w:hAnsi="宋体" w:cs="宋体" w:eastAsia="宋体" w:hint="default"/>
                <w:sz w:val="16"/>
                <w:szCs w:val="16"/>
              </w:rPr>
            </w:pPr>
            <w:r>
              <w:rPr>
                <w:rFonts w:ascii="宋体" w:hAnsi="宋体" w:cs="宋体" w:eastAsia="宋体" w:hint="default"/>
                <w:sz w:val="16"/>
                <w:szCs w:val="16"/>
              </w:rPr>
              <w:t>期初余额</w:t>
            </w:r>
            <w:r>
              <w:rPr>
                <w:rFonts w:ascii="Times New Roman" w:hAnsi="Times New Roman" w:cs="Times New Roman" w:eastAsia="Times New Roman" w:hint="default"/>
                <w:sz w:val="16"/>
                <w:szCs w:val="16"/>
              </w:rPr>
              <w:t>/</w:t>
            </w:r>
            <w:r>
              <w:rPr>
                <w:rFonts w:ascii="宋体" w:hAnsi="宋体" w:cs="宋体" w:eastAsia="宋体" w:hint="default"/>
                <w:sz w:val="16"/>
                <w:szCs w:val="16"/>
              </w:rPr>
              <w:t>上期发生额</w:t>
            </w:r>
          </w:p>
        </w:tc>
      </w:tr>
      <w:tr>
        <w:trPr>
          <w:trHeight w:val="352" w:hRule="exact"/>
        </w:trPr>
        <w:tc>
          <w:tcPr>
            <w:tcW w:w="4126" w:type="dxa"/>
            <w:vMerge/>
            <w:tcBorders>
              <w:left w:val="single" w:sz="6" w:space="0" w:color="000000"/>
              <w:bottom w:val="single" w:sz="12" w:space="0" w:color="000000"/>
              <w:right w:val="single" w:sz="6" w:space="0" w:color="000000"/>
            </w:tcBorders>
          </w:tcPr>
          <w:p>
            <w:pP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1160" w:right="0"/>
              <w:jc w:val="left"/>
              <w:rPr>
                <w:rFonts w:ascii="宋体" w:hAnsi="宋体" w:cs="宋体" w:eastAsia="宋体" w:hint="default"/>
                <w:sz w:val="16"/>
                <w:szCs w:val="16"/>
              </w:rPr>
            </w:pPr>
            <w:r>
              <w:rPr>
                <w:rFonts w:ascii="宋体" w:hAnsi="宋体" w:cs="宋体" w:eastAsia="宋体" w:hint="default"/>
                <w:sz w:val="16"/>
                <w:szCs w:val="16"/>
              </w:rPr>
              <w:t>安徽美能储能系统有限公司</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40,085,484.14</w:t>
            </w: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24,751,468.57</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资产合计</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64,836,952.71</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w w:val="95"/>
                <w:sz w:val="16"/>
              </w:rPr>
              <w:t>5,371,366.76</w:t>
            </w:r>
            <w:r>
              <w:rPr>
                <w:rFonts w:ascii="Times New Roman"/>
                <w:sz w:val="16"/>
              </w:rPr>
            </w: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w w:val="95"/>
                <w:sz w:val="16"/>
              </w:rPr>
              <w:t>1,640,921.81</w:t>
            </w:r>
            <w:r>
              <w:rPr>
                <w:rFonts w:ascii="Times New Roman"/>
                <w:sz w:val="16"/>
              </w:rPr>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负债合计</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w w:val="95"/>
                <w:sz w:val="16"/>
              </w:rPr>
              <w:t>7,012,288.57</w:t>
            </w:r>
            <w:r>
              <w:rPr>
                <w:rFonts w:ascii="Times New Roman"/>
                <w:sz w:val="16"/>
              </w:rPr>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425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归属于母公司股东权益</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57,824,664.14</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按持股比例计算的净资产份额</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26,524,173.44</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调整事项</w:t>
            </w:r>
          </w:p>
        </w:tc>
        <w:tc>
          <w:tcPr>
            <w:tcW w:w="425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商誉</w:t>
            </w:r>
          </w:p>
        </w:tc>
        <w:tc>
          <w:tcPr>
            <w:tcW w:w="425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内部交易未实现利润</w:t>
            </w:r>
          </w:p>
        </w:tc>
        <w:tc>
          <w:tcPr>
            <w:tcW w:w="425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-109,257.93</w:t>
            </w: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对联营企业权益投资的账面价值</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26,414,915.51</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存在公开报价的权益投资的公允价值</w:t>
            </w:r>
          </w:p>
        </w:tc>
        <w:tc>
          <w:tcPr>
            <w:tcW w:w="425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w w:val="95"/>
                <w:sz w:val="16"/>
              </w:rPr>
              <w:t>602,918.56</w:t>
            </w:r>
            <w:r>
              <w:rPr>
                <w:rFonts w:ascii="Times New Roman"/>
                <w:sz w:val="16"/>
              </w:rPr>
            </w: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-15,375,613.57</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终止经营的净利润</w:t>
            </w:r>
          </w:p>
        </w:tc>
        <w:tc>
          <w:tcPr>
            <w:tcW w:w="425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425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综合收益总额</w:t>
            </w:r>
          </w:p>
        </w:tc>
        <w:tc>
          <w:tcPr>
            <w:tcW w:w="42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-15,375,613.57</w:t>
            </w:r>
          </w:p>
        </w:tc>
      </w:tr>
      <w:tr>
        <w:trPr>
          <w:trHeight w:val="352" w:hRule="exact"/>
        </w:trPr>
        <w:tc>
          <w:tcPr>
            <w:tcW w:w="4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企业本期收到的来自联营企业的股利</w:t>
            </w:r>
          </w:p>
        </w:tc>
        <w:tc>
          <w:tcPr>
            <w:tcW w:w="4254"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51"/>
        <w:ind w:left="154" w:right="0"/>
        <w:jc w:val="left"/>
      </w:pPr>
      <w:r>
        <w:rPr/>
        <w:t>其他说明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十、关联方及关联交易" w:id="312"/>
      <w:bookmarkEnd w:id="312"/>
      <w:r>
        <w:rPr>
          <w:b w:val="0"/>
          <w:bCs w:val="0"/>
        </w:rPr>
      </w:r>
      <w:r>
        <w:rPr/>
        <w:t>十、关联方及关联交易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本企业的母公司情况" w:id="313"/>
      <w:bookmarkEnd w:id="31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束龙胜（注）</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20.65%</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芜湖市鑫诚科技投</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本企业的母公司情况的说明</w:t>
      </w:r>
    </w:p>
    <w:p>
      <w:pPr>
        <w:pStyle w:val="Heading6"/>
        <w:spacing w:line="240" w:lineRule="auto" w:before="90"/>
        <w:ind w:left="154" w:right="0"/>
        <w:jc w:val="left"/>
      </w:pPr>
      <w:r>
        <w:rPr/>
        <w:t>束龙胜持有本公司</w:t>
      </w:r>
      <w:r>
        <w:rPr>
          <w:rFonts w:ascii="Times New Roman" w:hAnsi="Times New Roman" w:cs="Times New Roman" w:eastAsia="Times New Roman" w:hint="default"/>
        </w:rPr>
        <w:t>20.65%</w:t>
      </w:r>
      <w:r>
        <w:rPr/>
        <w:t>的股份，通过持有芜湖市鑫诚科技投资有限公司</w:t>
      </w:r>
      <w:r>
        <w:rPr>
          <w:rFonts w:ascii="Times New Roman" w:hAnsi="Times New Roman" w:cs="Times New Roman" w:eastAsia="Times New Roman" w:hint="default"/>
        </w:rPr>
        <w:t>99.88%</w:t>
      </w:r>
      <w:r>
        <w:rPr/>
        <w:t>的股份间接持有本公司</w:t>
      </w:r>
    </w:p>
    <w:p>
      <w:pPr>
        <w:pStyle w:val="Heading6"/>
        <w:spacing w:line="240" w:lineRule="auto" w:before="21"/>
        <w:ind w:right="0"/>
        <w:jc w:val="left"/>
      </w:pPr>
      <w:r>
        <w:rPr>
          <w:rFonts w:ascii="Times New Roman" w:hAnsi="Times New Roman" w:cs="Times New Roman" w:eastAsia="Times New Roman" w:hint="default"/>
        </w:rPr>
        <w:t>6.55%</w:t>
      </w:r>
      <w:r>
        <w:rPr/>
        <w:t>的股份，合并持有本公司</w:t>
      </w:r>
      <w:r>
        <w:rPr>
          <w:rFonts w:ascii="Times New Roman" w:hAnsi="Times New Roman" w:cs="Times New Roman" w:eastAsia="Times New Roman" w:hint="default"/>
        </w:rPr>
        <w:t>27.20%</w:t>
      </w:r>
      <w:r>
        <w:rPr/>
        <w:t>的股份，为公司第一大股东和实际控制人。</w:t>
      </w:r>
    </w:p>
    <w:p>
      <w:pPr>
        <w:pStyle w:val="BodyText"/>
        <w:spacing w:line="357" w:lineRule="auto" w:before="88"/>
        <w:ind w:right="8413"/>
        <w:jc w:val="left"/>
      </w:pPr>
      <w:r>
        <w:rPr/>
        <w:t>本企业最终控制方是束龙胜。 其他说明：</w:t>
      </w:r>
    </w:p>
    <w:p>
      <w:pPr>
        <w:spacing w:line="240" w:lineRule="auto" w:before="1"/>
        <w:rPr>
          <w:rFonts w:ascii="宋体" w:hAnsi="宋体" w:cs="宋体" w:eastAsia="宋体" w:hint="default"/>
          <w:sz w:val="20"/>
          <w:szCs w:val="20"/>
        </w:rPr>
      </w:pPr>
    </w:p>
    <w:p>
      <w:pPr>
        <w:spacing w:line="547" w:lineRule="auto" w:before="0"/>
        <w:ind w:left="153" w:right="6433" w:firstLine="0"/>
        <w:jc w:val="left"/>
        <w:rPr>
          <w:rFonts w:ascii="宋体" w:hAnsi="宋体" w:cs="宋体" w:eastAsia="宋体" w:hint="default"/>
          <w:sz w:val="21"/>
          <w:szCs w:val="21"/>
        </w:rPr>
      </w:pPr>
      <w:bookmarkStart w:name="2、本企业的子公司情况" w:id="314"/>
      <w:bookmarkEnd w:id="3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15"/>
      <w:bookmarkEnd w:id="31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3"/>
        <w:jc w:val="left"/>
      </w:pPr>
      <w:r>
        <w:rPr/>
        <w:t>本企业重要的合营或联营企业详见附注九、</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关联交易情况" w:id="316"/>
      <w:bookmarkEnd w:id="316"/>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购销商品、提供和接受劳务的关联交易" w:id="317"/>
      <w:bookmarkEnd w:id="31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安徽美能储能系统有限公司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15,405.98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140,555.56</w:t>
            </w:r>
          </w:p>
        </w:tc>
      </w:tr>
    </w:tbl>
    <w:p>
      <w:pPr>
        <w:pStyle w:val="BodyText"/>
        <w:spacing w:line="240" w:lineRule="auto" w:before="51"/>
        <w:ind w:left="15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2）关联担保情况" w:id="318"/>
      <w:bookmarkEnd w:id="318"/>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安徽鑫龙自动化有限公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安徽鑫龙低压电器有限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安徽鑫龙自动化有限公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安徽鑫龙低压电器有限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关联担保情况说明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3）关键管理人员报酬" w:id="319"/>
      <w:bookmarkEnd w:id="319"/>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3,121,000.00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关联方应收应付款项" w:id="320"/>
      <w:bookmarkEnd w:id="320"/>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项目" w:id="321"/>
      <w:bookmarkEnd w:id="32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安徽美能储能系统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406,898.00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40,689.80</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十一、股份支付" w:id="322"/>
      <w:bookmarkEnd w:id="322"/>
      <w:r>
        <w:rPr>
          <w:b w:val="0"/>
          <w:bCs w:val="0"/>
        </w:rPr>
      </w:r>
      <w:r>
        <w:rPr/>
        <w:t>十一、股份支付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股份支付总体情况" w:id="323"/>
      <w:bookmarkEnd w:id="32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8,182,000.00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首次授予股票期权的行权价格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元，预留期权行</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权价格为人民币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9.20 </w:t>
            </w:r>
            <w:r>
              <w:rPr>
                <w:rFonts w:ascii="宋体" w:hAnsi="宋体" w:cs="宋体" w:eastAsia="宋体" w:hint="default"/>
                <w:sz w:val="18"/>
                <w:szCs w:val="18"/>
              </w:rPr>
              <w:t>元，剩余期限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both"/>
      </w:pPr>
      <w:r>
        <w:rPr/>
        <w:t>其他说明</w:t>
      </w:r>
    </w:p>
    <w:p>
      <w:pPr>
        <w:pStyle w:val="BodyText"/>
        <w:spacing w:line="300" w:lineRule="auto" w:before="116"/>
        <w:ind w:right="1131" w:firstLine="360"/>
        <w:jc w:val="both"/>
      </w:pPr>
      <w:r>
        <w:rPr>
          <w:rFonts w:ascii="Times New Roman" w:hAnsi="Times New Roman" w:cs="Times New Roman" w:eastAsia="Times New Roman" w:hint="default"/>
          <w:spacing w:val="-2"/>
        </w:rPr>
        <w:t>1</w:t>
      </w:r>
      <w:r>
        <w:rPr>
          <w:spacing w:val="-2"/>
        </w:rPr>
        <w:t>、首期股票期权激励计划：首次授予的第一期股票期权已行权</w:t>
      </w:r>
      <w:r>
        <w:rPr>
          <w:rFonts w:ascii="Times New Roman" w:hAnsi="Times New Roman" w:cs="Times New Roman" w:eastAsia="Times New Roman" w:hint="default"/>
          <w:spacing w:val="-2"/>
        </w:rPr>
        <w:t>497.93</w:t>
      </w:r>
      <w:r>
        <w:rPr>
          <w:spacing w:val="-2"/>
        </w:rPr>
        <w:t>万份，未行权</w:t>
      </w:r>
      <w:r>
        <w:rPr>
          <w:rFonts w:ascii="Times New Roman" w:hAnsi="Times New Roman" w:cs="Times New Roman" w:eastAsia="Times New Roman" w:hint="default"/>
          <w:spacing w:val="-2"/>
        </w:rPr>
        <w:t>521.27</w:t>
      </w:r>
      <w:r>
        <w:rPr>
          <w:spacing w:val="-2"/>
        </w:rPr>
        <w:t>万份；首次授予的第二期股票</w:t>
      </w:r>
      <w:r>
        <w:rPr/>
        <w:t> </w:t>
      </w:r>
      <w:r>
        <w:rPr>
          <w:spacing w:val="-2"/>
        </w:rPr>
        <w:t>期权为</w:t>
      </w:r>
      <w:r>
        <w:rPr>
          <w:rFonts w:ascii="Times New Roman" w:hAnsi="Times New Roman" w:cs="Times New Roman" w:eastAsia="Times New Roman" w:hint="default"/>
          <w:spacing w:val="-2"/>
        </w:rPr>
        <w:t>751.20</w:t>
      </w:r>
      <w:r>
        <w:rPr>
          <w:spacing w:val="-2"/>
        </w:rPr>
        <w:t>万份，预留的第一期股票期权为</w:t>
      </w:r>
      <w:r>
        <w:rPr>
          <w:rFonts w:ascii="Times New Roman" w:hAnsi="Times New Roman" w:cs="Times New Roman" w:eastAsia="Times New Roman" w:hint="default"/>
          <w:spacing w:val="-2"/>
        </w:rPr>
        <w:t>67.00</w:t>
      </w:r>
      <w:r>
        <w:rPr>
          <w:spacing w:val="-2"/>
        </w:rPr>
        <w:t>万份；首次授予的第三期及预留的第二期股票期权因未能达到行权条件中</w:t>
      </w:r>
      <w:r>
        <w:rPr>
          <w:spacing w:val="-57"/>
        </w:rPr>
        <w:t> </w:t>
      </w:r>
      <w:r>
        <w:rPr>
          <w:spacing w:val="-57"/>
        </w:rPr>
      </w:r>
      <w:r>
        <w:rPr/>
        <w:t>的非市场条件，以及员工离职而失效</w:t>
      </w:r>
      <w:r>
        <w:rPr>
          <w:rFonts w:ascii="Times New Roman" w:hAnsi="Times New Roman" w:cs="Times New Roman" w:eastAsia="Times New Roman" w:hint="default"/>
        </w:rPr>
        <w:t>1002.60</w:t>
      </w:r>
      <w:r>
        <w:rPr/>
        <w:t>万份。</w:t>
      </w:r>
    </w:p>
    <w:p>
      <w:pPr>
        <w:pStyle w:val="BodyText"/>
        <w:spacing w:line="240" w:lineRule="auto" w:before="13"/>
        <w:ind w:left="514" w:right="0"/>
        <w:jc w:val="left"/>
      </w:pPr>
      <w:r>
        <w:rPr>
          <w:rFonts w:ascii="Times New Roman" w:hAnsi="Times New Roman" w:cs="Times New Roman" w:eastAsia="Times New Roman" w:hint="default"/>
        </w:rPr>
        <w:t>2</w:t>
      </w:r>
      <w:r>
        <w:rPr/>
        <w:t>、本公司与武文杰签订股权激励协议，双方约定：若子公司天津市泰达工程设计有限公司（以下简称</w:t>
      </w:r>
      <w:r>
        <w:rPr>
          <w:rFonts w:ascii="Times New Roman" w:hAnsi="Times New Roman" w:cs="Times New Roman" w:eastAsia="Times New Roman" w:hint="default"/>
        </w:rPr>
        <w:t>“</w:t>
      </w:r>
      <w:r>
        <w:rPr/>
        <w:t>泰达公司</w:t>
      </w:r>
      <w:r>
        <w:rPr>
          <w:rFonts w:ascii="Times New Roman" w:hAnsi="Times New Roman" w:cs="Times New Roman" w:eastAsia="Times New Roman" w:hint="default"/>
        </w:rPr>
        <w:t>”</w:t>
      </w:r>
      <w:r>
        <w:rPr/>
        <w:t>）在</w:t>
      </w:r>
    </w:p>
    <w:p>
      <w:pPr>
        <w:pStyle w:val="BodyText"/>
        <w:spacing w:line="307" w:lineRule="auto" w:before="63"/>
        <w:ind w:right="1132"/>
        <w:jc w:val="both"/>
      </w:pPr>
      <w:r>
        <w:rPr>
          <w:rFonts w:ascii="Times New Roman" w:hAnsi="Times New Roman" w:cs="Times New Roman" w:eastAsia="Times New Roman" w:hint="default"/>
          <w:spacing w:val="-2"/>
        </w:rPr>
        <w:t>2014</w:t>
      </w:r>
      <w:r>
        <w:rPr>
          <w:spacing w:val="-2"/>
        </w:rPr>
        <w:t>年度经审计的净利润（指本公司聘请的具有证券、期货业务资格的会计师事务所审计的泰达公司合并报表中归属于泰达</w:t>
      </w:r>
      <w:r>
        <w:rPr>
          <w:spacing w:val="-60"/>
        </w:rPr>
        <w:t> </w:t>
      </w:r>
      <w:r>
        <w:rPr>
          <w:spacing w:val="-60"/>
        </w:rPr>
      </w:r>
      <w:r>
        <w:rPr>
          <w:spacing w:val="-2"/>
        </w:rPr>
        <w:t>公司所有者的净利润，该净利润以扣除非经常性损益前后孰低者为准但不考虑与此次奖励相关的费用对净利润的影响）超过</w:t>
      </w:r>
      <w:r>
        <w:rPr>
          <w:spacing w:val="-64"/>
        </w:rPr>
        <w:t> </w:t>
      </w:r>
      <w:r>
        <w:rPr>
          <w:spacing w:val="-64"/>
        </w:rPr>
      </w:r>
      <w:r>
        <w:rPr>
          <w:rFonts w:ascii="Times New Roman" w:hAnsi="Times New Roman" w:cs="Times New Roman" w:eastAsia="Times New Roman" w:hint="default"/>
          <w:spacing w:val="-2"/>
        </w:rPr>
        <w:t>2,019.76</w:t>
      </w:r>
      <w:r>
        <w:rPr>
          <w:spacing w:val="-2"/>
        </w:rPr>
        <w:t>万元，或</w:t>
      </w:r>
      <w:r>
        <w:rPr>
          <w:rFonts w:ascii="Times New Roman" w:hAnsi="Times New Roman" w:cs="Times New Roman" w:eastAsia="Times New Roman" w:hint="default"/>
          <w:spacing w:val="-2"/>
        </w:rPr>
        <w:t>2014</w:t>
      </w:r>
      <w:r>
        <w:rPr>
          <w:spacing w:val="-2"/>
        </w:rPr>
        <w:t>年及</w:t>
      </w:r>
      <w:r>
        <w:rPr>
          <w:rFonts w:ascii="Times New Roman" w:hAnsi="Times New Roman" w:cs="Times New Roman" w:eastAsia="Times New Roman" w:hint="default"/>
          <w:spacing w:val="-2"/>
        </w:rPr>
        <w:t>2015</w:t>
      </w:r>
      <w:r>
        <w:rPr>
          <w:spacing w:val="-2"/>
        </w:rPr>
        <w:t>年经审计的两年累计净利润超过</w:t>
      </w:r>
      <w:r>
        <w:rPr>
          <w:rFonts w:ascii="Times New Roman" w:hAnsi="Times New Roman" w:cs="Times New Roman" w:eastAsia="Times New Roman" w:hint="default"/>
          <w:spacing w:val="-2"/>
        </w:rPr>
        <w:t>4,042.88</w:t>
      </w:r>
      <w:r>
        <w:rPr>
          <w:spacing w:val="-2"/>
        </w:rPr>
        <w:t>万元，达到上述条件后，本公司同意在审计报告出具</w:t>
      </w:r>
      <w:r>
        <w:rPr>
          <w:spacing w:val="-43"/>
        </w:rPr>
        <w:t> </w:t>
      </w:r>
      <w:r>
        <w:rPr>
          <w:spacing w:val="-43"/>
        </w:rPr>
      </w:r>
      <w:r>
        <w:rPr/>
        <w:t>之日起</w:t>
      </w:r>
      <w:r>
        <w:rPr>
          <w:rFonts w:ascii="Times New Roman" w:hAnsi="Times New Roman" w:cs="Times New Roman" w:eastAsia="Times New Roman" w:hint="default"/>
        </w:rPr>
        <w:t>30</w:t>
      </w:r>
      <w:r>
        <w:rPr/>
        <w:t>日内，将持有的泰达公司</w:t>
      </w:r>
      <w:r>
        <w:rPr>
          <w:rFonts w:ascii="Times New Roman" w:hAnsi="Times New Roman" w:cs="Times New Roman" w:eastAsia="Times New Roman" w:hint="default"/>
        </w:rPr>
        <w:t>6%</w:t>
      </w:r>
      <w:r>
        <w:rPr/>
        <w:t>股权以无偿转让的方式奖励给武文杰。</w:t>
      </w:r>
    </w:p>
    <w:p>
      <w:pPr>
        <w:spacing w:line="240" w:lineRule="auto" w:before="8"/>
        <w:rPr>
          <w:rFonts w:ascii="宋体" w:hAnsi="宋体" w:cs="宋体" w:eastAsia="宋体" w:hint="default"/>
          <w:sz w:val="21"/>
          <w:szCs w:val="21"/>
        </w:rPr>
      </w:pPr>
    </w:p>
    <w:p>
      <w:pPr>
        <w:pStyle w:val="Heading5"/>
        <w:spacing w:line="240" w:lineRule="auto"/>
        <w:ind w:right="0"/>
        <w:jc w:val="both"/>
        <w:rPr>
          <w:b w:val="0"/>
          <w:bCs w:val="0"/>
        </w:rPr>
      </w:pPr>
      <w:bookmarkStart w:name="2、以权益结算的股份支付情况" w:id="324"/>
      <w:bookmarkEnd w:id="32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在等待期内的每个资产负债表日，根据最新取得的可行权 人数变动、行权条件完成情况等信息，修正预计可行权的 股票期权数量。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8,235,600.00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其他说明</w:t>
      </w:r>
    </w:p>
    <w:p>
      <w:pPr>
        <w:pStyle w:val="BodyText"/>
        <w:spacing w:line="240" w:lineRule="auto" w:before="156"/>
        <w:ind w:right="0"/>
        <w:jc w:val="left"/>
        <w:rPr>
          <w:rFonts w:ascii="Times New Roman" w:hAnsi="Times New Roman" w:cs="Times New Roman" w:eastAsia="Times New Roman" w:hint="default"/>
        </w:rPr>
      </w:pPr>
      <w:r>
        <w:rPr>
          <w:rFonts w:ascii="Times New Roman"/>
        </w:rPr>
        <w:t>0</w:t>
      </w:r>
    </w:p>
    <w:p>
      <w:pPr>
        <w:spacing w:line="240" w:lineRule="auto" w:before="0"/>
        <w:rPr>
          <w:rFonts w:ascii="Times New Roman" w:hAnsi="Times New Roman" w:cs="Times New Roman" w:eastAsia="Times New Roman" w:hint="default"/>
          <w:sz w:val="18"/>
          <w:szCs w:val="18"/>
        </w:rPr>
      </w:pPr>
    </w:p>
    <w:p>
      <w:pPr>
        <w:pStyle w:val="Heading5"/>
        <w:spacing w:line="240" w:lineRule="auto" w:before="134"/>
        <w:ind w:left="154" w:right="0"/>
        <w:jc w:val="left"/>
        <w:rPr>
          <w:b w:val="0"/>
          <w:bCs w:val="0"/>
        </w:rPr>
      </w:pPr>
      <w:bookmarkStart w:name="3、以现金结算的股份支付情况" w:id="325"/>
      <w:bookmarkEnd w:id="32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1027"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公司承担的、以股份或其他权益工具为基础计算确定的负债的 公允价值确定方法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以本期非同一控制下的企业合并取得的泰达公司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65.738%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股权所支付的交易对价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11,286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万元为参照，确定泰达公司</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股权的公允价值为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1030.09 </w:t>
            </w:r>
            <w:r>
              <w:rPr>
                <w:rFonts w:ascii="宋体" w:hAnsi="宋体" w:cs="宋体" w:eastAsia="宋体" w:hint="default"/>
                <w:sz w:val="18"/>
                <w:szCs w:val="18"/>
              </w:rPr>
              <w:t>万元</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负债中以现金结算的股份支付产生的累计负债金额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10,300,891.42</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本期以现金结算的股份支付而确认的费用总额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10,300,891.42</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股份支付的修改、终止情况" w:id="326"/>
      <w:bookmarkEnd w:id="32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十二、承诺及或有事项" w:id="327"/>
      <w:bookmarkEnd w:id="327"/>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承诺事项" w:id="328"/>
      <w:bookmarkEnd w:id="328"/>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资产负债表日存在的重要承诺</w:t>
      </w:r>
    </w:p>
    <w:p>
      <w:pPr>
        <w:pStyle w:val="Heading6"/>
        <w:spacing w:line="240" w:lineRule="auto" w:before="90"/>
        <w:ind w:left="574" w:right="0"/>
        <w:jc w:val="left"/>
      </w:pPr>
      <w:r>
        <w:rPr/>
        <w:t>本公司不存在需要披露的承诺事项。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left="154" w:right="0"/>
        <w:jc w:val="left"/>
        <w:rPr>
          <w:b w:val="0"/>
          <w:bCs w:val="0"/>
        </w:rPr>
      </w:pPr>
      <w:bookmarkStart w:name="2、或有事项" w:id="329"/>
      <w:bookmarkEnd w:id="32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资产负债表日存在的重要或有事项" w:id="330"/>
      <w:bookmarkEnd w:id="33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54" w:right="0"/>
        <w:jc w:val="left"/>
        <w:rPr>
          <w:b w:val="0"/>
          <w:bCs w:val="0"/>
        </w:rPr>
      </w:pPr>
      <w:r>
        <w:rPr>
          <w:rFonts w:ascii="Times New Roman" w:hAnsi="Times New Roman" w:cs="Times New Roman" w:eastAsia="Times New Roman" w:hint="default"/>
        </w:rPr>
        <w:t>1</w:t>
      </w:r>
      <w:r>
        <w:rPr/>
        <w:t>）未决诉讼或仲裁形成的或有事项及其财务影响</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241"/>
        <w:gridCol w:w="2268"/>
        <w:gridCol w:w="994"/>
        <w:gridCol w:w="1700"/>
        <w:gridCol w:w="1277"/>
        <w:gridCol w:w="906"/>
      </w:tblGrid>
      <w:tr>
        <w:trPr>
          <w:trHeight w:val="667" w:hRule="exact"/>
        </w:trPr>
        <w:tc>
          <w:tcPr>
            <w:tcW w:w="12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原告</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被告</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案由</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523" w:right="0"/>
              <w:jc w:val="left"/>
              <w:rPr>
                <w:rFonts w:ascii="宋体" w:hAnsi="宋体" w:cs="宋体" w:eastAsia="宋体" w:hint="default"/>
                <w:sz w:val="16"/>
                <w:szCs w:val="16"/>
              </w:rPr>
            </w:pPr>
            <w:r>
              <w:rPr>
                <w:rFonts w:ascii="宋体" w:hAnsi="宋体" w:cs="宋体" w:eastAsia="宋体" w:hint="default"/>
                <w:sz w:val="16"/>
                <w:szCs w:val="16"/>
              </w:rPr>
              <w:t>受理法院</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390" w:right="0"/>
              <w:jc w:val="left"/>
              <w:rPr>
                <w:rFonts w:ascii="宋体" w:hAnsi="宋体" w:cs="宋体" w:eastAsia="宋体" w:hint="default"/>
                <w:sz w:val="16"/>
                <w:szCs w:val="16"/>
              </w:rPr>
            </w:pPr>
            <w:r>
              <w:rPr>
                <w:rFonts w:ascii="宋体" w:hAnsi="宋体" w:cs="宋体" w:eastAsia="宋体" w:hint="default"/>
                <w:sz w:val="16"/>
                <w:szCs w:val="16"/>
              </w:rPr>
              <w:t>标的额</w:t>
            </w:r>
          </w:p>
        </w:tc>
        <w:tc>
          <w:tcPr>
            <w:tcW w:w="906" w:type="dxa"/>
            <w:tcBorders>
              <w:top w:val="single" w:sz="6" w:space="0" w:color="000000"/>
              <w:left w:val="single" w:sz="6" w:space="0" w:color="000000"/>
              <w:bottom w:val="single" w:sz="12" w:space="0" w:color="000000"/>
              <w:right w:val="nil" w:sz="6" w:space="0" w:color="auto"/>
            </w:tcBorders>
          </w:tcPr>
          <w:p>
            <w:pPr>
              <w:pStyle w:val="TableParagraph"/>
              <w:spacing w:line="357" w:lineRule="auto" w:before="36"/>
              <w:ind w:left="365" w:right="52" w:hanging="321"/>
              <w:jc w:val="left"/>
              <w:rPr>
                <w:rFonts w:ascii="宋体" w:hAnsi="宋体" w:cs="宋体" w:eastAsia="宋体" w:hint="default"/>
                <w:sz w:val="16"/>
                <w:szCs w:val="16"/>
              </w:rPr>
            </w:pPr>
            <w:r>
              <w:rPr>
                <w:rFonts w:ascii="宋体" w:hAnsi="宋体" w:cs="宋体" w:eastAsia="宋体" w:hint="default"/>
                <w:sz w:val="16"/>
                <w:szCs w:val="16"/>
              </w:rPr>
              <w:t>案件进展情</w:t>
            </w:r>
            <w:r>
              <w:rPr>
                <w:rFonts w:ascii="宋体" w:hAnsi="宋体" w:cs="宋体" w:eastAsia="宋体" w:hint="default"/>
                <w:w w:val="99"/>
                <w:sz w:val="16"/>
                <w:szCs w:val="16"/>
              </w:rPr>
              <w:t> </w:t>
            </w:r>
            <w:r>
              <w:rPr>
                <w:rFonts w:ascii="宋体" w:hAnsi="宋体" w:cs="宋体" w:eastAsia="宋体" w:hint="default"/>
                <w:sz w:val="16"/>
                <w:szCs w:val="16"/>
              </w:rPr>
              <w:t>况</w:t>
            </w:r>
          </w:p>
        </w:tc>
      </w:tr>
      <w:tr>
        <w:trPr>
          <w:trHeight w:val="352" w:hRule="exact"/>
        </w:trPr>
        <w:tc>
          <w:tcPr>
            <w:tcW w:w="1241" w:type="dxa"/>
            <w:vMerge w:val="restart"/>
            <w:tcBorders>
              <w:top w:val="single" w:sz="12" w:space="0" w:color="000000"/>
              <w:left w:val="single" w:sz="6" w:space="0" w:color="000000"/>
              <w:right w:val="single" w:sz="6" w:space="0" w:color="000000"/>
            </w:tcBorders>
          </w:tcPr>
          <w:p>
            <w:pPr>
              <w:pStyle w:val="TableParagraph"/>
              <w:spacing w:line="357" w:lineRule="auto" w:before="25"/>
              <w:ind w:left="2" w:right="104"/>
              <w:jc w:val="left"/>
              <w:rPr>
                <w:rFonts w:ascii="宋体" w:hAnsi="宋体" w:cs="宋体" w:eastAsia="宋体" w:hint="default"/>
                <w:sz w:val="16"/>
                <w:szCs w:val="16"/>
              </w:rPr>
            </w:pPr>
            <w:r>
              <w:rPr>
                <w:rFonts w:ascii="宋体" w:hAnsi="宋体" w:cs="宋体" w:eastAsia="宋体" w:hint="default"/>
                <w:sz w:val="16"/>
                <w:szCs w:val="16"/>
              </w:rPr>
              <w:t>安徽鑫龙电器股</w:t>
            </w:r>
            <w:r>
              <w:rPr>
                <w:rFonts w:ascii="宋体" w:hAnsi="宋体" w:cs="宋体" w:eastAsia="宋体" w:hint="default"/>
                <w:w w:val="99"/>
                <w:sz w:val="16"/>
                <w:szCs w:val="16"/>
              </w:rPr>
              <w:t> </w:t>
            </w:r>
            <w:r>
              <w:rPr>
                <w:rFonts w:ascii="宋体" w:hAnsi="宋体" w:cs="宋体" w:eastAsia="宋体" w:hint="default"/>
                <w:sz w:val="16"/>
                <w:szCs w:val="16"/>
              </w:rPr>
              <w:t>份有限公司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浙江中高动力科技股份有限公司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芜湖市中级人民法院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4,578,325.60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353" w:hRule="exact"/>
        </w:trPr>
        <w:tc>
          <w:tcPr>
            <w:tcW w:w="1241" w:type="dxa"/>
            <w:vMerge/>
            <w:tcBorders>
              <w:left w:val="single" w:sz="6"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北京通达兴海电气安装服务公司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芜湖市中级人民法院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4,336,300.00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352" w:hRule="exact"/>
        </w:trPr>
        <w:tc>
          <w:tcPr>
            <w:tcW w:w="1241" w:type="dxa"/>
            <w:vMerge/>
            <w:tcBorders>
              <w:left w:val="single" w:sz="6"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平山县敬业冶炼有限公司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平山县人民法院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3,737,510.00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664" w:hRule="exact"/>
        </w:trPr>
        <w:tc>
          <w:tcPr>
            <w:tcW w:w="1241" w:type="dxa"/>
            <w:vMerge/>
            <w:tcBorders>
              <w:left w:val="single" w:sz="6"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郑州康天工控仪器有限公司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2" w:right="83"/>
              <w:jc w:val="left"/>
              <w:rPr>
                <w:rFonts w:ascii="宋体" w:hAnsi="宋体" w:cs="宋体" w:eastAsia="宋体" w:hint="default"/>
                <w:sz w:val="16"/>
                <w:szCs w:val="16"/>
              </w:rPr>
            </w:pPr>
            <w:r>
              <w:rPr>
                <w:rFonts w:ascii="宋体" w:hAnsi="宋体" w:cs="宋体" w:eastAsia="宋体" w:hint="default"/>
                <w:sz w:val="16"/>
                <w:szCs w:val="16"/>
              </w:rPr>
              <w:t>芜湖经济技术开发区人</w:t>
            </w:r>
            <w:r>
              <w:rPr>
                <w:rFonts w:ascii="宋体" w:hAnsi="宋体" w:cs="宋体" w:eastAsia="宋体" w:hint="default"/>
                <w:w w:val="99"/>
                <w:sz w:val="16"/>
                <w:szCs w:val="16"/>
              </w:rPr>
              <w:t> </w:t>
            </w:r>
            <w:r>
              <w:rPr>
                <w:rFonts w:ascii="宋体" w:hAnsi="宋体" w:cs="宋体" w:eastAsia="宋体" w:hint="default"/>
                <w:sz w:val="16"/>
                <w:szCs w:val="16"/>
              </w:rPr>
              <w:t>民法院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251,500.00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977" w:hRule="exact"/>
        </w:trPr>
        <w:tc>
          <w:tcPr>
            <w:tcW w:w="1241" w:type="dxa"/>
            <w:vMerge/>
            <w:tcBorders>
              <w:left w:val="single" w:sz="6"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48" w:lineRule="auto" w:before="25"/>
              <w:ind w:left="3" w:right="10"/>
              <w:jc w:val="left"/>
              <w:rPr>
                <w:rFonts w:ascii="宋体" w:hAnsi="宋体" w:cs="宋体" w:eastAsia="宋体" w:hint="default"/>
                <w:sz w:val="16"/>
                <w:szCs w:val="16"/>
              </w:rPr>
            </w:pPr>
            <w:r>
              <w:rPr>
                <w:rFonts w:ascii="宋体" w:hAnsi="宋体" w:cs="宋体" w:eastAsia="宋体" w:hint="default"/>
                <w:sz w:val="16"/>
                <w:szCs w:val="16"/>
              </w:rPr>
              <w:t>中建八局第一建设有限公司</w:t>
            </w:r>
            <w:r>
              <w:rPr>
                <w:rFonts w:ascii="Times New Roman" w:hAnsi="Times New Roman" w:cs="Times New Roman" w:eastAsia="Times New Roman" w:hint="default"/>
                <w:sz w:val="16"/>
                <w:szCs w:val="16"/>
              </w:rPr>
              <w:t>/</w:t>
            </w:r>
            <w:r>
              <w:rPr>
                <w:rFonts w:ascii="宋体" w:hAnsi="宋体" w:cs="宋体" w:eastAsia="宋体" w:hint="default"/>
                <w:sz w:val="16"/>
                <w:szCs w:val="16"/>
              </w:rPr>
              <w:t>中</w:t>
            </w:r>
            <w:r>
              <w:rPr>
                <w:rFonts w:ascii="宋体" w:hAnsi="宋体" w:cs="宋体" w:eastAsia="宋体" w:hint="default"/>
                <w:w w:val="99"/>
                <w:sz w:val="16"/>
                <w:szCs w:val="16"/>
              </w:rPr>
              <w:t> </w:t>
            </w:r>
            <w:r>
              <w:rPr>
                <w:rFonts w:ascii="宋体" w:hAnsi="宋体" w:cs="宋体" w:eastAsia="宋体" w:hint="default"/>
                <w:sz w:val="16"/>
                <w:szCs w:val="16"/>
              </w:rPr>
              <w:t>建八局第一建设有限公司青岛分</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2" w:right="83"/>
              <w:jc w:val="left"/>
              <w:rPr>
                <w:rFonts w:ascii="宋体" w:hAnsi="宋体" w:cs="宋体" w:eastAsia="宋体" w:hint="default"/>
                <w:sz w:val="16"/>
                <w:szCs w:val="16"/>
              </w:rPr>
            </w:pPr>
            <w:r>
              <w:rPr>
                <w:rFonts w:ascii="宋体" w:hAnsi="宋体" w:cs="宋体" w:eastAsia="宋体" w:hint="default"/>
                <w:sz w:val="16"/>
                <w:szCs w:val="16"/>
              </w:rPr>
              <w:t>天津市滨海新区人民法</w:t>
            </w:r>
            <w:r>
              <w:rPr>
                <w:rFonts w:ascii="宋体" w:hAnsi="宋体" w:cs="宋体" w:eastAsia="宋体" w:hint="default"/>
                <w:w w:val="99"/>
                <w:sz w:val="16"/>
                <w:szCs w:val="16"/>
              </w:rPr>
              <w:t> </w:t>
            </w:r>
            <w:r>
              <w:rPr>
                <w:rFonts w:ascii="宋体" w:hAnsi="宋体" w:cs="宋体" w:eastAsia="宋体" w:hint="default"/>
                <w:sz w:val="16"/>
                <w:szCs w:val="16"/>
              </w:rPr>
              <w:t>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1,791,267.60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664" w:hRule="exact"/>
        </w:trPr>
        <w:tc>
          <w:tcPr>
            <w:tcW w:w="1241" w:type="dxa"/>
            <w:vMerge/>
            <w:tcBorders>
              <w:left w:val="single" w:sz="6"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3" w:right="10"/>
              <w:jc w:val="left"/>
              <w:rPr>
                <w:rFonts w:ascii="宋体" w:hAnsi="宋体" w:cs="宋体" w:eastAsia="宋体" w:hint="default"/>
                <w:sz w:val="16"/>
                <w:szCs w:val="16"/>
              </w:rPr>
            </w:pPr>
            <w:r>
              <w:rPr>
                <w:rFonts w:ascii="宋体" w:hAnsi="宋体" w:cs="宋体" w:eastAsia="宋体" w:hint="default"/>
                <w:sz w:val="16"/>
                <w:szCs w:val="16"/>
              </w:rPr>
              <w:t>安徽颐和新能源科技股份有限公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2" w:right="83"/>
              <w:jc w:val="left"/>
              <w:rPr>
                <w:rFonts w:ascii="宋体" w:hAnsi="宋体" w:cs="宋体" w:eastAsia="宋体" w:hint="default"/>
                <w:sz w:val="16"/>
                <w:szCs w:val="16"/>
              </w:rPr>
            </w:pPr>
            <w:r>
              <w:rPr>
                <w:rFonts w:ascii="宋体" w:hAnsi="宋体" w:cs="宋体" w:eastAsia="宋体" w:hint="default"/>
                <w:sz w:val="16"/>
                <w:szCs w:val="16"/>
              </w:rPr>
              <w:t>芜湖经济技术开发区人</w:t>
            </w:r>
            <w:r>
              <w:rPr>
                <w:rFonts w:ascii="宋体" w:hAnsi="宋体" w:cs="宋体" w:eastAsia="宋体" w:hint="default"/>
                <w:w w:val="99"/>
                <w:sz w:val="16"/>
                <w:szCs w:val="16"/>
              </w:rPr>
              <w:t> </w:t>
            </w:r>
            <w:r>
              <w:rPr>
                <w:rFonts w:ascii="宋体" w:hAnsi="宋体" w:cs="宋体" w:eastAsia="宋体" w:hint="default"/>
                <w:sz w:val="16"/>
                <w:szCs w:val="16"/>
              </w:rPr>
              <w:t>民法院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380,200.00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352" w:hRule="exact"/>
        </w:trPr>
        <w:tc>
          <w:tcPr>
            <w:tcW w:w="1241" w:type="dxa"/>
            <w:vMerge/>
            <w:tcBorders>
              <w:left w:val="single" w:sz="6"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安徽科瑞克保温材料有限公司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芜湖仲裁委委员会</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200,000.00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353" w:hRule="exact"/>
        </w:trPr>
        <w:tc>
          <w:tcPr>
            <w:tcW w:w="1241" w:type="dxa"/>
            <w:vMerge/>
            <w:tcBorders>
              <w:left w:val="single" w:sz="6"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芜湖明辉商业管理有限公司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芜湖仲裁委员会</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349,500.00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664" w:hRule="exact"/>
        </w:trPr>
        <w:tc>
          <w:tcPr>
            <w:tcW w:w="1241" w:type="dxa"/>
            <w:vMerge/>
            <w:tcBorders>
              <w:left w:val="single" w:sz="6"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3" w:right="10"/>
              <w:jc w:val="left"/>
              <w:rPr>
                <w:rFonts w:ascii="宋体" w:hAnsi="宋体" w:cs="宋体" w:eastAsia="宋体" w:hint="default"/>
                <w:sz w:val="16"/>
                <w:szCs w:val="16"/>
              </w:rPr>
            </w:pPr>
            <w:r>
              <w:rPr>
                <w:rFonts w:ascii="宋体" w:hAnsi="宋体" w:cs="宋体" w:eastAsia="宋体" w:hint="default"/>
                <w:sz w:val="16"/>
                <w:szCs w:val="16"/>
              </w:rPr>
              <w:t>吴松（芜湖市天翔水电设备安装</w:t>
            </w:r>
            <w:r>
              <w:rPr>
                <w:rFonts w:ascii="宋体" w:hAnsi="宋体" w:cs="宋体" w:eastAsia="宋体" w:hint="default"/>
                <w:w w:val="99"/>
                <w:sz w:val="16"/>
                <w:szCs w:val="16"/>
              </w:rPr>
              <w:t> </w:t>
            </w:r>
            <w:r>
              <w:rPr>
                <w:rFonts w:ascii="宋体" w:hAnsi="宋体" w:cs="宋体" w:eastAsia="宋体" w:hint="default"/>
                <w:sz w:val="16"/>
                <w:szCs w:val="16"/>
              </w:rPr>
              <w:t>工程队业主）</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芜湖市镜湖区人民法院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42,000.00</w:t>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664" w:hRule="exact"/>
        </w:trPr>
        <w:tc>
          <w:tcPr>
            <w:tcW w:w="1241" w:type="dxa"/>
            <w:vMerge/>
            <w:tcBorders>
              <w:left w:val="single" w:sz="6"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3" w:right="10"/>
              <w:jc w:val="left"/>
              <w:rPr>
                <w:rFonts w:ascii="宋体" w:hAnsi="宋体" w:cs="宋体" w:eastAsia="宋体" w:hint="default"/>
                <w:sz w:val="16"/>
                <w:szCs w:val="16"/>
              </w:rPr>
            </w:pPr>
            <w:r>
              <w:rPr>
                <w:rFonts w:ascii="宋体" w:hAnsi="宋体" w:cs="宋体" w:eastAsia="宋体" w:hint="default"/>
                <w:sz w:val="16"/>
                <w:szCs w:val="16"/>
              </w:rPr>
              <w:t>北京航天海鹰星航机电设备有限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2" w:right="83"/>
              <w:jc w:val="left"/>
              <w:rPr>
                <w:rFonts w:ascii="宋体" w:hAnsi="宋体" w:cs="宋体" w:eastAsia="宋体" w:hint="default"/>
                <w:sz w:val="16"/>
                <w:szCs w:val="16"/>
              </w:rPr>
            </w:pPr>
            <w:r>
              <w:rPr>
                <w:rFonts w:ascii="宋体" w:hAnsi="宋体" w:cs="宋体" w:eastAsia="宋体" w:hint="default"/>
                <w:sz w:val="16"/>
                <w:szCs w:val="16"/>
              </w:rPr>
              <w:t>芜湖市经济技术开发区</w:t>
            </w:r>
            <w:r>
              <w:rPr>
                <w:rFonts w:ascii="宋体" w:hAnsi="宋体" w:cs="宋体" w:eastAsia="宋体" w:hint="default"/>
                <w:w w:val="99"/>
                <w:sz w:val="16"/>
                <w:szCs w:val="16"/>
              </w:rPr>
              <w:t> </w:t>
            </w:r>
            <w:r>
              <w:rPr>
                <w:rFonts w:ascii="宋体" w:hAnsi="宋体" w:cs="宋体" w:eastAsia="宋体" w:hint="default"/>
                <w:sz w:val="16"/>
                <w:szCs w:val="16"/>
              </w:rPr>
              <w:t>人民法院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764,166.14</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665" w:hRule="exact"/>
        </w:trPr>
        <w:tc>
          <w:tcPr>
            <w:tcW w:w="1241" w:type="dxa"/>
            <w:vMerge/>
            <w:tcBorders>
              <w:left w:val="single" w:sz="6"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3" w:right="10"/>
              <w:jc w:val="left"/>
              <w:rPr>
                <w:rFonts w:ascii="宋体" w:hAnsi="宋体" w:cs="宋体" w:eastAsia="宋体" w:hint="default"/>
                <w:sz w:val="16"/>
                <w:szCs w:val="16"/>
              </w:rPr>
            </w:pPr>
            <w:r>
              <w:rPr>
                <w:rFonts w:ascii="宋体" w:hAnsi="宋体" w:cs="宋体" w:eastAsia="宋体" w:hint="default"/>
                <w:sz w:val="16"/>
                <w:szCs w:val="16"/>
              </w:rPr>
              <w:t>一重集团大连国际科技贸易有限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2" w:right="83"/>
              <w:jc w:val="left"/>
              <w:rPr>
                <w:rFonts w:ascii="宋体" w:hAnsi="宋体" w:cs="宋体" w:eastAsia="宋体" w:hint="default"/>
                <w:sz w:val="16"/>
                <w:szCs w:val="16"/>
              </w:rPr>
            </w:pPr>
            <w:r>
              <w:rPr>
                <w:rFonts w:ascii="宋体" w:hAnsi="宋体" w:cs="宋体" w:eastAsia="宋体" w:hint="default"/>
                <w:sz w:val="16"/>
                <w:szCs w:val="16"/>
              </w:rPr>
              <w:t>芜湖市经济技术开发区</w:t>
            </w:r>
            <w:r>
              <w:rPr>
                <w:rFonts w:ascii="宋体" w:hAnsi="宋体" w:cs="宋体" w:eastAsia="宋体" w:hint="default"/>
                <w:w w:val="99"/>
                <w:sz w:val="16"/>
                <w:szCs w:val="16"/>
              </w:rPr>
              <w:t> </w:t>
            </w:r>
            <w:r>
              <w:rPr>
                <w:rFonts w:ascii="宋体" w:hAnsi="宋体" w:cs="宋体" w:eastAsia="宋体" w:hint="default"/>
                <w:sz w:val="16"/>
                <w:szCs w:val="16"/>
              </w:rPr>
              <w:t>人民法院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421,980.00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664" w:hRule="exact"/>
        </w:trPr>
        <w:tc>
          <w:tcPr>
            <w:tcW w:w="1241" w:type="dxa"/>
            <w:vMerge/>
            <w:tcBorders>
              <w:left w:val="single" w:sz="6"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3" w:right="10"/>
              <w:jc w:val="left"/>
              <w:rPr>
                <w:rFonts w:ascii="宋体" w:hAnsi="宋体" w:cs="宋体" w:eastAsia="宋体" w:hint="default"/>
                <w:sz w:val="16"/>
                <w:szCs w:val="16"/>
              </w:rPr>
            </w:pPr>
            <w:r>
              <w:rPr>
                <w:rFonts w:ascii="宋体" w:hAnsi="宋体" w:cs="宋体" w:eastAsia="宋体" w:hint="default"/>
                <w:sz w:val="16"/>
                <w:szCs w:val="16"/>
              </w:rPr>
              <w:t>中建八局第一建设有限公司青岛</w:t>
            </w:r>
            <w:r>
              <w:rPr>
                <w:rFonts w:ascii="宋体" w:hAnsi="宋体" w:cs="宋体" w:eastAsia="宋体" w:hint="default"/>
                <w:w w:val="99"/>
                <w:sz w:val="16"/>
                <w:szCs w:val="16"/>
              </w:rPr>
              <w:t> </w:t>
            </w:r>
            <w:r>
              <w:rPr>
                <w:rFonts w:ascii="宋体" w:hAnsi="宋体" w:cs="宋体" w:eastAsia="宋体" w:hint="default"/>
                <w:sz w:val="16"/>
                <w:szCs w:val="16"/>
              </w:rPr>
              <w:t>分公司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滨海新区人民法院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1,918,405.50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352" w:hRule="exact"/>
        </w:trPr>
        <w:tc>
          <w:tcPr>
            <w:tcW w:w="1241" w:type="dxa"/>
            <w:vMerge/>
            <w:tcBorders>
              <w:left w:val="single" w:sz="6" w:space="0" w:color="000000"/>
              <w:bottom w:val="single" w:sz="12" w:space="0" w:color="000000"/>
              <w:right w:val="single" w:sz="6" w:space="0" w:color="000000"/>
            </w:tcBorders>
          </w:tcPr>
          <w:p>
            <w:pP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山西新泰钢铁有限公司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71"/>
              <w:jc w:val="right"/>
              <w:rPr>
                <w:rFonts w:ascii="宋体" w:hAnsi="宋体" w:cs="宋体" w:eastAsia="宋体" w:hint="default"/>
                <w:sz w:val="16"/>
                <w:szCs w:val="16"/>
              </w:rPr>
            </w:pPr>
            <w:r>
              <w:rPr>
                <w:rFonts w:ascii="宋体" w:hAnsi="宋体" w:cs="宋体" w:eastAsia="宋体" w:hint="default"/>
                <w:w w:val="95"/>
                <w:sz w:val="16"/>
                <w:szCs w:val="16"/>
              </w:rPr>
              <w:t>经济纠纷</w:t>
            </w:r>
            <w:r>
              <w:rPr>
                <w:rFonts w:ascii="宋体" w:hAnsi="宋体" w:cs="宋体" w:eastAsia="宋体" w:hint="default"/>
                <w:sz w:val="16"/>
                <w:szCs w:val="16"/>
              </w:rPr>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晋中市中级人民法院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3,688,175.00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r>
        <w:trPr>
          <w:trHeight w:val="665"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5"/>
              <w:ind w:left="2" w:right="104"/>
              <w:jc w:val="left"/>
              <w:rPr>
                <w:rFonts w:ascii="宋体" w:hAnsi="宋体" w:cs="宋体" w:eastAsia="宋体" w:hint="default"/>
                <w:sz w:val="16"/>
                <w:szCs w:val="16"/>
              </w:rPr>
            </w:pPr>
            <w:r>
              <w:rPr>
                <w:rFonts w:ascii="宋体" w:hAnsi="宋体" w:cs="宋体" w:eastAsia="宋体" w:hint="default"/>
                <w:sz w:val="16"/>
                <w:szCs w:val="16"/>
              </w:rPr>
              <w:t>芜湖顺荣汽车部</w:t>
            </w:r>
            <w:r>
              <w:rPr>
                <w:rFonts w:ascii="宋体" w:hAnsi="宋体" w:cs="宋体" w:eastAsia="宋体" w:hint="default"/>
                <w:w w:val="99"/>
                <w:sz w:val="16"/>
                <w:szCs w:val="16"/>
              </w:rPr>
              <w:t> </w:t>
            </w:r>
            <w:r>
              <w:rPr>
                <w:rFonts w:ascii="宋体" w:hAnsi="宋体" w:cs="宋体" w:eastAsia="宋体" w:hint="default"/>
                <w:sz w:val="16"/>
                <w:szCs w:val="16"/>
              </w:rPr>
              <w:t>件股份有限公司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安徽鑫龙电器股份有限公司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经济纠纷</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南陵县人民法院</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w w:val="95"/>
                <w:sz w:val="16"/>
              </w:rPr>
              <w:t>955,380.00</w:t>
            </w:r>
            <w:r>
              <w:rPr>
                <w:rFonts w:ascii="Times New Roman"/>
                <w:sz w:val="16"/>
              </w:rPr>
            </w:r>
          </w:p>
        </w:tc>
        <w:tc>
          <w:tcPr>
            <w:tcW w:w="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审理中</w:t>
            </w:r>
          </w:p>
        </w:tc>
      </w:tr>
    </w:tbl>
    <w:p>
      <w:pPr>
        <w:spacing w:after="0" w:line="240" w:lineRule="auto"/>
        <w:jc w:val="left"/>
        <w:rPr>
          <w:rFonts w:ascii="宋体" w:hAnsi="宋体" w:cs="宋体" w:eastAsia="宋体" w:hint="default"/>
          <w:sz w:val="16"/>
          <w:szCs w:val="16"/>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3" w:type="dxa"/>
        <w:tblLayout w:type="fixed"/>
        <w:tblCellMar>
          <w:top w:w="0" w:type="dxa"/>
          <w:left w:w="0" w:type="dxa"/>
          <w:bottom w:w="0" w:type="dxa"/>
          <w:right w:w="0" w:type="dxa"/>
        </w:tblCellMar>
        <w:tblLook w:val="01E0"/>
      </w:tblPr>
      <w:tblGrid>
        <w:gridCol w:w="1245"/>
        <w:gridCol w:w="2268"/>
        <w:gridCol w:w="994"/>
        <w:gridCol w:w="1700"/>
        <w:gridCol w:w="1277"/>
        <w:gridCol w:w="906"/>
      </w:tblGrid>
      <w:tr>
        <w:trPr>
          <w:trHeight w:val="355" w:hRule="exact"/>
        </w:trPr>
        <w:tc>
          <w:tcPr>
            <w:tcW w:w="12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2268" w:type="dxa"/>
            <w:tcBorders>
              <w:top w:val="single" w:sz="6" w:space="0" w:color="000000"/>
              <w:left w:val="single" w:sz="6" w:space="0" w:color="000000"/>
              <w:bottom w:val="single" w:sz="12" w:space="0" w:color="000000"/>
              <w:right w:val="single" w:sz="6" w:space="0" w:color="000000"/>
            </w:tcBorders>
          </w:tcPr>
          <w:p>
            <w:pPr/>
          </w:p>
        </w:tc>
        <w:tc>
          <w:tcPr>
            <w:tcW w:w="994" w:type="dxa"/>
            <w:tcBorders>
              <w:top w:val="single" w:sz="6" w:space="0" w:color="000000"/>
              <w:left w:val="single" w:sz="6" w:space="0" w:color="000000"/>
              <w:bottom w:val="single" w:sz="12" w:space="0" w:color="000000"/>
              <w:right w:val="single" w:sz="6" w:space="0" w:color="000000"/>
            </w:tcBorders>
          </w:tcPr>
          <w:p>
            <w:pPr/>
          </w:p>
        </w:tc>
        <w:tc>
          <w:tcPr>
            <w:tcW w:w="1700"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left="338" w:right="0"/>
              <w:jc w:val="left"/>
              <w:rPr>
                <w:rFonts w:ascii="Times New Roman" w:hAnsi="Times New Roman" w:cs="Times New Roman" w:eastAsia="Times New Roman" w:hint="default"/>
                <w:sz w:val="16"/>
                <w:szCs w:val="16"/>
              </w:rPr>
            </w:pPr>
            <w:r>
              <w:rPr>
                <w:rFonts w:ascii="Times New Roman"/>
                <w:sz w:val="16"/>
              </w:rPr>
              <w:t>23,414,709.84</w:t>
            </w:r>
          </w:p>
        </w:tc>
        <w:tc>
          <w:tcPr>
            <w:tcW w:w="90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b/>
          <w:bCs/>
          <w:sz w:val="29"/>
          <w:szCs w:val="29"/>
        </w:rPr>
      </w:pPr>
    </w:p>
    <w:p>
      <w:pPr>
        <w:spacing w:line="256" w:lineRule="auto" w:before="35"/>
        <w:ind w:left="573" w:right="321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）对外提供债务担保形成的或有事项及其财务影响</w:t>
      </w:r>
      <w:r>
        <w:rPr>
          <w:rFonts w:ascii="宋体" w:hAnsi="宋体" w:cs="宋体" w:eastAsia="宋体" w:hint="default"/>
          <w:b/>
          <w:bCs/>
          <w:w w:val="99"/>
          <w:sz w:val="21"/>
          <w:szCs w:val="21"/>
        </w:rPr>
        <w:t> </w:t>
      </w:r>
      <w:r>
        <w:rPr>
          <w:rFonts w:ascii="宋体" w:hAnsi="宋体" w:cs="宋体" w:eastAsia="宋体" w:hint="default"/>
          <w:sz w:val="21"/>
          <w:szCs w:val="21"/>
        </w:rPr>
        <w:t>为关联方提供提保详见</w:t>
      </w:r>
      <w:r>
        <w:rPr>
          <w:rFonts w:ascii="Times New Roman" w:hAnsi="Times New Roman" w:cs="Times New Roman" w:eastAsia="Times New Roman" w:hint="default"/>
          <w:sz w:val="21"/>
          <w:szCs w:val="21"/>
        </w:rPr>
        <w:t>“</w:t>
      </w:r>
      <w:r>
        <w:rPr>
          <w:rFonts w:ascii="宋体" w:hAnsi="宋体" w:cs="宋体" w:eastAsia="宋体" w:hint="default"/>
          <w:sz w:val="21"/>
          <w:szCs w:val="21"/>
        </w:rPr>
        <w:t>第十一节、十、</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）关联方交易之关联担保情况</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日，本公司无为非关联方单位提供保证的情况</w:t>
      </w:r>
    </w:p>
    <w:p>
      <w:pPr>
        <w:pStyle w:val="Heading5"/>
        <w:spacing w:line="240" w:lineRule="auto" w:before="125"/>
        <w:ind w:right="0"/>
        <w:jc w:val="left"/>
        <w:rPr>
          <w:b w:val="0"/>
          <w:bCs w:val="0"/>
        </w:rPr>
      </w:pPr>
      <w:r>
        <w:rPr>
          <w:rFonts w:ascii="Times New Roman" w:hAnsi="Times New Roman" w:cs="Times New Roman" w:eastAsia="Times New Roman" w:hint="default"/>
        </w:rPr>
        <w:t>3</w:t>
      </w:r>
      <w:r>
        <w:rPr/>
        <w:t>）开出保函、信用证</w:t>
      </w:r>
      <w:r>
        <w:rPr>
          <w:b w:val="0"/>
          <w:bCs w:val="0"/>
        </w:rPr>
      </w:r>
    </w:p>
    <w:p>
      <w:pPr>
        <w:pStyle w:val="Heading6"/>
        <w:spacing w:line="256" w:lineRule="auto" w:before="21"/>
        <w:ind w:left="589" w:right="1208"/>
        <w:jc w:val="left"/>
      </w:pPr>
      <w:r>
        <w:rPr/>
        <w:t>①</w:t>
      </w:r>
      <w:r>
        <w:rPr>
          <w:spacing w:val="-26"/>
        </w:rPr>
        <w:t> </w:t>
      </w:r>
      <w:r>
        <w:rPr/>
        <w:t>本公司期末应付银行承兑汇票金额</w:t>
      </w:r>
      <w:r>
        <w:rPr>
          <w:rFonts w:ascii="Times New Roman" w:hAnsi="Times New Roman" w:cs="Times New Roman" w:eastAsia="Times New Roman" w:hint="default"/>
        </w:rPr>
        <w:t>68,435,500.00</w:t>
      </w:r>
      <w:r>
        <w:rPr/>
        <w:t>元，票据保证金金额为</w:t>
      </w:r>
      <w:r>
        <w:rPr>
          <w:rFonts w:ascii="Times New Roman" w:hAnsi="Times New Roman" w:cs="Times New Roman" w:eastAsia="Times New Roman" w:hint="default"/>
        </w:rPr>
        <w:t>6,827,483.95</w:t>
      </w:r>
      <w:r>
        <w:rPr/>
        <w:t>元；银行保函 金额</w:t>
      </w:r>
      <w:r>
        <w:rPr>
          <w:rFonts w:ascii="Times New Roman" w:hAnsi="Times New Roman" w:cs="Times New Roman" w:eastAsia="Times New Roman" w:hint="default"/>
        </w:rPr>
        <w:t>104,486,925.50</w:t>
      </w:r>
      <w:r>
        <w:rPr/>
        <w:t>元，保函保证金金额为</w:t>
      </w:r>
      <w:r>
        <w:rPr>
          <w:rFonts w:ascii="Times New Roman" w:hAnsi="Times New Roman" w:cs="Times New Roman" w:eastAsia="Times New Roman" w:hint="default"/>
        </w:rPr>
        <w:t>10,522,244.11</w:t>
      </w:r>
      <w:r>
        <w:rPr/>
        <w:t>元。</w:t>
      </w:r>
    </w:p>
    <w:p>
      <w:pPr>
        <w:pStyle w:val="Heading6"/>
        <w:spacing w:line="240" w:lineRule="auto" w:before="5"/>
        <w:ind w:left="589" w:right="0"/>
        <w:jc w:val="left"/>
      </w:pPr>
      <w:r>
        <w:rPr/>
        <w:t>②</w:t>
      </w:r>
      <w:r>
        <w:rPr>
          <w:spacing w:val="-22"/>
        </w:rPr>
        <w:t> </w:t>
      </w:r>
      <w:r>
        <w:rPr/>
        <w:t>子公司安徽森源电器有限公司期末应付银行承兑汇票金额</w:t>
      </w:r>
      <w:r>
        <w:rPr>
          <w:rFonts w:ascii="Times New Roman" w:hAnsi="Times New Roman" w:cs="Times New Roman" w:eastAsia="Times New Roman" w:hint="default"/>
        </w:rPr>
        <w:t>30,000,000.00</w:t>
      </w:r>
      <w:r>
        <w:rPr/>
        <w:t>元，票据保证金金额为</w:t>
      </w:r>
    </w:p>
    <w:p>
      <w:pPr>
        <w:pStyle w:val="Heading6"/>
        <w:spacing w:line="240" w:lineRule="auto" w:before="21"/>
        <w:ind w:left="589" w:right="0"/>
        <w:jc w:val="left"/>
      </w:pPr>
      <w:r>
        <w:rPr>
          <w:rFonts w:ascii="Times New Roman" w:hAnsi="Times New Roman" w:cs="Times New Roman" w:eastAsia="Times New Roman" w:hint="default"/>
        </w:rPr>
        <w:t>3,000,000.00</w:t>
      </w:r>
      <w:r>
        <w:rPr/>
        <w:t>元。</w:t>
      </w:r>
    </w:p>
    <w:p>
      <w:pPr>
        <w:pStyle w:val="Heading6"/>
        <w:spacing w:line="240" w:lineRule="auto" w:before="21"/>
        <w:ind w:left="589" w:right="0"/>
        <w:jc w:val="left"/>
      </w:pPr>
      <w:r>
        <w:rPr/>
        <w:t>③</w:t>
      </w:r>
      <w:r>
        <w:rPr>
          <w:spacing w:val="-24"/>
        </w:rPr>
        <w:t> </w:t>
      </w:r>
      <w:r>
        <w:rPr/>
        <w:t>子公司安徽鑫龙自动化有限公司期末应付银行承兑汇票金额</w:t>
      </w:r>
      <w:r>
        <w:rPr>
          <w:rFonts w:ascii="Times New Roman" w:hAnsi="Times New Roman" w:cs="Times New Roman" w:eastAsia="Times New Roman" w:hint="default"/>
        </w:rPr>
        <w:t>2,709,400.00</w:t>
      </w:r>
      <w:r>
        <w:rPr/>
        <w:t>元，票据保证金金额为</w:t>
      </w:r>
    </w:p>
    <w:p>
      <w:pPr>
        <w:pStyle w:val="Heading6"/>
        <w:spacing w:line="240" w:lineRule="auto" w:before="21"/>
        <w:ind w:left="589" w:right="0"/>
        <w:jc w:val="left"/>
      </w:pPr>
      <w:r>
        <w:rPr>
          <w:rFonts w:ascii="Times New Roman" w:hAnsi="Times New Roman" w:cs="Times New Roman" w:eastAsia="Times New Roman" w:hint="default"/>
        </w:rPr>
        <w:t>270,940.00</w:t>
      </w:r>
      <w:r>
        <w:rPr/>
        <w:t>元；银行保函金额</w:t>
      </w:r>
      <w:r>
        <w:rPr>
          <w:rFonts w:ascii="Times New Roman" w:hAnsi="Times New Roman" w:cs="Times New Roman" w:eastAsia="Times New Roman" w:hint="default"/>
        </w:rPr>
        <w:t>72,220.60</w:t>
      </w:r>
      <w:r>
        <w:rPr/>
        <w:t>元，保函保证金金额为</w:t>
      </w:r>
      <w:r>
        <w:rPr>
          <w:rFonts w:ascii="Times New Roman" w:hAnsi="Times New Roman" w:cs="Times New Roman" w:eastAsia="Times New Roman" w:hint="default"/>
        </w:rPr>
        <w:t>72,220.60</w:t>
      </w:r>
      <w:r>
        <w:rPr/>
        <w:t>元。</w:t>
      </w:r>
    </w:p>
    <w:p>
      <w:pPr>
        <w:pStyle w:val="Heading6"/>
        <w:spacing w:line="240" w:lineRule="auto" w:before="21"/>
        <w:ind w:left="589" w:right="0"/>
        <w:jc w:val="left"/>
      </w:pPr>
      <w:r>
        <w:rPr/>
        <w:t>④</w:t>
      </w:r>
      <w:r>
        <w:rPr>
          <w:spacing w:val="-24"/>
        </w:rPr>
        <w:t> </w:t>
      </w:r>
      <w:r>
        <w:rPr/>
        <w:t>子公司安徽佑赛科技有限公司期末应付银行承兑汇票金额</w:t>
      </w:r>
      <w:r>
        <w:rPr>
          <w:rFonts w:ascii="Times New Roman" w:hAnsi="Times New Roman" w:cs="Times New Roman" w:eastAsia="Times New Roman" w:hint="default"/>
        </w:rPr>
        <w:t>1,422,310.00</w:t>
      </w:r>
      <w:r>
        <w:rPr/>
        <w:t>元，票据保证金金额为</w:t>
      </w:r>
    </w:p>
    <w:p>
      <w:pPr>
        <w:pStyle w:val="Heading6"/>
        <w:spacing w:line="240" w:lineRule="auto" w:before="21"/>
        <w:ind w:left="589" w:right="0"/>
        <w:jc w:val="left"/>
      </w:pPr>
      <w:r>
        <w:rPr>
          <w:rFonts w:ascii="Times New Roman" w:hAnsi="Times New Roman" w:cs="Times New Roman" w:eastAsia="Times New Roman" w:hint="default"/>
        </w:rPr>
        <w:t>142,231.00</w:t>
      </w:r>
      <w:r>
        <w:rPr/>
        <w:t>元；银行保函金额</w:t>
      </w:r>
      <w:r>
        <w:rPr>
          <w:rFonts w:ascii="Times New Roman" w:hAnsi="Times New Roman" w:cs="Times New Roman" w:eastAsia="Times New Roman" w:hint="default"/>
        </w:rPr>
        <w:t>65,850.00</w:t>
      </w:r>
      <w:r>
        <w:rPr/>
        <w:t>元，保函保证金金额为</w:t>
      </w:r>
      <w:r>
        <w:rPr>
          <w:rFonts w:ascii="Times New Roman" w:hAnsi="Times New Roman" w:cs="Times New Roman" w:eastAsia="Times New Roman" w:hint="default"/>
        </w:rPr>
        <w:t>73,375.80</w:t>
      </w:r>
      <w:r>
        <w:rPr/>
        <w:t>元。</w:t>
      </w:r>
    </w:p>
    <w:p>
      <w:pPr>
        <w:pStyle w:val="Heading6"/>
        <w:spacing w:line="256" w:lineRule="auto" w:before="21"/>
        <w:ind w:right="0" w:firstLine="336"/>
        <w:jc w:val="left"/>
      </w:pPr>
      <w:r>
        <w:rPr/>
        <w:t>⑤</w:t>
      </w:r>
      <w:r>
        <w:rPr>
          <w:spacing w:val="24"/>
        </w:rPr>
        <w:t> </w:t>
      </w:r>
      <w:r>
        <w:rPr>
          <w:spacing w:val="17"/>
        </w:rPr>
        <w:t>子公司安徽鑫龙电力工程安装有限公司期末银行保函金额</w:t>
      </w:r>
      <w:r>
        <w:rPr>
          <w:spacing w:val="-78"/>
        </w:rPr>
        <w:t> </w:t>
      </w:r>
      <w:r>
        <w:rPr>
          <w:rFonts w:ascii="Times New Roman" w:hAnsi="Times New Roman" w:cs="Times New Roman" w:eastAsia="Times New Roman" w:hint="default"/>
        </w:rPr>
        <w:t>178,721.14</w:t>
      </w:r>
      <w:r>
        <w:rPr>
          <w:rFonts w:ascii="Times New Roman" w:hAnsi="Times New Roman" w:cs="Times New Roman" w:eastAsia="Times New Roman" w:hint="default"/>
          <w:spacing w:val="-31"/>
        </w:rPr>
        <w:t> </w:t>
      </w:r>
      <w:r>
        <w:rPr>
          <w:spacing w:val="9"/>
        </w:rPr>
        <w:t>元，</w:t>
      </w:r>
      <w:r>
        <w:rPr>
          <w:spacing w:val="-86"/>
        </w:rPr>
        <w:t> </w:t>
      </w:r>
      <w:r>
        <w:rPr>
          <w:spacing w:val="15"/>
        </w:rPr>
        <w:t>保函保证金金额为</w:t>
      </w:r>
      <w:r>
        <w:rPr/>
        <w:t> </w:t>
      </w:r>
      <w:r>
        <w:rPr>
          <w:rFonts w:ascii="Times New Roman" w:hAnsi="Times New Roman" w:cs="Times New Roman" w:eastAsia="Times New Roman" w:hint="default"/>
        </w:rPr>
        <w:t>178,721.14</w:t>
      </w:r>
      <w:r>
        <w:rPr/>
        <w:t>元。</w:t>
      </w:r>
    </w:p>
    <w:p>
      <w:pPr>
        <w:spacing w:line="256" w:lineRule="auto" w:before="125"/>
        <w:ind w:left="573" w:right="959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）贷款承诺</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5"/>
        <w:spacing w:line="240" w:lineRule="auto" w:before="142"/>
        <w:ind w:right="0"/>
        <w:jc w:val="left"/>
        <w:rPr>
          <w:b w:val="0"/>
          <w:bCs w:val="0"/>
        </w:rPr>
      </w:pPr>
      <w:r>
        <w:rPr>
          <w:rFonts w:ascii="Times New Roman" w:hAnsi="Times New Roman" w:cs="Times New Roman" w:eastAsia="Times New Roman" w:hint="default"/>
        </w:rPr>
        <w:t>5</w:t>
      </w:r>
      <w:r>
        <w:rPr/>
        <w:t>）其他或有负债（不包括极不可能导致经济利益流出企业的或有负债）</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十三、资产负债表日后事项" w:id="331"/>
      <w:bookmarkEnd w:id="331"/>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销售退回" w:id="332"/>
      <w:bookmarkEnd w:id="332"/>
      <w:r>
        <w:rPr>
          <w:b w:val="0"/>
          <w:bCs w:val="0"/>
        </w:rPr>
      </w:r>
      <w:r>
        <w:rPr>
          <w:rFonts w:ascii="Times New Roman" w:hAnsi="Times New Roman" w:cs="Times New Roman" w:eastAsia="Times New Roman" w:hint="default"/>
        </w:rPr>
        <w:t>1</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590" w:lineRule="atLeast" w:before="53"/>
        <w:ind w:left="574" w:right="0" w:hanging="420"/>
        <w:jc w:val="left"/>
        <w:rPr>
          <w:rFonts w:ascii="宋体" w:hAnsi="宋体" w:cs="宋体" w:eastAsia="宋体" w:hint="default"/>
          <w:sz w:val="21"/>
          <w:szCs w:val="21"/>
        </w:rPr>
      </w:pPr>
      <w:bookmarkStart w:name="2、其他资产负债表日后事项说明" w:id="333"/>
      <w:bookmarkEnd w:id="3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pacing w:val="-1"/>
          <w:sz w:val="21"/>
          <w:szCs w:val="21"/>
        </w:rPr>
        <w:t>除存在上述资产负债表日后事项外，截止财务报告日，本公司无其他应披露未披露的重大资产负债表</w:t>
      </w:r>
    </w:p>
    <w:p>
      <w:pPr>
        <w:pStyle w:val="Heading6"/>
        <w:spacing w:line="240" w:lineRule="auto" w:before="37"/>
        <w:ind w:left="154" w:right="0"/>
        <w:jc w:val="left"/>
      </w:pPr>
      <w:r>
        <w:rPr/>
        <w:t>日后事项的。</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3"/>
        <w:spacing w:line="240" w:lineRule="auto"/>
        <w:ind w:left="154" w:right="0"/>
        <w:jc w:val="left"/>
        <w:rPr>
          <w:b w:val="0"/>
          <w:bCs w:val="0"/>
        </w:rPr>
      </w:pPr>
      <w:bookmarkStart w:name="十四、其他重要事项" w:id="334"/>
      <w:bookmarkEnd w:id="334"/>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分部信息" w:id="335"/>
      <w:bookmarkEnd w:id="335"/>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报告分部的确定依据与会计政策" w:id="336"/>
      <w:bookmarkEnd w:id="33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18" w:firstLine="360"/>
        <w:jc w:val="left"/>
      </w:pPr>
      <w:r>
        <w:rPr>
          <w:spacing w:val="-2"/>
        </w:rPr>
        <w:t>本公司以内部组织结构、管理要求、内部报告制度为依据确定经营分部。本公司的经营分部是指同时满足下列条件的组</w:t>
      </w:r>
      <w:r>
        <w:rPr/>
        <w:t> 成部分：</w:t>
      </w:r>
    </w:p>
    <w:p>
      <w:pPr>
        <w:pStyle w:val="BodyText"/>
        <w:spacing w:line="240" w:lineRule="auto" w:before="17"/>
        <w:ind w:left="514" w:right="0"/>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63"/>
        <w:ind w:left="514" w:right="0"/>
        <w:jc w:val="left"/>
      </w:pP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240" w:lineRule="auto" w:before="63"/>
        <w:ind w:left="513" w:right="0"/>
        <w:jc w:val="left"/>
      </w:pPr>
      <w:r>
        <w:rPr>
          <w:rFonts w:ascii="Times New Roman" w:hAnsi="Times New Roman" w:cs="Times New Roman" w:eastAsia="Times New Roman" w:hint="default"/>
        </w:rPr>
        <w:t>3</w:t>
      </w:r>
      <w:r>
        <w:rPr/>
        <w:t>）能够取得该组成部分的财务状况、经营成果和现金流量等有关会计信息。</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firstLine="360"/>
        <w:jc w:val="left"/>
      </w:pPr>
      <w:r>
        <w:rPr>
          <w:spacing w:val="-2"/>
        </w:rPr>
        <w:t>本公司以业务类型为基础确定报告分部，与各分部共同使用的资产、负债、相关的费用按照收入比例在不同的分部之间</w:t>
      </w:r>
      <w:r>
        <w:rPr/>
        <w:t> 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0"/>
        <w:jc w:val="left"/>
        <w:rPr>
          <w:b w:val="0"/>
          <w:bCs w:val="0"/>
        </w:rPr>
      </w:pPr>
      <w:bookmarkStart w:name="（2）报告分部的财务信息" w:id="337"/>
      <w:bookmarkEnd w:id="33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030"/>
        <w:gridCol w:w="1769"/>
        <w:gridCol w:w="1871"/>
        <w:gridCol w:w="1859"/>
      </w:tblGrid>
      <w:tr>
        <w:trPr>
          <w:trHeight w:val="355" w:hRule="exact"/>
        </w:trPr>
        <w:tc>
          <w:tcPr>
            <w:tcW w:w="303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99"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r>
      <w:tr>
        <w:trPr>
          <w:trHeight w:val="353" w:hRule="exact"/>
        </w:trPr>
        <w:tc>
          <w:tcPr>
            <w:tcW w:w="3030" w:type="dxa"/>
            <w:vMerge/>
            <w:tcBorders>
              <w:left w:val="single" w:sz="6" w:space="0" w:color="000000"/>
              <w:bottom w:val="single" w:sz="12" w:space="0" w:color="000000"/>
              <w:right w:val="single" w:sz="6" w:space="0" w:color="000000"/>
            </w:tcBorders>
          </w:tcPr>
          <w:p>
            <w:pPr/>
          </w:p>
        </w:tc>
        <w:tc>
          <w:tcPr>
            <w:tcW w:w="1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5" w:right="0"/>
              <w:jc w:val="left"/>
              <w:rPr>
                <w:rFonts w:ascii="宋体" w:hAnsi="宋体" w:cs="宋体" w:eastAsia="宋体" w:hint="default"/>
                <w:sz w:val="18"/>
                <w:szCs w:val="18"/>
              </w:rPr>
            </w:pPr>
            <w:r>
              <w:rPr>
                <w:rFonts w:ascii="宋体" w:hAnsi="宋体" w:cs="宋体" w:eastAsia="宋体" w:hint="default"/>
                <w:sz w:val="18"/>
                <w:szCs w:val="18"/>
              </w:rPr>
              <w:t>制造业分部</w:t>
            </w:r>
          </w:p>
        </w:tc>
        <w:tc>
          <w:tcPr>
            <w:tcW w:w="18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77" w:right="0"/>
              <w:jc w:val="left"/>
              <w:rPr>
                <w:rFonts w:ascii="宋体" w:hAnsi="宋体" w:cs="宋体" w:eastAsia="宋体" w:hint="default"/>
                <w:sz w:val="18"/>
                <w:szCs w:val="18"/>
              </w:rPr>
            </w:pPr>
            <w:r>
              <w:rPr>
                <w:rFonts w:ascii="宋体" w:hAnsi="宋体" w:cs="宋体" w:eastAsia="宋体" w:hint="default"/>
                <w:sz w:val="18"/>
                <w:szCs w:val="18"/>
              </w:rPr>
              <w:t>服务业分部</w:t>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3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营业总收入</w:t>
            </w:r>
          </w:p>
        </w:tc>
        <w:tc>
          <w:tcPr>
            <w:tcW w:w="1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766,175,049.75</w:t>
            </w:r>
          </w:p>
        </w:tc>
        <w:tc>
          <w:tcPr>
            <w:tcW w:w="18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43,233,880.02</w:t>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809,408,929.77</w:t>
            </w:r>
          </w:p>
        </w:tc>
      </w:tr>
      <w:tr>
        <w:trPr>
          <w:trHeight w:val="352" w:hRule="exact"/>
        </w:trPr>
        <w:tc>
          <w:tcPr>
            <w:tcW w:w="3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营业总成本</w:t>
            </w:r>
          </w:p>
        </w:tc>
        <w:tc>
          <w:tcPr>
            <w:tcW w:w="1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759,142,315.61</w:t>
            </w:r>
          </w:p>
        </w:tc>
        <w:tc>
          <w:tcPr>
            <w:tcW w:w="18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34,340,431.60</w:t>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793,482,747.21</w:t>
            </w:r>
          </w:p>
        </w:tc>
      </w:tr>
      <w:tr>
        <w:trPr>
          <w:trHeight w:val="353" w:hRule="exact"/>
        </w:trPr>
        <w:tc>
          <w:tcPr>
            <w:tcW w:w="3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利润总额（亏损）</w:t>
            </w:r>
          </w:p>
        </w:tc>
        <w:tc>
          <w:tcPr>
            <w:tcW w:w="1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18,318,515.68</w:t>
            </w:r>
          </w:p>
        </w:tc>
        <w:tc>
          <w:tcPr>
            <w:tcW w:w="18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2,032,541.05</w:t>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20,351,056.73</w:t>
            </w:r>
          </w:p>
        </w:tc>
      </w:tr>
      <w:tr>
        <w:trPr>
          <w:trHeight w:val="352" w:hRule="exact"/>
        </w:trPr>
        <w:tc>
          <w:tcPr>
            <w:tcW w:w="3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净利润（亏损）</w:t>
            </w:r>
          </w:p>
        </w:tc>
        <w:tc>
          <w:tcPr>
            <w:tcW w:w="1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16,918,620.12</w:t>
            </w:r>
          </w:p>
        </w:tc>
        <w:tc>
          <w:tcPr>
            <w:tcW w:w="18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-264,128.27</w:t>
            </w:r>
            <w:r>
              <w:rPr>
                <w:rFonts w:ascii="Times New Roman"/>
                <w:sz w:val="18"/>
              </w:rPr>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16,654,491.85</w:t>
            </w:r>
          </w:p>
        </w:tc>
      </w:tr>
      <w:tr>
        <w:trPr>
          <w:trHeight w:val="352" w:hRule="exact"/>
        </w:trPr>
        <w:tc>
          <w:tcPr>
            <w:tcW w:w="3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资产总额</w:t>
            </w:r>
          </w:p>
        </w:tc>
        <w:tc>
          <w:tcPr>
            <w:tcW w:w="1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2,128,736,748.40</w:t>
            </w:r>
          </w:p>
        </w:tc>
        <w:tc>
          <w:tcPr>
            <w:tcW w:w="18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142,062,772.29</w:t>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2,270,799,520.69</w:t>
            </w:r>
          </w:p>
        </w:tc>
      </w:tr>
      <w:tr>
        <w:trPr>
          <w:trHeight w:val="353" w:hRule="exact"/>
        </w:trPr>
        <w:tc>
          <w:tcPr>
            <w:tcW w:w="3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负债总额</w:t>
            </w:r>
          </w:p>
        </w:tc>
        <w:tc>
          <w:tcPr>
            <w:tcW w:w="1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933,391,736.34</w:t>
            </w:r>
          </w:p>
        </w:tc>
        <w:tc>
          <w:tcPr>
            <w:tcW w:w="18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16,625,468.03</w:t>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950,017,204.37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5"/>
        <w:spacing w:line="240" w:lineRule="auto" w:before="35"/>
        <w:ind w:left="154" w:right="0"/>
        <w:jc w:val="left"/>
        <w:rPr>
          <w:b w:val="0"/>
          <w:bCs w:val="0"/>
        </w:rPr>
      </w:pPr>
      <w:bookmarkStart w:name="（3）其他说明" w:id="338"/>
      <w:bookmarkEnd w:id="33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spacing w:line="273" w:lineRule="auto" w:before="0"/>
        <w:ind w:left="573" w:right="1093" w:hanging="420"/>
        <w:jc w:val="left"/>
        <w:rPr>
          <w:rFonts w:ascii="宋体" w:hAnsi="宋体" w:cs="宋体" w:eastAsia="宋体" w:hint="default"/>
          <w:sz w:val="21"/>
          <w:szCs w:val="21"/>
        </w:rPr>
      </w:pPr>
      <w:r>
        <w:rPr>
          <w:rFonts w:ascii="宋体" w:hAnsi="宋体" w:cs="宋体" w:eastAsia="宋体" w:hint="default"/>
          <w:b/>
          <w:bCs/>
          <w:sz w:val="21"/>
          <w:szCs w:val="21"/>
        </w:rPr>
        <w:t>本公司确定报告分部考虑的因素、报告分部的产品和劳务的类型</w:t>
      </w:r>
      <w:r>
        <w:rPr>
          <w:rFonts w:ascii="宋体" w:hAnsi="宋体" w:cs="宋体" w:eastAsia="宋体" w:hint="default"/>
          <w:b/>
          <w:bCs/>
          <w:w w:val="99"/>
          <w:sz w:val="21"/>
          <w:szCs w:val="21"/>
        </w:rPr>
        <w:t> </w:t>
      </w:r>
      <w:r>
        <w:rPr>
          <w:rFonts w:ascii="宋体" w:hAnsi="宋体" w:cs="宋体" w:eastAsia="宋体" w:hint="default"/>
          <w:sz w:val="21"/>
          <w:szCs w:val="21"/>
        </w:rPr>
        <w:t>本公司的报告分部都是提供不同产品和劳务的业务单元。由于各种业务需要不同的技术和市场战略，</w:t>
      </w:r>
    </w:p>
    <w:p>
      <w:pPr>
        <w:pStyle w:val="Heading6"/>
        <w:spacing w:line="273" w:lineRule="auto"/>
        <w:ind w:right="1118"/>
        <w:jc w:val="left"/>
      </w:pPr>
      <w:r>
        <w:rPr>
          <w:spacing w:val="-1"/>
        </w:rPr>
        <w:t>因此本公司分别独立管理各个报告分部的生产经营活动，分别评价其经营成果，以决定向其配置资源、评</w:t>
      </w:r>
      <w:r>
        <w:rPr>
          <w:spacing w:val="-83"/>
        </w:rPr>
        <w:t> </w:t>
      </w:r>
      <w:r>
        <w:rPr>
          <w:spacing w:val="-83"/>
        </w:rPr>
      </w:r>
      <w:r>
        <w:rPr/>
        <w:t>价其业绩。</w:t>
      </w:r>
    </w:p>
    <w:p>
      <w:pPr>
        <w:pStyle w:val="Heading6"/>
        <w:spacing w:line="240" w:lineRule="auto"/>
        <w:ind w:right="0"/>
        <w:jc w:val="left"/>
      </w:pPr>
      <w:r>
        <w:rPr/>
        <w:t>本公司有</w:t>
      </w:r>
      <w:r>
        <w:rPr>
          <w:rFonts w:ascii="Times New Roman" w:hAnsi="Times New Roman" w:cs="Times New Roman" w:eastAsia="Times New Roman" w:hint="default"/>
        </w:rPr>
        <w:t>2</w:t>
      </w:r>
      <w:r>
        <w:rPr/>
        <w:t>个报告分部：制造业分部和服务业分部。</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left="154" w:right="0"/>
        <w:jc w:val="left"/>
        <w:rPr>
          <w:b w:val="0"/>
          <w:bCs w:val="0"/>
        </w:rPr>
      </w:pPr>
      <w:bookmarkStart w:name="2、其他" w:id="339"/>
      <w:bookmarkEnd w:id="339"/>
      <w:r>
        <w:rPr>
          <w:b w:val="0"/>
          <w:bCs w:val="0"/>
        </w:rPr>
      </w: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4"/>
          <w:szCs w:val="24"/>
        </w:rPr>
      </w:pPr>
    </w:p>
    <w:p>
      <w:pPr>
        <w:pStyle w:val="Heading6"/>
        <w:spacing w:line="273" w:lineRule="auto" w:before="0"/>
        <w:ind w:left="154" w:right="0" w:firstLine="420"/>
        <w:jc w:val="left"/>
      </w:pPr>
      <w:r>
        <w:rPr>
          <w:spacing w:val="-1"/>
        </w:rPr>
        <w:t>经公司第六届董事会第十次会议通过了的《关于筹划重大资产重组的议案》，同意公司筹划重大资产</w:t>
      </w:r>
      <w:r>
        <w:rPr/>
        <w:t> 重组事项。截止财务报告日，上述工作仍在筹划中。</w:t>
      </w:r>
    </w:p>
    <w:p>
      <w:pPr>
        <w:pStyle w:val="Heading6"/>
        <w:spacing w:line="240" w:lineRule="auto"/>
        <w:ind w:left="574" w:right="0"/>
        <w:jc w:val="left"/>
      </w:pPr>
      <w:r>
        <w:rPr/>
        <w:t>除上述情况外，截至本财务报告日止，无应披露未披露的其他重要事项。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3"/>
        <w:spacing w:line="240" w:lineRule="auto"/>
        <w:ind w:right="0"/>
        <w:jc w:val="left"/>
        <w:rPr>
          <w:b w:val="0"/>
          <w:bCs w:val="0"/>
        </w:rPr>
      </w:pPr>
      <w:bookmarkStart w:name="十五、母公司财务报表主要项目注释" w:id="340"/>
      <w:bookmarkEnd w:id="340"/>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账款" w:id="341"/>
      <w:bookmarkEnd w:id="34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342"/>
      <w:bookmarkEnd w:id="34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708,233,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866.95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62,086,8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24.79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646,147,0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719,460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,974.95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49,948,39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669,512,58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0.28</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708,233,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866.95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62,086,8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24.79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8.77%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646,147,0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42.16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719,460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,974.95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49,948,39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6.94%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669,512,58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0.28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397,077,506.28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11,912,325.19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191,845,704.90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19,184,570.49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95,239,451.91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19,047,890.38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23,884,077.46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11,942,038.73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708,046,740.55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62,086,824.79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本期计提、收回或转回的坏账准备情况" w:id="343"/>
      <w:bookmarkEnd w:id="3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12,138,430.12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按欠款方归集的期末余额前五吊的应收账款情况" w:id="344"/>
      <w:bookmarkEnd w:id="34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44"/>
        <w:gridCol w:w="1985"/>
        <w:gridCol w:w="1559"/>
        <w:gridCol w:w="1985"/>
      </w:tblGrid>
      <w:tr>
        <w:trPr>
          <w:trHeight w:val="667"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75" w:right="50"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中国铁建电气化局集团有限公司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17,908,217.80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2.77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1,048,438.62</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天津博通电力安装工程有限公司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15,758,855.00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2.44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472,765.65</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中国银行股份有限公司安徽省分行</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15,631,253.60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2.42</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1,401,205.98</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中铁电气化局集团有限公司厦深铁路</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13,686,998.00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2.12</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1,304,593.31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944"/>
        <w:gridCol w:w="1985"/>
        <w:gridCol w:w="1559"/>
        <w:gridCol w:w="1985"/>
      </w:tblGrid>
      <w:tr>
        <w:trPr>
          <w:trHeight w:val="355"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广东段四电系统集成项目经理部</w:t>
            </w:r>
          </w:p>
        </w:tc>
        <w:tc>
          <w:tcPr>
            <w:tcW w:w="1985"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南宁轨道交通集团有限责任公司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12,625,226.14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1.95</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378,756.78</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75,610,550.54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11.70</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4,605,760.34</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5"/>
        <w:ind w:left="154" w:right="0"/>
        <w:jc w:val="left"/>
        <w:rPr>
          <w:b w:val="0"/>
          <w:bCs w:val="0"/>
        </w:rPr>
      </w:pPr>
      <w:bookmarkStart w:name="2、其他应收款" w:id="345"/>
      <w:bookmarkEnd w:id="34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其他应收款分类披露" w:id="346"/>
      <w:bookmarkEnd w:id="34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25,821,3</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58.47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1,318,36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24,502,99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37,809,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134.39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1,765,266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36,043,868.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25,821,3</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58.47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1,318,36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24,502,99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3.83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37,809,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134.39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1,765,266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36,043,868.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14,361,398.35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430,841.95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5,089,241.20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508,924.12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579,684.38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115,936.88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525,323.37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262,661.69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20,555,647.30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1,318,364.64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38"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本期计提、收回或转回的坏账准备情况" w:id="347"/>
      <w:bookmarkEnd w:id="3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446,901.51</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19" w:space="2511"/>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其他应收款按款项性质分类情况" w:id="348"/>
      <w:bookmarkEnd w:id="348"/>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14,145,951.43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27,733,217.82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5,576,268.32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7,146,247.05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关联方资金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5,265,711.17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889,403.04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254,925.00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预付费用</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783,100.40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1,785,341.48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37,727.15</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25,821,358.47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37,809,134.39</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4）按欠款方归集的期末余额前五吊的其他应收款情况" w:id="349"/>
      <w:bookmarkEnd w:id="349"/>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芜湖市鸠江区财政局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工期保证金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2,586,499.00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258,649.90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河北宏信招标有限公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山东齐信招标有限公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30,378.00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陕西省采购招标有限 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广州公共资源交易中 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5,849,099.00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356,527.90</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长期股权投资" w:id="350"/>
      <w:bookmarkEnd w:id="35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698,470,461.07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698,470,461.07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525,309,569.65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525,309,569.65</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696,291.93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696,291.93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698,470,461.07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698,470,461.07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526,005,861.58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526,005,861.58</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1）对子公司投资" w:id="351"/>
      <w:bookmarkEnd w:id="35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安徽森源电器有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296,850,178.48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296,850,178.48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安徽鑫龙低压电 器有限公司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50,514,452.25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100,514,452.25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安徽鑫龙自动化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30,764,472.08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30,764,472.08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安徽鑫龙变压器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3,154,784.31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3,154,784.31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安徽鑫龙电器元 件销售有限公司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4,479,262.50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4,479,262.50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安徽鑫龙电力工 程安装有限公司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30,146,420.03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30,146,420.03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安徽佑赛科技有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安徽鑫东投资管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亳州鑫龙电气有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123,160,891.42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123,160,891.42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525,309,569.65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173,160,891.42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698,470,461.07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对联营、合营企业投资" w:id="352"/>
      <w:bookmarkEnd w:id="35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湖北祥华 鑫龙电力 发展股份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696,291.9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-53,708.0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696,291.9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-53,708.0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696,291.9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-53,708.0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营业收入和营业成本" w:id="353"/>
      <w:bookmarkEnd w:id="35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669,417,342.36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474,853,624.87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858,083,277.20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613,118,138.15</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2,883,902.52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68,214.20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5,569,346.89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146,846.81</w:t>
            </w: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672,301,244.88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474,921,839.07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863,652,624.09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613,264,984.96</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投资收益" w:id="354"/>
      <w:bookmarkEnd w:id="35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-53,708.07</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-11,513.93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134,486.07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92,291.93</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十六、补充资料" w:id="355"/>
      <w:bookmarkEnd w:id="355"/>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当期非经常性损益明细表" w:id="356"/>
      <w:bookmarkEnd w:id="35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-116,962.49</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11,199,340.42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6,062.25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76,489.21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1,677,469.10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72,187.72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9,415,272.57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净资产收益率及每股收益" w:id="357"/>
      <w:bookmarkEnd w:id="35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0.0362</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0.0135</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3、其他" w:id="358"/>
      <w:bookmarkEnd w:id="358"/>
      <w:r>
        <w:rPr>
          <w:b w:val="0"/>
          <w:bCs w:val="0"/>
        </w:rPr>
      </w:r>
      <w:r>
        <w:rPr>
          <w:rFonts w:ascii="Times New Roman" w:hAnsi="Times New Roman" w:cs="Times New Roman" w:eastAsia="Times New Roman" w:hint="default"/>
        </w:rPr>
        <w:t>3</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359"/>
      <w:bookmarkStart w:name="第十二节 备查文件目录" w:id="360"/>
      <w:r>
        <w:rPr>
          <w:b w:val="0"/>
          <w:bCs w:val="0"/>
        </w:rPr>
      </w:r>
      <w:r>
        <w:rPr/>
        <w:t>第十二节</w:t>
      </w:r>
      <w:r>
        <w:rPr>
          <w:spacing w:val="-8"/>
        </w:rPr>
        <w:t> </w:t>
      </w:r>
      <w:r>
        <w:rPr/>
        <w:t>备查文件目录</w:t>
      </w:r>
      <w:bookmarkEnd w:id="359"/>
      <w:r>
        <w:rPr>
          <w:b w:val="0"/>
          <w:bCs w:val="0"/>
        </w:rPr>
      </w:r>
    </w:p>
    <w:p>
      <w:pPr>
        <w:spacing w:line="240" w:lineRule="auto" w:before="12"/>
        <w:rPr>
          <w:rFonts w:ascii="宋体" w:hAnsi="宋体" w:cs="宋体" w:eastAsia="宋体" w:hint="default"/>
          <w:b/>
          <w:bCs/>
          <w:sz w:val="38"/>
          <w:szCs w:val="38"/>
        </w:rPr>
      </w:pPr>
    </w:p>
    <w:p>
      <w:pPr>
        <w:pStyle w:val="Heading4"/>
        <w:spacing w:line="237" w:lineRule="auto"/>
        <w:ind w:right="1393"/>
        <w:jc w:val="left"/>
      </w:pPr>
      <w:r>
        <w:rPr/>
        <w:t>一、载有公司法定代表人、主管财务负责人及会计机构负责人签名并盖章的会计报表。 二、载有会计师事务所盖章、注册会计师签名并盖章的审计报告原件。 三、报告期内在中国证监会指定报纸上公开披露过的所有公司文件的正本及公告的原稿。 四、备查文件备置地点：董事会办公室。</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2"/>
          <w:szCs w:val="32"/>
        </w:rPr>
      </w:pPr>
    </w:p>
    <w:p>
      <w:pPr>
        <w:pStyle w:val="Heading4"/>
        <w:spacing w:line="388" w:lineRule="auto"/>
        <w:ind w:left="5554" w:right="2514" w:hanging="42"/>
        <w:jc w:val="left"/>
      </w:pPr>
      <w:r>
        <w:rPr/>
        <w:t>安徽鑫龙电器股份有限公司 董事长：束龙胜</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Heading4"/>
        <w:spacing w:line="240" w:lineRule="auto"/>
        <w:ind w:left="5554" w:right="0"/>
        <w:jc w:val="left"/>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2976" type="#_x0000_t75" stroked="false">
          <v:imagedata r:id="rId1" o:title=""/>
        </v:shape>
      </w:pict>
    </w:r>
    <w:r>
      <w:rPr/>
      <w:pict>
        <v:shape style="position:absolute;margin-left:533.179993pt;margin-top:795.517944pt;width:6.5pt;height:11pt;mso-position-horizontal-relative:page;mso-position-vertical-relative:page;z-index:-8529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2928" type="#_x0000_t75" stroked="false">
          <v:imagedata r:id="rId1" o:title=""/>
        </v:shape>
      </w:pict>
    </w:r>
    <w:r>
      <w:rPr/>
      <w:pict>
        <v:shape style="position:absolute;margin-left:527.679993pt;margin-top:781.957947pt;width:13pt;height:11pt;mso-position-horizontal-relative:page;mso-position-vertical-relative:page;z-index:-852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2880" type="#_x0000_t75" stroked="false">
          <v:imagedata r:id="rId1" o:title=""/>
        </v:shape>
      </w:pict>
    </w:r>
    <w:r>
      <w:rPr/>
      <w:pict>
        <v:shape style="position:absolute;margin-left:524.179993pt;margin-top:781.957947pt;width:15.5pt;height:11pt;mso-position-horizontal-relative:page;mso-position-vertical-relative:page;z-index:-8528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2832" type="#_x0000_t75" stroked="false">
          <v:imagedata r:id="rId1" o:title=""/>
        </v:shape>
      </w:pict>
    </w:r>
    <w:r>
      <w:rPr/>
      <w:pict>
        <v:shape style="position:absolute;margin-left:523.179993pt;margin-top:781.957947pt;width:17.5pt;height:11pt;mso-position-horizontal-relative:page;mso-position-vertical-relative:page;z-index:-852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53000" type="#_x0000_t202" filled="false" stroked="false">
          <v:textbox inset="0,0,0,0">
            <w:txbxContent>
              <w:p>
                <w:pPr>
                  <w:pStyle w:val="BodyText"/>
                  <w:spacing w:line="214" w:lineRule="exact"/>
                  <w:ind w:left="20" w:right="0"/>
                  <w:jc w:val="left"/>
                </w:pPr>
                <w:r>
                  <w:rPr/>
                  <w:t>安徽鑫龙电器股份有限公司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spacing w:before="61"/>
      <w:ind w:left="153"/>
      <w:outlineLvl w:val="2"/>
    </w:pPr>
    <w:rPr>
      <w:rFonts w:ascii="宋体" w:hAnsi="宋体" w:eastAsia="宋体"/>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ind w:left="153"/>
      <w:outlineLvl w:val="4"/>
    </w:pPr>
    <w:rPr>
      <w:rFonts w:ascii="宋体" w:hAnsi="宋体" w:eastAsia="宋体"/>
      <w:sz w:val="24"/>
      <w:szCs w:val="24"/>
    </w:rPr>
  </w:style>
  <w:style w:styleId="Heading5" w:type="paragraph">
    <w:name w:val="Heading 5"/>
    <w:basedOn w:val="Normal"/>
    <w:uiPriority w:val="1"/>
    <w:qFormat/>
    <w:pPr>
      <w:ind w:left="153"/>
      <w:outlineLvl w:val="5"/>
    </w:pPr>
    <w:rPr>
      <w:rFonts w:ascii="宋体" w:hAnsi="宋体" w:eastAsia="宋体"/>
      <w:b/>
      <w:bCs/>
      <w:sz w:val="21"/>
      <w:szCs w:val="21"/>
    </w:rPr>
  </w:style>
  <w:style w:styleId="Heading6" w:type="paragraph">
    <w:name w:val="Heading 6"/>
    <w:basedOn w:val="Normal"/>
    <w:uiPriority w:val="1"/>
    <w:qFormat/>
    <w:pPr>
      <w:spacing w:before="7"/>
      <w:ind w:left="153"/>
      <w:outlineLvl w:val="6"/>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ah-xinlong.com/" TargetMode="External"/><Relationship Id="rId11" Type="http://schemas.openxmlformats.org/officeDocument/2006/relationships/hyperlink" Target="mailto:xinlongdsb@126.com" TargetMode="External"/><Relationship Id="rId12" Type="http://schemas.openxmlformats.org/officeDocument/2006/relationships/hyperlink" Target="mailto:zhuwen888@126.com" TargetMode="External"/><Relationship Id="rId13" Type="http://schemas.openxmlformats.org/officeDocument/2006/relationships/hyperlink" Target="http://w/"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cninfo.com/" TargetMode="External"/><Relationship Id="rId18" Type="http://schemas.openxmlformats.org/officeDocument/2006/relationships/footer" Target="footer3.xml"/><Relationship Id="rId1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2020-05-06T16:45:58Z</dcterms:created>
  <dcterms:modified xsi:type="dcterms:W3CDTF">2020-05-06T16:45:58Z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Creator">
    <vt:lpwstr>Microsoft® Office Word 2007</vt:lpwstr>
  </property>
  <property fmtid="{D5CDD505-2E9C-101B-9397-08002B2CF9AE}" pid="4" name="LastSaved">
    <vt:filetime>2020-05-06T00:00:00Z</vt:filetime>
  </property>
</Properties>
</file>