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27" w:lineRule="exact"/>
        <w:ind w:left="34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4"/>
          <w:sz w:val="20"/>
          <w:szCs w:val="20"/>
        </w:rPr>
        <w:drawing>
          <wp:inline distT="0" distB="0" distL="0" distR="0">
            <wp:extent cx="1911212" cy="141446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911212" cy="1414462"/>
                    </a:xfrm>
                    <a:prstGeom prst="rect">
                      <a:avLst/>
                    </a:prstGeom>
                  </pic:spPr>
                </pic:pic>
              </a:graphicData>
            </a:graphic>
          </wp:inline>
        </w:drawing>
      </w:r>
      <w:r>
        <w:rPr>
          <w:rFonts w:ascii="Times New Roman" w:hAnsi="Times New Roman" w:cs="Times New Roman" w:eastAsia="Times New Roman" w:hint="default"/>
          <w:position w:val="-44"/>
          <w:sz w:val="20"/>
          <w:szCs w:val="20"/>
        </w:rPr>
      </w:r>
    </w:p>
    <w:p>
      <w:pPr>
        <w:spacing w:line="240" w:lineRule="auto" w:before="10"/>
        <w:rPr>
          <w:rFonts w:ascii="Times New Roman" w:hAnsi="Times New Roman" w:cs="Times New Roman" w:eastAsia="Times New Roman" w:hint="default"/>
          <w:sz w:val="12"/>
          <w:szCs w:val="12"/>
        </w:rPr>
      </w:pPr>
    </w:p>
    <w:p>
      <w:pPr>
        <w:spacing w:line="460" w:lineRule="exact" w:before="0"/>
        <w:ind w:left="1882" w:right="2860" w:firstLine="0"/>
        <w:jc w:val="center"/>
        <w:rPr>
          <w:rFonts w:ascii="宋体" w:hAnsi="宋体" w:cs="宋体" w:eastAsia="宋体" w:hint="default"/>
          <w:sz w:val="36"/>
          <w:szCs w:val="36"/>
        </w:rPr>
      </w:pPr>
      <w:r>
        <w:rPr>
          <w:rFonts w:ascii="宋体" w:hAnsi="宋体" w:cs="宋体" w:eastAsia="宋体" w:hint="default"/>
          <w:b/>
          <w:bCs/>
          <w:sz w:val="36"/>
          <w:szCs w:val="36"/>
        </w:rPr>
        <w:t>安徽中电兴发与鑫龙科技股份有限公司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881" w:right="28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882" w:right="285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34"/>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386" w:lineRule="auto" w:before="161"/>
        <w:ind w:right="1132" w:firstLine="562"/>
        <w:jc w:val="both"/>
        <w:rPr>
          <w:b w:val="0"/>
          <w:bCs w:val="0"/>
        </w:rPr>
      </w:pPr>
      <w:r>
        <w:rPr>
          <w:w w:val="95"/>
        </w:rPr>
        <w:t>公司负责人束龙胜、主管会计工作负责人陶黎明及会计机构负责人</w:t>
      </w:r>
      <w:r>
        <w:rPr>
          <w:rFonts w:ascii="Times New Roman" w:hAnsi="Times New Roman" w:cs="Times New Roman" w:eastAsia="Times New Roman" w:hint="default"/>
          <w:w w:val="95"/>
        </w:rPr>
        <w:t>(</w:t>
      </w:r>
      <w:r>
        <w:rPr>
          <w:w w:val="95"/>
        </w:rPr>
        <w:t>会计主</w:t>
      </w:r>
      <w:r>
        <w:rPr>
          <w:spacing w:val="1"/>
          <w:w w:val="99"/>
        </w:rPr>
        <w:t> </w:t>
      </w:r>
      <w:r>
        <w:rPr/>
        <w:t>管人员</w:t>
      </w:r>
      <w:r>
        <w:rPr>
          <w:rFonts w:ascii="Times New Roman" w:hAnsi="Times New Roman" w:cs="Times New Roman" w:eastAsia="Times New Roman" w:hint="default"/>
        </w:rPr>
        <w:t>)</w:t>
      </w:r>
      <w:r>
        <w:rPr/>
        <w:t>杨勇声明：保证年度报告中财务报告的真实、准确、完整。</w:t>
      </w:r>
      <w:r>
        <w:rPr>
          <w:b w:val="0"/>
          <w:bCs w:val="0"/>
        </w:rPr>
      </w:r>
    </w:p>
    <w:p>
      <w:pPr>
        <w:pStyle w:val="Heading2"/>
        <w:spacing w:line="240" w:lineRule="auto" w:before="147"/>
        <w:ind w:left="715" w:right="1034"/>
        <w:jc w:val="left"/>
        <w:rPr>
          <w:b w:val="0"/>
          <w:bCs w:val="0"/>
        </w:rPr>
      </w:pPr>
      <w:r>
        <w:rPr/>
        <w:t>所有董事均已出席了审议本报告的董事会会议。</w:t>
      </w:r>
      <w:r>
        <w:rPr>
          <w:b w:val="0"/>
          <w:bCs w:val="0"/>
        </w:rPr>
      </w:r>
    </w:p>
    <w:p>
      <w:pPr>
        <w:spacing w:line="240" w:lineRule="auto" w:before="3"/>
        <w:rPr>
          <w:rFonts w:ascii="宋体" w:hAnsi="宋体" w:cs="宋体" w:eastAsia="宋体" w:hint="default"/>
          <w:b/>
          <w:bCs/>
          <w:sz w:val="27"/>
          <w:szCs w:val="27"/>
        </w:rPr>
      </w:pPr>
    </w:p>
    <w:p>
      <w:pPr>
        <w:pStyle w:val="Heading2"/>
        <w:spacing w:line="400" w:lineRule="auto"/>
        <w:ind w:right="1133" w:firstLine="562"/>
        <w:jc w:val="both"/>
        <w:rPr>
          <w:b w:val="0"/>
          <w:bCs w:val="0"/>
        </w:rPr>
      </w:pPr>
      <w:r>
        <w:rPr>
          <w:rFonts w:ascii="Times New Roman" w:hAnsi="Times New Roman" w:cs="Times New Roman" w:eastAsia="Times New Roman" w:hint="default"/>
          <w:spacing w:val="-2"/>
        </w:rPr>
        <w:t>1</w:t>
      </w:r>
      <w:r>
        <w:rPr>
          <w:spacing w:val="-2"/>
        </w:rPr>
        <w:t>、行业竞争风险。公司致力于公共安全与反恐、智慧城市、输配电及控制</w:t>
      </w:r>
      <w:r>
        <w:rPr>
          <w:w w:val="99"/>
        </w:rPr>
        <w:t> </w:t>
      </w:r>
      <w:r>
        <w:rPr>
          <w:spacing w:val="3"/>
          <w:w w:val="95"/>
        </w:rPr>
        <w:t>设备制造业、电力设计及新能源等行业，但随着所处的行业内竞争对手增多以</w:t>
      </w:r>
      <w:r>
        <w:rPr>
          <w:spacing w:val="23"/>
          <w:w w:val="95"/>
        </w:rPr>
        <w:t> </w:t>
      </w:r>
      <w:r>
        <w:rPr>
          <w:spacing w:val="23"/>
          <w:w w:val="95"/>
        </w:rPr>
      </w:r>
      <w:r>
        <w:rPr>
          <w:spacing w:val="3"/>
          <w:w w:val="95"/>
        </w:rPr>
        <w:t>及竞争对手技术水平的提高，面临企业并存的市场竞争格局，公司的产品与服</w:t>
      </w:r>
      <w:r>
        <w:rPr>
          <w:spacing w:val="23"/>
          <w:w w:val="95"/>
        </w:rPr>
        <w:t> </w:t>
      </w:r>
      <w:r>
        <w:rPr>
          <w:spacing w:val="23"/>
          <w:w w:val="95"/>
        </w:rPr>
      </w:r>
      <w:r>
        <w:rPr>
          <w:spacing w:val="-1"/>
          <w:w w:val="95"/>
        </w:rPr>
        <w:t>务将面临趋于激烈的市场竞争，仍将面临一定的行业竞争压力。</w:t>
      </w:r>
      <w:r>
        <w:rPr>
          <w:rFonts w:ascii="Times New Roman" w:hAnsi="Times New Roman" w:cs="Times New Roman" w:eastAsia="Times New Roman" w:hint="default"/>
          <w:spacing w:val="-1"/>
          <w:w w:val="95"/>
        </w:rPr>
        <w:t>2</w:t>
      </w:r>
      <w:r>
        <w:rPr>
          <w:spacing w:val="-1"/>
          <w:w w:val="95"/>
        </w:rPr>
        <w:t>、并购整合风</w:t>
      </w:r>
      <w:r>
        <w:rPr>
          <w:spacing w:val="34"/>
          <w:w w:val="95"/>
        </w:rPr>
        <w:t> </w:t>
      </w:r>
      <w:r>
        <w:rPr>
          <w:spacing w:val="34"/>
          <w:w w:val="95"/>
        </w:rPr>
      </w:r>
      <w:r>
        <w:rPr>
          <w:spacing w:val="3"/>
          <w:w w:val="95"/>
        </w:rPr>
        <w:t>险。由于市场定位、市场策略、销售策略、品牌的差异带来的影响以及并购后</w:t>
      </w:r>
      <w:r>
        <w:rPr>
          <w:spacing w:val="23"/>
          <w:w w:val="95"/>
        </w:rPr>
        <w:t> </w:t>
      </w:r>
      <w:r>
        <w:rPr>
          <w:spacing w:val="23"/>
          <w:w w:val="95"/>
        </w:rPr>
      </w:r>
      <w:r>
        <w:rPr>
          <w:spacing w:val="3"/>
          <w:w w:val="95"/>
        </w:rPr>
        <w:t>新的企业在经营管理、组织设置、团队磨合、内部控制、人才引进等方面存在</w:t>
      </w:r>
      <w:r>
        <w:rPr>
          <w:spacing w:val="28"/>
          <w:w w:val="95"/>
        </w:rPr>
        <w:t> </w:t>
      </w:r>
      <w:r>
        <w:rPr>
          <w:spacing w:val="28"/>
          <w:w w:val="95"/>
        </w:rPr>
      </w:r>
      <w:r>
        <w:rPr>
          <w:spacing w:val="-2"/>
        </w:rPr>
        <w:t>一定的风险和挑战。</w:t>
      </w:r>
      <w:r>
        <w:rPr>
          <w:rFonts w:ascii="Times New Roman" w:hAnsi="Times New Roman" w:cs="Times New Roman" w:eastAsia="Times New Roman" w:hint="default"/>
          <w:spacing w:val="-2"/>
        </w:rPr>
        <w:t>3</w:t>
      </w:r>
      <w:r>
        <w:rPr>
          <w:spacing w:val="-2"/>
        </w:rPr>
        <w:t>、不可控因素带来的其他风险。股票市场价格波动不仅取</w:t>
      </w:r>
      <w:r>
        <w:rPr>
          <w:w w:val="99"/>
        </w:rPr>
        <w:t> </w:t>
      </w:r>
      <w:r>
        <w:rPr>
          <w:spacing w:val="3"/>
          <w:w w:val="95"/>
        </w:rPr>
        <w:t>决于上市公司的发展战略和经营业绩，还受宏观经济周期、利率、资金供求关</w:t>
      </w:r>
      <w:r>
        <w:rPr>
          <w:spacing w:val="23"/>
          <w:w w:val="95"/>
        </w:rPr>
        <w:t> </w:t>
      </w:r>
      <w:r>
        <w:rPr>
          <w:spacing w:val="23"/>
          <w:w w:val="95"/>
        </w:rPr>
      </w:r>
      <w:r>
        <w:rPr>
          <w:spacing w:val="3"/>
          <w:w w:val="95"/>
        </w:rPr>
        <w:t>系等众多因素的影响，同时也会因国际、国内政治经济形势及投资者心理因素</w:t>
      </w:r>
      <w:r>
        <w:rPr>
          <w:spacing w:val="23"/>
          <w:w w:val="95"/>
        </w:rPr>
        <w:t> </w:t>
      </w:r>
      <w:r>
        <w:rPr>
          <w:spacing w:val="23"/>
          <w:w w:val="95"/>
        </w:rPr>
      </w:r>
      <w:r>
        <w:rPr>
          <w:spacing w:val="-2"/>
        </w:rPr>
        <w:t>的变化而产生波动。</w:t>
      </w:r>
      <w:r>
        <w:rPr>
          <w:rFonts w:ascii="Times New Roman" w:hAnsi="Times New Roman" w:cs="Times New Roman" w:eastAsia="Times New Roman" w:hint="default"/>
          <w:spacing w:val="-2"/>
        </w:rPr>
        <w:t>4</w:t>
      </w:r>
      <w:r>
        <w:rPr>
          <w:spacing w:val="-2"/>
        </w:rPr>
        <w:t>、报告期内，公司启动了筹划非公开发行股票的事项，公</w:t>
      </w:r>
      <w:r>
        <w:rPr>
          <w:w w:val="99"/>
        </w:rPr>
        <w:t> </w:t>
      </w:r>
      <w:r>
        <w:rPr/>
        <w:t>司于</w:t>
      </w:r>
      <w:r>
        <w:rPr>
          <w:spacing w:val="-8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spacing w:val="-8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85"/>
        </w:rPr>
        <w:t> </w:t>
      </w:r>
      <w:r>
        <w:rPr>
          <w:rFonts w:ascii="Times New Roman" w:hAnsi="Times New Roman" w:cs="Times New Roman" w:eastAsia="Times New Roman" w:hint="default"/>
        </w:rPr>
        <w:t>14</w:t>
      </w:r>
      <w:r>
        <w:rPr>
          <w:rFonts w:ascii="Times New Roman" w:hAnsi="Times New Roman" w:cs="Times New Roman" w:eastAsia="Times New Roman" w:hint="default"/>
          <w:spacing w:val="-14"/>
        </w:rPr>
        <w:t> </w:t>
      </w:r>
      <w:r>
        <w:rPr/>
        <w:t>日披露了《关于筹划非公开发行股票事项停牌的公告》并</w:t>
      </w:r>
      <w:r>
        <w:rPr>
          <w:b w:val="0"/>
          <w:bCs w:val="0"/>
        </w:rPr>
      </w:r>
    </w:p>
    <w:p>
      <w:pPr>
        <w:pStyle w:val="Heading2"/>
        <w:spacing w:line="386" w:lineRule="auto" w:before="29"/>
        <w:ind w:right="1034"/>
        <w:jc w:val="left"/>
        <w:rPr>
          <w:b w:val="0"/>
          <w:bCs w:val="0"/>
        </w:rPr>
      </w:pPr>
      <w:r>
        <w:rPr/>
        <w:t>于</w:t>
      </w:r>
      <w:r>
        <w:rPr>
          <w:spacing w:val="-8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w:t>
      </w:r>
      <w:r>
        <w:rPr>
          <w:spacing w:val="-8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85"/>
        </w:rPr>
        <w:t> </w:t>
      </w:r>
      <w:r>
        <w:rPr>
          <w:rFonts w:ascii="Times New Roman" w:hAnsi="Times New Roman" w:cs="Times New Roman" w:eastAsia="Times New Roman" w:hint="default"/>
        </w:rPr>
        <w:t>21</w:t>
      </w:r>
      <w:r>
        <w:rPr>
          <w:rFonts w:ascii="Times New Roman" w:hAnsi="Times New Roman" w:cs="Times New Roman" w:eastAsia="Times New Roman" w:hint="default"/>
          <w:spacing w:val="-15"/>
        </w:rPr>
        <w:t> </w:t>
      </w:r>
      <w:r>
        <w:rPr/>
        <w:t>日召开了第六届董事会第二十一次会议与第六届监事会第十</w:t>
      </w:r>
      <w:r>
        <w:rPr>
          <w:w w:val="99"/>
        </w:rPr>
        <w:t> </w:t>
      </w:r>
      <w:r>
        <w:rPr>
          <w:spacing w:val="3"/>
          <w:w w:val="95"/>
        </w:rPr>
        <w:t>七次会议，披露了《非公开发行股票预案》等公告。本次筹划非公开发行股票</w:t>
      </w:r>
      <w:r>
        <w:rPr>
          <w:b w:val="0"/>
          <w:bCs w:val="0"/>
          <w:spacing w:val="3"/>
        </w:rPr>
      </w:r>
    </w:p>
    <w:p>
      <w:pPr>
        <w:spacing w:after="0" w:line="386"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pStyle w:val="Heading2"/>
        <w:spacing w:line="386" w:lineRule="auto" w:before="13"/>
        <w:ind w:right="1034"/>
        <w:jc w:val="left"/>
        <w:rPr>
          <w:b w:val="0"/>
          <w:bCs w:val="0"/>
        </w:rPr>
      </w:pPr>
      <w:r>
        <w:rPr>
          <w:spacing w:val="-1"/>
          <w:w w:val="95"/>
        </w:rPr>
        <w:t>事项，尚存较大不确定性，敬请广大投资者注意投资风险。</w:t>
      </w:r>
      <w:r>
        <w:rPr>
          <w:rFonts w:ascii="Times New Roman" w:hAnsi="Times New Roman" w:cs="Times New Roman" w:eastAsia="Times New Roman" w:hint="default"/>
          <w:spacing w:val="-1"/>
          <w:w w:val="95"/>
        </w:rPr>
        <w:t>5</w:t>
      </w:r>
      <w:r>
        <w:rPr>
          <w:spacing w:val="-1"/>
          <w:w w:val="95"/>
        </w:rPr>
        <w:t>、本公司选定的信</w:t>
      </w:r>
      <w:r>
        <w:rPr>
          <w:spacing w:val="32"/>
          <w:w w:val="95"/>
        </w:rPr>
        <w:t> </w:t>
      </w:r>
      <w:r>
        <w:rPr>
          <w:spacing w:val="32"/>
          <w:w w:val="95"/>
        </w:rPr>
      </w:r>
      <w:r>
        <w:rPr>
          <w:spacing w:val="3"/>
          <w:w w:val="99"/>
        </w:rPr>
        <w:t>息披露媒体为《中国证券报》、《证券时报》、《上海证券报》和巨潮资讯网</w:t>
      </w:r>
      <w:r>
        <w:rPr>
          <w:b w:val="0"/>
          <w:bCs w:val="0"/>
          <w:spacing w:val="3"/>
        </w:rPr>
      </w:r>
    </w:p>
    <w:p>
      <w:pPr>
        <w:pStyle w:val="Heading2"/>
        <w:spacing w:line="386" w:lineRule="auto" w:before="87"/>
        <w:ind w:right="1034"/>
        <w:jc w:val="left"/>
        <w:rPr>
          <w:b w:val="0"/>
          <w:bCs w:val="0"/>
        </w:rPr>
      </w:pPr>
      <w:r>
        <w:rPr>
          <w:spacing w:val="-4"/>
          <w:w w:val="99"/>
        </w:rPr>
        <w:t>（</w:t>
      </w:r>
      <w:hyperlink r:id="rId9">
        <w:r>
          <w:rPr>
            <w:rFonts w:ascii="Times New Roman" w:hAnsi="Times New Roman" w:cs="Times New Roman" w:eastAsia="Times New Roman" w:hint="default"/>
            <w:spacing w:val="-4"/>
            <w:w w:val="99"/>
          </w:rPr>
          <w:t>http://www.cninfo.com.cn</w:t>
        </w:r>
      </w:hyperlink>
      <w:r>
        <w:rPr>
          <w:spacing w:val="-4"/>
          <w:w w:val="99"/>
        </w:rPr>
        <w:t>），公司所有信息均以在上述选定媒体刊登的信息为</w:t>
      </w:r>
      <w:r>
        <w:rPr>
          <w:spacing w:val="-138"/>
          <w:w w:val="99"/>
        </w:rPr>
        <w:t> </w:t>
      </w:r>
      <w:r>
        <w:rPr>
          <w:spacing w:val="-138"/>
          <w:w w:val="99"/>
        </w:rPr>
      </w:r>
      <w:r>
        <w:rPr/>
        <w:t>准，敬请投资者注意投资风险。</w:t>
      </w:r>
      <w:r>
        <w:rPr>
          <w:b w:val="0"/>
          <w:bCs w:val="0"/>
        </w:rPr>
      </w:r>
    </w:p>
    <w:p>
      <w:pPr>
        <w:pStyle w:val="Heading2"/>
        <w:spacing w:line="408" w:lineRule="auto" w:before="185"/>
        <w:ind w:right="1034" w:firstLine="562"/>
        <w:jc w:val="left"/>
        <w:rPr>
          <w:b w:val="0"/>
          <w:bCs w:val="0"/>
        </w:rPr>
      </w:pPr>
      <w:r>
        <w:rPr>
          <w:spacing w:val="3"/>
          <w:w w:val="95"/>
        </w:rPr>
        <w:t>公司经本次董事会审议通过的利润分配预案为：以公司总股本为基数，向</w:t>
      </w:r>
      <w:r>
        <w:rPr>
          <w:w w:val="99"/>
        </w:rPr>
        <w:t> 全体股东每</w:t>
      </w:r>
      <w:r>
        <w:rPr>
          <w:spacing w:val="-64"/>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4"/>
          <w:w w:val="99"/>
        </w:rPr>
        <w:t> </w:t>
      </w:r>
      <w:r>
        <w:rPr>
          <w:w w:val="99"/>
        </w:rPr>
        <w:t>股派发现金红利</w:t>
      </w:r>
      <w:r>
        <w:rPr>
          <w:spacing w:val="-64"/>
          <w:w w:val="99"/>
        </w:rPr>
        <w:t> </w:t>
      </w:r>
      <w:r>
        <w:rPr>
          <w:rFonts w:ascii="Times New Roman" w:hAnsi="Times New Roman" w:cs="Times New Roman" w:eastAsia="Times New Roman" w:hint="default"/>
          <w:w w:val="99"/>
        </w:rPr>
        <w:t>0.32</w:t>
      </w:r>
      <w:r>
        <w:rPr>
          <w:rFonts w:ascii="Times New Roman" w:hAnsi="Times New Roman" w:cs="Times New Roman" w:eastAsia="Times New Roman" w:hint="default"/>
          <w:spacing w:val="3"/>
          <w:w w:val="99"/>
        </w:rPr>
        <w:t> </w:t>
      </w:r>
      <w:r>
        <w:rPr>
          <w:spacing w:val="-23"/>
          <w:w w:val="99"/>
        </w:rPr>
        <w:t>元（含税），送红股</w:t>
      </w:r>
      <w:r>
        <w:rPr>
          <w:spacing w:val="-64"/>
          <w:w w:val="99"/>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4"/>
          <w:w w:val="99"/>
        </w:rPr>
        <w:t> </w:t>
      </w:r>
      <w:r>
        <w:rPr>
          <w:spacing w:val="-21"/>
          <w:w w:val="99"/>
        </w:rPr>
        <w:t>股（含税），以资本公</w:t>
      </w:r>
      <w:r>
        <w:rPr>
          <w:b w:val="0"/>
          <w:bCs w:val="0"/>
          <w:spacing w:val="-21"/>
        </w:rPr>
      </w:r>
    </w:p>
    <w:p>
      <w:pPr>
        <w:pStyle w:val="Heading2"/>
        <w:spacing w:line="240" w:lineRule="auto" w:before="20"/>
        <w:ind w:right="1034"/>
        <w:jc w:val="left"/>
        <w:rPr>
          <w:b w:val="0"/>
          <w:bCs w:val="0"/>
        </w:rPr>
      </w:pPr>
      <w:r>
        <w:rPr/>
        <w:t>积金向全体股东每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7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882" w:right="285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185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882" w:right="285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本公司、公司、中电鑫龙、股份公司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《公司章程》或《章程》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国海证券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国海证券股份有限公司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110760"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034"/>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034"/>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中电鑫龙</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002298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中电鑫龙</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ANHUI SINONET &amp; XINLONG SCIENCE &amp; TECHNOLOGY CO.,</w:t>
            </w:r>
            <w:r>
              <w:rPr>
                <w:rFonts w:ascii="Times New Roman"/>
                <w:spacing w:val="-19"/>
                <w:sz w:val="18"/>
              </w:rPr>
              <w:t>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S&amp;X</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束龙胜</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安徽省芜湖市经济技术开发区电器部件园（九华北路</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241008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安徽省芜湖市经济技术开发区电器部件园（九华北路</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241008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http</w:t>
            </w:r>
            <w:r>
              <w:rPr>
                <w:rFonts w:ascii="宋体" w:hAnsi="宋体" w:cs="宋体" w:eastAsia="宋体" w:hint="default"/>
                <w:sz w:val="18"/>
                <w:szCs w:val="18"/>
              </w:rPr>
              <w:t>：</w:t>
            </w:r>
            <w:r>
              <w:rPr>
                <w:rFonts w:ascii="Times New Roman" w:hAnsi="Times New Roman" w:cs="Times New Roman" w:eastAsia="Times New Roman" w:hint="default"/>
                <w:sz w:val="18"/>
                <w:szCs w:val="18"/>
              </w:rPr>
              <w:t>//</w:t>
            </w:r>
            <w:hyperlink r:id="rId10">
              <w:r>
                <w:rPr>
                  <w:rFonts w:ascii="Times New Roman" w:hAnsi="Times New Roman" w:cs="Times New Roman" w:eastAsia="Times New Roman" w:hint="default"/>
                  <w:sz w:val="18"/>
                  <w:szCs w:val="18"/>
                </w:rPr>
                <w:t>www.ah-xinlong.com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xinlongdsb@126.com</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1034"/>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安徽省芜湖市经济技术开发区九华北路</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0553-5772627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0553-5312688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xinlongdsb@126.com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1034"/>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4"/>
        <w:spacing w:line="240" w:lineRule="auto" w:before="26"/>
        <w:ind w:right="1034"/>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Times New Roman" w:hAnsi="Times New Roman" w:cs="Times New Roman" w:eastAsia="Times New Roman" w:hint="default"/>
                <w:sz w:val="18"/>
                <w:szCs w:val="18"/>
              </w:rPr>
              <w:t>91340200149661982L</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1034"/>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李静、吴琳</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华林证券有限责任公司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深圳市福田区民田路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号华</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周宇、乔绪升</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国海证券股份有限公司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广西南宁市青秀区滨湖路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方书品、陈功</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4"/>
        <w:spacing w:line="240" w:lineRule="auto" w:before="26"/>
        <w:ind w:left="154" w:right="1034"/>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872,705,875.47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809,408,929.77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905,195,459.03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66,348,794.93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14,998,539.05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87,486,738.75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53,051,540.26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5,583,266.48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48,110,252.09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244,632,330.08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22,122,069.48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1,005.83%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-83,848,189.23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5,095,488,095.64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2,270,799,520.69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2,294,430,288.67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2,991,161,100.91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1,280,516,260.59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1,277,645,038.83</w:t>
            </w:r>
          </w:p>
        </w:tc>
      </w:tr>
    </w:tbl>
    <w:p>
      <w:pPr>
        <w:spacing w:line="240" w:lineRule="auto" w:before="2"/>
        <w:rPr>
          <w:rFonts w:ascii="宋体" w:hAnsi="宋体" w:cs="宋体" w:eastAsia="宋体" w:hint="default"/>
          <w:sz w:val="18"/>
          <w:szCs w:val="18"/>
        </w:rPr>
      </w:pPr>
    </w:p>
    <w:p>
      <w:pPr>
        <w:pStyle w:val="Heading4"/>
        <w:spacing w:line="240" w:lineRule="auto" w:before="26"/>
        <w:ind w:left="154" w:right="1034"/>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2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6"/>
        <w:spacing w:line="240" w:lineRule="auto"/>
        <w:ind w:right="1034"/>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4"/>
        <w:spacing w:line="240" w:lineRule="auto"/>
        <w:ind w:right="1034"/>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111,269,410.11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147,517,323.09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233,499,232.13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380,419,910.14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2,162,646.74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6,927,432.86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11,097,996.12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46,160,719.21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1,476,694.23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-597,425.19</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8,105,490.74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44,066,780.48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49,909,643.41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10,947,518.42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-32,359,049.30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216,134,217.55</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4"/>
        <w:spacing w:line="240" w:lineRule="auto"/>
        <w:ind w:right="1034"/>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22,687.28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-116,962.49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-8,878.48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15,497,421.05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11,199,340.42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46,409,942.78</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964,755.02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6,062.25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-425,856.61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76,489.21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22,707.42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2,514,831.22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1,677,469.10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6,984,507.41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246,920.85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72,187.72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62,777.65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13,297,254.67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9,415,272.57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39,376,486.66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034"/>
        <w:jc w:val="left"/>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1034"/>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spacing w:line="302" w:lineRule="auto" w:before="0"/>
        <w:ind w:left="153" w:right="1034" w:firstLine="434"/>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年，公司完成收购了天津市泰达工程设计有限公司（以下简称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天津泰达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），发展成为以高低压成套产品为平台，</w:t>
      </w:r>
      <w:r>
        <w:rPr>
          <w:rFonts w:ascii="宋体" w:hAnsi="宋体" w:cs="宋体" w:eastAsia="宋体" w:hint="default"/>
          <w:sz w:val="18"/>
          <w:szCs w:val="18"/>
        </w:rPr>
        <w:t> </w:t>
      </w:r>
      <w:r>
        <w:rPr>
          <w:rFonts w:ascii="宋体" w:hAnsi="宋体" w:cs="宋体" w:eastAsia="宋体" w:hint="default"/>
          <w:spacing w:val="-4"/>
          <w:sz w:val="18"/>
          <w:szCs w:val="18"/>
        </w:rPr>
        <w:t>以高低压元器件、自动化元器件、电力电子和电力设计为核心，以新能源和电力安装为两翼，以提供设计、输配电设备制造、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元器件、安装等电力服务一揽子解决方案的服务商；</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月，公司完成收购了北京中电兴发科技有限公司（以下简称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w:t>
      </w:r>
      <w:r>
        <w:rPr>
          <w:rFonts w:ascii="宋体" w:hAnsi="宋体" w:cs="宋体" w:eastAsia="宋体" w:hint="default"/>
          <w:spacing w:val="-49"/>
          <w:sz w:val="18"/>
          <w:szCs w:val="18"/>
        </w:rPr>
        <w:t> </w:t>
      </w:r>
      <w:r>
        <w:rPr>
          <w:rFonts w:ascii="宋体" w:hAnsi="宋体" w:cs="宋体" w:eastAsia="宋体" w:hint="default"/>
          <w:sz w:val="18"/>
          <w:szCs w:val="18"/>
        </w:rPr>
        <w:t>电兴发</w:t>
      </w:r>
      <w:r>
        <w:rPr>
          <w:rFonts w:ascii="Times New Roman" w:hAnsi="Times New Roman" w:cs="Times New Roman" w:eastAsia="Times New Roman" w:hint="default"/>
          <w:sz w:val="18"/>
          <w:szCs w:val="18"/>
        </w:rPr>
        <w:t>”</w:t>
      </w:r>
      <w:r>
        <w:rPr>
          <w:rFonts w:ascii="宋体" w:hAnsi="宋体" w:cs="宋体" w:eastAsia="宋体" w:hint="default"/>
          <w:sz w:val="18"/>
          <w:szCs w:val="18"/>
        </w:rPr>
        <w:t>），进入了公共安全与反恐、智慧城市领域，由电力服务一揽子解决方案的服务商，发展成为涵盖输配电及控制系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统行业、公共安全与反恐、智慧城市行业的一整套城市智能管理系统提供商；</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月，公司完成收购了苏州开关二厂有</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苏二开</w:t>
      </w:r>
      <w:r>
        <w:rPr>
          <w:rFonts w:ascii="Times New Roman" w:hAnsi="Times New Roman" w:cs="Times New Roman" w:eastAsia="Times New Roman" w:hint="default"/>
          <w:sz w:val="18"/>
          <w:szCs w:val="18"/>
        </w:rPr>
        <w:t>”</w:t>
      </w:r>
      <w:r>
        <w:rPr>
          <w:rFonts w:ascii="宋体" w:hAnsi="宋体" w:cs="宋体" w:eastAsia="宋体" w:hint="default"/>
          <w:sz w:val="18"/>
          <w:szCs w:val="18"/>
        </w:rPr>
        <w:t>），在电网智能化改革持续推进的政策背景下，提升了公司在江、浙、沪等华东地区的影响力和 竞争能力，拓展了公司在电力市场的业务发展空间。</w:t>
      </w:r>
    </w:p>
    <w:p>
      <w:pPr>
        <w:spacing w:line="360" w:lineRule="auto" w:before="29"/>
        <w:ind w:left="516" w:right="1034" w:firstLine="72"/>
        <w:jc w:val="left"/>
        <w:rPr>
          <w:rFonts w:ascii="宋体" w:hAnsi="宋体" w:cs="宋体" w:eastAsia="宋体" w:hint="default"/>
          <w:sz w:val="18"/>
          <w:szCs w:val="18"/>
        </w:rPr>
      </w:pPr>
      <w:r>
        <w:rPr>
          <w:rFonts w:ascii="宋体" w:hAnsi="宋体" w:cs="宋体" w:eastAsia="宋体" w:hint="default"/>
          <w:sz w:val="18"/>
          <w:szCs w:val="18"/>
        </w:rPr>
        <w:t>报告期内，公司的业务分类：公共安全与反恐、智慧城市业务，输配电及控制设备制造及服务业务。 </w:t>
      </w:r>
      <w:r>
        <w:rPr>
          <w:rFonts w:ascii="宋体" w:hAnsi="宋体" w:cs="宋体" w:eastAsia="宋体" w:hint="default"/>
          <w:spacing w:val="-2"/>
          <w:sz w:val="18"/>
          <w:szCs w:val="18"/>
        </w:rPr>
        <w:t>公司全资子公司中电兴发为国内领先的公共安全与反恐、智慧城市等的解决方案、产品及运营服务提供商。中电兴发主</w:t>
      </w:r>
    </w:p>
    <w:p>
      <w:pPr>
        <w:spacing w:line="222"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营业务系以物联网、大数据、云计算等新一代信息技术为基础，主要面向公安、军队、司法、市政部门及企事业单位提供端</w:t>
      </w:r>
    </w:p>
    <w:p>
      <w:pPr>
        <w:spacing w:line="357" w:lineRule="auto" w:before="77"/>
        <w:ind w:left="444" w:right="2293" w:hanging="291"/>
        <w:jc w:val="left"/>
        <w:rPr>
          <w:rFonts w:ascii="宋体" w:hAnsi="宋体" w:cs="宋体" w:eastAsia="宋体" w:hint="default"/>
          <w:sz w:val="18"/>
          <w:szCs w:val="18"/>
        </w:rPr>
      </w:pPr>
      <w:r>
        <w:rPr>
          <w:rFonts w:ascii="宋体" w:hAnsi="宋体" w:cs="宋体" w:eastAsia="宋体" w:hint="default"/>
          <w:sz w:val="18"/>
          <w:szCs w:val="18"/>
        </w:rPr>
        <w:t>到端、一体化的涵盖信息感知、传输、存储、计算、处理、应用等环节的系统解决方案、产品及运营服务。 根据应用领域的不同，中电兴发的主要产品和服务分类如下：</w:t>
      </w:r>
    </w:p>
    <w:tbl>
      <w:tblPr>
        <w:tblW w:w="0" w:type="auto"/>
        <w:jc w:val="left"/>
        <w:tblInd w:w="146" w:type="dxa"/>
        <w:tblLayout w:type="fixed"/>
        <w:tblCellMar>
          <w:top w:w="0" w:type="dxa"/>
          <w:left w:w="0" w:type="dxa"/>
          <w:bottom w:w="0" w:type="dxa"/>
          <w:right w:w="0" w:type="dxa"/>
        </w:tblCellMar>
        <w:tblLook w:val="01E0"/>
      </w:tblPr>
      <w:tblGrid>
        <w:gridCol w:w="3686"/>
        <w:gridCol w:w="5672"/>
      </w:tblGrid>
      <w:tr>
        <w:trPr>
          <w:trHeight w:val="42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业务类别</w:t>
            </w:r>
          </w:p>
        </w:tc>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主要产品和服务</w:t>
            </w:r>
          </w:p>
        </w:tc>
      </w:tr>
      <w:tr>
        <w:trPr>
          <w:trHeight w:val="136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公共安全与反恐</w:t>
            </w:r>
          </w:p>
        </w:tc>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73"/>
              <w:jc w:val="both"/>
              <w:rPr>
                <w:rFonts w:ascii="宋体" w:hAnsi="宋体" w:cs="宋体" w:eastAsia="宋体" w:hint="default"/>
                <w:sz w:val="18"/>
                <w:szCs w:val="18"/>
              </w:rPr>
            </w:pPr>
            <w:r>
              <w:rPr>
                <w:rFonts w:ascii="宋体" w:hAnsi="宋体" w:cs="宋体" w:eastAsia="宋体" w:hint="default"/>
                <w:sz w:val="18"/>
                <w:szCs w:val="18"/>
              </w:rPr>
              <w:t>提供与公共安全与反恐有关的方案设计、项目施工及运营服务，配套生 产拥有具有自主知识产权的超低照度与超宽动态高清智能摄像机、高清 夜视摄像机、高清防弹摄像机、全智能反恐机器人、物联网采集器及网 关等反恐及公共安全产品</w:t>
            </w:r>
          </w:p>
        </w:tc>
      </w:tr>
      <w:tr>
        <w:trPr>
          <w:trHeight w:val="739"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53"/>
              <w:jc w:val="left"/>
              <w:rPr>
                <w:rFonts w:ascii="宋体" w:hAnsi="宋体" w:cs="宋体" w:eastAsia="宋体" w:hint="default"/>
                <w:sz w:val="18"/>
                <w:szCs w:val="18"/>
              </w:rPr>
            </w:pPr>
            <w:r>
              <w:rPr>
                <w:rFonts w:ascii="宋体" w:hAnsi="宋体" w:cs="宋体" w:eastAsia="宋体" w:hint="default"/>
                <w:sz w:val="18"/>
                <w:szCs w:val="18"/>
              </w:rPr>
              <w:t>提供包括建筑智能化在内的各类智慧城市信息系统集成项目的方案设 计、施工服务</w:t>
            </w:r>
          </w:p>
        </w:tc>
      </w:tr>
    </w:tbl>
    <w:p>
      <w:pPr>
        <w:spacing w:line="300" w:lineRule="auto" w:before="26"/>
        <w:ind w:left="154" w:right="1130" w:firstLine="434"/>
        <w:jc w:val="both"/>
        <w:rPr>
          <w:rFonts w:ascii="宋体" w:hAnsi="宋体" w:cs="宋体" w:eastAsia="宋体" w:hint="default"/>
          <w:sz w:val="18"/>
          <w:szCs w:val="18"/>
        </w:rPr>
      </w:pPr>
      <w:r>
        <w:rPr>
          <w:rFonts w:ascii="宋体" w:hAnsi="宋体" w:cs="宋体" w:eastAsia="宋体" w:hint="default"/>
          <w:spacing w:val="-2"/>
          <w:sz w:val="18"/>
          <w:szCs w:val="18"/>
        </w:rPr>
        <w:t>报告期内，公司启动了非公开发行股票项目，募集资金投资项目分别为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公共安全与反恐领域机器人及无人机产业化项</w:t>
      </w:r>
      <w:r>
        <w:rPr>
          <w:rFonts w:ascii="宋体" w:hAnsi="宋体" w:cs="宋体" w:eastAsia="宋体" w:hint="default"/>
          <w:sz w:val="18"/>
          <w:szCs w:val="18"/>
        </w:rPr>
        <w:t> 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基于有线</w:t>
      </w:r>
      <w:r>
        <w:rPr>
          <w:rFonts w:ascii="Times New Roman" w:hAnsi="Times New Roman" w:cs="Times New Roman" w:eastAsia="Times New Roman" w:hint="default"/>
          <w:sz w:val="18"/>
          <w:szCs w:val="18"/>
        </w:rPr>
        <w:t>/</w:t>
      </w:r>
      <w:r>
        <w:rPr>
          <w:rFonts w:ascii="宋体" w:hAnsi="宋体" w:cs="宋体" w:eastAsia="宋体" w:hint="default"/>
          <w:sz w:val="18"/>
          <w:szCs w:val="18"/>
        </w:rPr>
        <w:t>无线传输的电动汽车自适应智能充电桩建设项目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智能远动（高铁信号）电力保障系统生产线建设项目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等。</w:t>
      </w:r>
    </w:p>
    <w:p>
      <w:pPr>
        <w:spacing w:line="316" w:lineRule="auto" w:before="31"/>
        <w:ind w:left="154" w:right="1034" w:firstLine="360"/>
        <w:jc w:val="left"/>
        <w:rPr>
          <w:rFonts w:ascii="宋体" w:hAnsi="宋体" w:cs="宋体" w:eastAsia="宋体" w:hint="default"/>
          <w:sz w:val="18"/>
          <w:szCs w:val="18"/>
        </w:rPr>
      </w:pPr>
      <w:r>
        <w:rPr>
          <w:rFonts w:ascii="宋体" w:hAnsi="宋体" w:cs="宋体" w:eastAsia="宋体" w:hint="default"/>
          <w:spacing w:val="-4"/>
          <w:sz w:val="18"/>
          <w:szCs w:val="18"/>
        </w:rPr>
        <w:t>一直以来，中国国家安全形势整体稳定。但近年来，社会不稳定因素有所增加，国内恐怖活动呈现出国际因素影响加大、</w:t>
      </w:r>
      <w:r>
        <w:rPr>
          <w:rFonts w:ascii="宋体" w:hAnsi="宋体" w:cs="宋体" w:eastAsia="宋体" w:hint="default"/>
          <w:sz w:val="18"/>
          <w:szCs w:val="18"/>
        </w:rPr>
        <w:t> </w:t>
      </w:r>
      <w:r>
        <w:rPr>
          <w:rFonts w:ascii="宋体" w:hAnsi="宋体" w:cs="宋体" w:eastAsia="宋体" w:hint="default"/>
          <w:spacing w:val="-2"/>
          <w:sz w:val="18"/>
          <w:szCs w:val="18"/>
        </w:rPr>
        <w:t>案件多发频发、网上网下互动等新趋势，特殊突发公共事件的安全防范压力愈来愈大。避免暴力恐怖事件的发生，最大限度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的降低暴力恐怖事件带来的伤亡损失，成为公众关注的焦点和对城市安全防控能力的挑战。在当前国内国际形势下，公共安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全与反恐成为共识，使得公共安全与反恐需求大幅提升，进而带动相关产业的需求，尤其是公共安全与反恐机器人、反恐排</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爆机器人、特种无人机、人脸识别、高清摄像头、入侵报警等监控探测、检测设备及防范产品，公共安全与反恐装备行业将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迎来新的发展机遇。</w:t>
      </w:r>
    </w:p>
    <w:p>
      <w:pPr>
        <w:spacing w:line="319" w:lineRule="auto" w:before="19"/>
        <w:ind w:left="153" w:right="1033" w:firstLine="360"/>
        <w:jc w:val="left"/>
        <w:rPr>
          <w:rFonts w:ascii="宋体" w:hAnsi="宋体" w:cs="宋体" w:eastAsia="宋体" w:hint="default"/>
          <w:sz w:val="18"/>
          <w:szCs w:val="18"/>
        </w:rPr>
      </w:pPr>
      <w:r>
        <w:rPr>
          <w:rFonts w:ascii="宋体" w:hAnsi="宋体" w:cs="宋体" w:eastAsia="宋体" w:hint="default"/>
          <w:spacing w:val="-2"/>
          <w:sz w:val="18"/>
          <w:szCs w:val="18"/>
        </w:rPr>
        <w:t>随着环境保护、低碳经济的理念深入人心，汽车工业因其尾气排放导致环境污染、高能耗等一系列负效应，面临日益严</w:t>
      </w:r>
      <w:r>
        <w:rPr>
          <w:rFonts w:ascii="宋体" w:hAnsi="宋体" w:cs="宋体" w:eastAsia="宋体" w:hint="default"/>
          <w:sz w:val="18"/>
          <w:szCs w:val="18"/>
        </w:rPr>
        <w:t> </w:t>
      </w:r>
      <w:r>
        <w:rPr>
          <w:rFonts w:ascii="宋体" w:hAnsi="宋体" w:cs="宋体" w:eastAsia="宋体" w:hint="default"/>
          <w:spacing w:val="-2"/>
          <w:sz w:val="18"/>
          <w:szCs w:val="18"/>
        </w:rPr>
        <w:t>重的挑战。相对传统的燃油汽车，电动汽车能够有效降低尾气排放，减少废气污染，并降低能源消耗。因此以解决环境保护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和能源短缺为出发点的电动汽车将成为汽车工业发展的必然趋势。虽然新能源汽车产销量在呈爆发式增长，但下游充电桩数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量却严重不足。随着各地对充电设施建设投入加大，充电装备市场即将迎来大爆发时期，每年将以成倍的速度爆发式增长，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年我国充电设施市场规模有</w:t>
      </w:r>
      <w:r>
        <w:rPr>
          <w:rFonts w:ascii="Times New Roman" w:hAnsi="Times New Roman" w:cs="Times New Roman" w:eastAsia="Times New Roman" w:hint="default"/>
          <w:sz w:val="18"/>
          <w:szCs w:val="18"/>
        </w:rPr>
        <w:t>120</w:t>
      </w:r>
      <w:r>
        <w:rPr>
          <w:rFonts w:ascii="宋体" w:hAnsi="宋体" w:cs="宋体" w:eastAsia="宋体" w:hint="default"/>
          <w:sz w:val="18"/>
          <w:szCs w:val="18"/>
        </w:rPr>
        <w:t>亿元，预计</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年将达到</w:t>
      </w:r>
      <w:r>
        <w:rPr>
          <w:rFonts w:ascii="Times New Roman" w:hAnsi="Times New Roman" w:cs="Times New Roman" w:eastAsia="Times New Roman" w:hint="default"/>
          <w:sz w:val="18"/>
          <w:szCs w:val="18"/>
        </w:rPr>
        <w:t>200</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2016</w:t>
      </w:r>
      <w:r>
        <w:rPr>
          <w:rFonts w:ascii="宋体" w:hAnsi="宋体" w:cs="宋体" w:eastAsia="宋体" w:hint="default"/>
          <w:sz w:val="18"/>
          <w:szCs w:val="18"/>
        </w:rPr>
        <w:t>年为</w:t>
      </w:r>
      <w:r>
        <w:rPr>
          <w:rFonts w:ascii="Times New Roman" w:hAnsi="Times New Roman" w:cs="Times New Roman" w:eastAsia="Times New Roman" w:hint="default"/>
          <w:sz w:val="18"/>
          <w:szCs w:val="18"/>
        </w:rPr>
        <w:t>400</w:t>
      </w:r>
      <w:r>
        <w:rPr>
          <w:rFonts w:ascii="宋体" w:hAnsi="宋体" w:cs="宋体" w:eastAsia="宋体" w:hint="default"/>
          <w:sz w:val="18"/>
          <w:szCs w:val="18"/>
        </w:rPr>
        <w:t>亿元，到</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年将突破</w:t>
      </w:r>
      <w:r>
        <w:rPr>
          <w:rFonts w:ascii="Times New Roman" w:hAnsi="Times New Roman" w:cs="Times New Roman" w:eastAsia="Times New Roman" w:hint="default"/>
          <w:sz w:val="18"/>
          <w:szCs w:val="18"/>
        </w:rPr>
        <w:t>1200</w:t>
      </w:r>
      <w:r>
        <w:rPr>
          <w:rFonts w:ascii="宋体" w:hAnsi="宋体" w:cs="宋体" w:eastAsia="宋体" w:hint="default"/>
          <w:sz w:val="18"/>
          <w:szCs w:val="18"/>
        </w:rPr>
        <w:t>亿元。</w:t>
      </w:r>
    </w:p>
    <w:p>
      <w:pPr>
        <w:spacing w:line="300" w:lineRule="auto" w:before="0"/>
        <w:ind w:left="153" w:right="1129" w:firstLine="360"/>
        <w:jc w:val="both"/>
        <w:rPr>
          <w:rFonts w:ascii="宋体" w:hAnsi="宋体" w:cs="宋体" w:eastAsia="宋体" w:hint="default"/>
          <w:sz w:val="18"/>
          <w:szCs w:val="18"/>
        </w:rPr>
      </w:pPr>
      <w:r>
        <w:rPr>
          <w:rFonts w:ascii="宋体" w:hAnsi="宋体" w:cs="宋体" w:eastAsia="宋体" w:hint="default"/>
          <w:spacing w:val="-1"/>
          <w:sz w:val="18"/>
          <w:szCs w:val="18"/>
        </w:rPr>
        <w:t>根据《中国铁路中长期发展规划》，到</w:t>
      </w:r>
      <w:r>
        <w:rPr>
          <w:rFonts w:ascii="Times New Roman" w:hAnsi="Times New Roman" w:cs="Times New Roman" w:eastAsia="Times New Roman" w:hint="default"/>
          <w:spacing w:val="-1"/>
          <w:sz w:val="18"/>
          <w:szCs w:val="18"/>
        </w:rPr>
        <w:t>2020</w:t>
      </w:r>
      <w:r>
        <w:rPr>
          <w:rFonts w:ascii="宋体" w:hAnsi="宋体" w:cs="宋体" w:eastAsia="宋体" w:hint="default"/>
          <w:spacing w:val="-1"/>
          <w:sz w:val="18"/>
          <w:szCs w:val="18"/>
        </w:rPr>
        <w:t>年，铁路运营里程将达到</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万公里以上、覆盖全国</w:t>
      </w:r>
      <w:r>
        <w:rPr>
          <w:rFonts w:ascii="Times New Roman" w:hAnsi="Times New Roman" w:cs="Times New Roman" w:eastAsia="Times New Roman" w:hint="default"/>
          <w:spacing w:val="-1"/>
          <w:sz w:val="18"/>
          <w:szCs w:val="18"/>
        </w:rPr>
        <w:t>90%</w:t>
      </w:r>
      <w:r>
        <w:rPr>
          <w:rFonts w:ascii="宋体" w:hAnsi="宋体" w:cs="宋体" w:eastAsia="宋体" w:hint="default"/>
          <w:spacing w:val="-1"/>
          <w:sz w:val="18"/>
          <w:szCs w:val="18"/>
        </w:rPr>
        <w:t>以上人口，国家还规</w:t>
      </w:r>
      <w:r>
        <w:rPr>
          <w:rFonts w:ascii="宋体" w:hAnsi="宋体" w:cs="宋体" w:eastAsia="宋体" w:hint="default"/>
          <w:sz w:val="18"/>
          <w:szCs w:val="18"/>
        </w:rPr>
        <w:t> 划</w:t>
      </w:r>
      <w:r>
        <w:rPr>
          <w:rFonts w:ascii="Times New Roman" w:hAnsi="Times New Roman" w:cs="Times New Roman" w:eastAsia="Times New Roman" w:hint="default"/>
          <w:sz w:val="18"/>
          <w:szCs w:val="18"/>
        </w:rPr>
        <w:t>“</w:t>
      </w:r>
      <w:r>
        <w:rPr>
          <w:rFonts w:ascii="宋体" w:hAnsi="宋体" w:cs="宋体" w:eastAsia="宋体" w:hint="default"/>
          <w:sz w:val="18"/>
          <w:szCs w:val="18"/>
        </w:rPr>
        <w:t>四纵四横</w:t>
      </w:r>
      <w:r>
        <w:rPr>
          <w:rFonts w:ascii="Times New Roman" w:hAnsi="Times New Roman" w:cs="Times New Roman" w:eastAsia="Times New Roman" w:hint="default"/>
          <w:sz w:val="18"/>
          <w:szCs w:val="18"/>
        </w:rPr>
        <w:t>”</w:t>
      </w:r>
      <w:r>
        <w:rPr>
          <w:rFonts w:ascii="宋体" w:hAnsi="宋体" w:cs="宋体" w:eastAsia="宋体" w:hint="default"/>
          <w:sz w:val="18"/>
          <w:szCs w:val="18"/>
        </w:rPr>
        <w:t>铁路快速客运通道以及六个城际快速客运系统</w:t>
      </w:r>
      <w:r>
        <w:rPr>
          <w:rFonts w:ascii="Times New Roman" w:hAnsi="Times New Roman" w:cs="Times New Roman" w:eastAsia="Times New Roman" w:hint="default"/>
          <w:sz w:val="18"/>
          <w:szCs w:val="18"/>
        </w:rPr>
        <w:t>,</w:t>
      </w:r>
      <w:r>
        <w:rPr>
          <w:rFonts w:ascii="宋体" w:hAnsi="宋体" w:cs="宋体" w:eastAsia="宋体" w:hint="default"/>
          <w:sz w:val="18"/>
          <w:szCs w:val="18"/>
        </w:rPr>
        <w:t>这些项目的建设需要大量的电力保障系统产品。另外，近期高</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2"/>
          <w:sz w:val="18"/>
          <w:szCs w:val="18"/>
        </w:rPr>
        <w:t>铁提速的呼声越来越高，如果高铁线路的运行时速从</w:t>
      </w:r>
      <w:r>
        <w:rPr>
          <w:rFonts w:ascii="Times New Roman" w:hAnsi="Times New Roman" w:cs="Times New Roman" w:eastAsia="Times New Roman" w:hint="default"/>
          <w:spacing w:val="-2"/>
          <w:sz w:val="18"/>
          <w:szCs w:val="18"/>
        </w:rPr>
        <w:t>300</w:t>
      </w:r>
      <w:r>
        <w:rPr>
          <w:rFonts w:ascii="宋体" w:hAnsi="宋体" w:cs="宋体" w:eastAsia="宋体" w:hint="default"/>
          <w:spacing w:val="-2"/>
          <w:sz w:val="18"/>
          <w:szCs w:val="18"/>
        </w:rPr>
        <w:t>公里升至</w:t>
      </w:r>
      <w:r>
        <w:rPr>
          <w:rFonts w:ascii="Times New Roman" w:hAnsi="Times New Roman" w:cs="Times New Roman" w:eastAsia="Times New Roman" w:hint="default"/>
          <w:spacing w:val="-2"/>
          <w:sz w:val="18"/>
          <w:szCs w:val="18"/>
        </w:rPr>
        <w:t>350</w:t>
      </w:r>
      <w:r>
        <w:rPr>
          <w:rFonts w:ascii="宋体" w:hAnsi="宋体" w:cs="宋体" w:eastAsia="宋体" w:hint="default"/>
          <w:spacing w:val="-2"/>
          <w:sz w:val="18"/>
          <w:szCs w:val="18"/>
        </w:rPr>
        <w:t>公里，将大幅提升对电力系统、信号系统等多方面高铁</w:t>
      </w:r>
    </w:p>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9" w:lineRule="auto" w:before="44"/>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相关产品的需求。同时，高铁是我国高端装备制造业走出去的代表产业，新一届政府尤其注重高铁营销。随着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一带一路</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2"/>
          <w:sz w:val="18"/>
          <w:szCs w:val="18"/>
        </w:rPr>
        <w:t>战略的深化和实施，海外基础设施建设规模提高，作为中国装备制造业代表的高速铁路相关产业也必将有更多的海外业务机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会，高铁产业将迎来巨大的海外发展机遇。</w:t>
      </w:r>
    </w:p>
    <w:p>
      <w:pPr>
        <w:spacing w:line="240" w:lineRule="auto" w:before="3"/>
        <w:rPr>
          <w:rFonts w:ascii="宋体" w:hAnsi="宋体" w:cs="宋体" w:eastAsia="宋体" w:hint="default"/>
          <w:sz w:val="21"/>
          <w:szCs w:val="21"/>
        </w:rPr>
      </w:pPr>
    </w:p>
    <w:p>
      <w:pPr>
        <w:pStyle w:val="Heading4"/>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主要系本期收购北京中电兴发科技有限公司、苏州开关二厂有限公司纳入合并报表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以及前次募集资金部分项目完工转入固定资产所致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主要系本期收购北京中电兴发科技有限公司、苏州开关二厂有限公司纳入合并报表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主要系本期前次募集资金部分项目完工转入固定资产所致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主要系本期收购北京中电兴发科技有限公司、苏州开关二厂有限公司纳入合并报表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主要系本期收购北京中电兴发科技有限公司、苏州开关二厂有限公司纳入合并报表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主要系本期收购北京中电兴发科技有限公司、苏州开关二厂有限公司形成商誉所致</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spacing w:line="314" w:lineRule="auto" w:before="0"/>
        <w:ind w:left="153" w:right="1034" w:firstLine="360"/>
        <w:jc w:val="left"/>
        <w:rPr>
          <w:rFonts w:ascii="宋体" w:hAnsi="宋体" w:cs="宋体" w:eastAsia="宋体" w:hint="default"/>
          <w:sz w:val="18"/>
          <w:szCs w:val="18"/>
        </w:rPr>
      </w:pPr>
      <w:r>
        <w:rPr>
          <w:rFonts w:ascii="宋体" w:hAnsi="宋体" w:cs="宋体" w:eastAsia="宋体" w:hint="default"/>
          <w:sz w:val="18"/>
          <w:szCs w:val="18"/>
        </w:rPr>
        <w:t>报告期内，公司成功收购了北京中电兴发科技有限公司（以下简称：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中电兴发</w:t>
      </w:r>
      <w:r>
        <w:rPr>
          <w:rFonts w:ascii="Times New Roman" w:hAnsi="Times New Roman" w:cs="Times New Roman" w:eastAsia="Times New Roman" w:hint="default"/>
          <w:sz w:val="18"/>
          <w:szCs w:val="18"/>
        </w:rPr>
        <w:t>”</w:t>
      </w:r>
      <w:r>
        <w:rPr>
          <w:rFonts w:ascii="宋体" w:hAnsi="宋体" w:cs="宋体" w:eastAsia="宋体" w:hint="default"/>
          <w:sz w:val="18"/>
          <w:szCs w:val="18"/>
        </w:rPr>
        <w:t>），公司的竞争能力明显增强。中电兴 </w:t>
      </w:r>
      <w:r>
        <w:rPr>
          <w:rFonts w:ascii="宋体" w:hAnsi="宋体" w:cs="宋体" w:eastAsia="宋体" w:hint="default"/>
          <w:spacing w:val="-4"/>
          <w:sz w:val="18"/>
          <w:szCs w:val="18"/>
        </w:rPr>
        <w:t>发为国内领先的公共安全与反恐、智慧城市等的解决方案、产品及运营服务提供商。随着中电兴发资产、业务及人才的注入，</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现阶段公司实现了自身智能电网业务与中电兴发公共安全与反恐、智慧城市业务的协同发展，提高了公司整体经营资源的利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用效率、拓展了发展空间、增强抗风险能力和持续盈利能力等。公司建立了可持续创新的管理团队，为公司搭建了可持续发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展平台，公司主要核心竞争优势包括：</w:t>
      </w:r>
    </w:p>
    <w:p>
      <w:pPr>
        <w:spacing w:line="316" w:lineRule="auto" w:before="20"/>
        <w:ind w:left="513" w:right="1034" w:firstLine="0"/>
        <w:jc w:val="left"/>
        <w:rPr>
          <w:rFonts w:ascii="宋体" w:hAnsi="宋体" w:cs="宋体" w:eastAsia="宋体" w:hint="default"/>
          <w:sz w:val="18"/>
          <w:szCs w:val="18"/>
        </w:rPr>
      </w:pPr>
      <w:r>
        <w:rPr>
          <w:rFonts w:ascii="宋体" w:hAnsi="宋体" w:cs="宋体" w:eastAsia="宋体" w:hint="default"/>
          <w:sz w:val="18"/>
          <w:szCs w:val="18"/>
        </w:rPr>
        <w:t>一、资质优势 </w:t>
      </w:r>
      <w:r>
        <w:rPr>
          <w:rFonts w:ascii="宋体" w:hAnsi="宋体" w:cs="宋体" w:eastAsia="宋体" w:hint="default"/>
          <w:spacing w:val="-3"/>
          <w:sz w:val="18"/>
          <w:szCs w:val="18"/>
        </w:rPr>
        <w:t>公司拥有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涉及国家秘密的计算机信息系统集成资质证书（甲级）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计算机信息系统集成企业资质证书（壹级）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安</w:t>
      </w:r>
    </w:p>
    <w:p>
      <w:pPr>
        <w:spacing w:line="300" w:lineRule="auto" w:before="0"/>
        <w:ind w:left="153" w:right="1131" w:firstLine="0"/>
        <w:jc w:val="both"/>
        <w:rPr>
          <w:rFonts w:ascii="宋体" w:hAnsi="宋体" w:cs="宋体" w:eastAsia="宋体" w:hint="default"/>
          <w:sz w:val="18"/>
          <w:szCs w:val="18"/>
        </w:rPr>
      </w:pPr>
      <w:r>
        <w:rPr>
          <w:rFonts w:ascii="宋体" w:hAnsi="宋体" w:cs="宋体" w:eastAsia="宋体" w:hint="default"/>
          <w:spacing w:val="-1"/>
          <w:sz w:val="18"/>
          <w:szCs w:val="18"/>
        </w:rPr>
        <w:t>防工程企业资质证书（壹级）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工程设计资质证书（建筑智能化系统设计专项甲级）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建筑业企业资质证书（建筑智能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化工程专业承包壹级、电子工程专业承包壹级、机场空管工程及航站楼弱电系统工程专业承包貳级）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音、视频工程业企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业资质认证证书（特级）</w:t>
      </w:r>
      <w:r>
        <w:rPr>
          <w:rFonts w:ascii="Times New Roman" w:hAnsi="Times New Roman" w:cs="Times New Roman" w:eastAsia="Times New Roman" w:hint="default"/>
          <w:sz w:val="18"/>
          <w:szCs w:val="18"/>
        </w:rPr>
        <w:t>”</w:t>
      </w:r>
      <w:r>
        <w:rPr>
          <w:rFonts w:ascii="宋体" w:hAnsi="宋体" w:cs="宋体" w:eastAsia="宋体" w:hint="default"/>
          <w:sz w:val="18"/>
          <w:szCs w:val="18"/>
        </w:rPr>
        <w:t>等资质，能够为客户提供全方位的服务，也为公司在行业内的市场拓展提供了保障。</w:t>
      </w:r>
    </w:p>
    <w:p>
      <w:pPr>
        <w:spacing w:line="316" w:lineRule="auto" w:before="13"/>
        <w:ind w:left="513" w:right="1033" w:firstLine="0"/>
        <w:jc w:val="left"/>
        <w:rPr>
          <w:rFonts w:ascii="宋体" w:hAnsi="宋体" w:cs="宋体" w:eastAsia="宋体" w:hint="default"/>
          <w:sz w:val="18"/>
          <w:szCs w:val="18"/>
        </w:rPr>
      </w:pPr>
      <w:r>
        <w:rPr>
          <w:rFonts w:ascii="宋体" w:hAnsi="宋体" w:cs="宋体" w:eastAsia="宋体" w:hint="default"/>
          <w:sz w:val="18"/>
          <w:szCs w:val="18"/>
        </w:rPr>
        <w:t>二、行业应用优势 公司在公共安全与反恐、智慧城市领域积累了丰富的市场经验和应用经验，对政府、军队、武警、公安、通信、交通、</w:t>
      </w:r>
    </w:p>
    <w:p>
      <w:pPr>
        <w:spacing w:line="316" w:lineRule="auto" w:before="19"/>
        <w:ind w:left="513" w:right="1034" w:hanging="360"/>
        <w:jc w:val="left"/>
        <w:rPr>
          <w:rFonts w:ascii="宋体" w:hAnsi="宋体" w:cs="宋体" w:eastAsia="宋体" w:hint="default"/>
          <w:sz w:val="18"/>
          <w:szCs w:val="18"/>
        </w:rPr>
      </w:pPr>
      <w:r>
        <w:rPr>
          <w:rFonts w:ascii="宋体" w:hAnsi="宋体" w:cs="宋体" w:eastAsia="宋体" w:hint="default"/>
          <w:sz w:val="18"/>
          <w:szCs w:val="18"/>
        </w:rPr>
        <w:t>金融、石油化工、电力、煤炭、核电站等行业具有丰富的行业经验，可以准确的抓住市场需求和业务特点。 截至目前，公司承揽了信息系统集成项目逾</w:t>
      </w:r>
      <w:r>
        <w:rPr>
          <w:rFonts w:ascii="Times New Roman" w:hAnsi="Times New Roman" w:cs="Times New Roman" w:eastAsia="Times New Roman" w:hint="default"/>
          <w:sz w:val="18"/>
          <w:szCs w:val="18"/>
        </w:rPr>
        <w:t>1,500</w:t>
      </w:r>
      <w:r>
        <w:rPr>
          <w:rFonts w:ascii="宋体" w:hAnsi="宋体" w:cs="宋体" w:eastAsia="宋体" w:hint="default"/>
          <w:sz w:val="18"/>
          <w:szCs w:val="18"/>
        </w:rPr>
        <w:t>项，先进的方案、高质量的产品和优良的服务赢得了政府、军队和行</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1130" w:firstLine="0"/>
        <w:jc w:val="both"/>
        <w:rPr>
          <w:rFonts w:ascii="宋体" w:hAnsi="宋体" w:cs="宋体" w:eastAsia="宋体" w:hint="default"/>
          <w:sz w:val="18"/>
          <w:szCs w:val="18"/>
        </w:rPr>
      </w:pPr>
      <w:r>
        <w:rPr>
          <w:rFonts w:ascii="宋体" w:hAnsi="宋体" w:cs="宋体" w:eastAsia="宋体" w:hint="default"/>
          <w:spacing w:val="-1"/>
          <w:sz w:val="18"/>
          <w:szCs w:val="18"/>
        </w:rPr>
        <w:t>业高端客户的信赖。所完成的工程项目多次获得国家优质工程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鲁班奖</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长城杯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等省（市）优质工程奖。公司是业界承担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单个项目金额亿元以上的重大系统集成项目最多的企业之一。</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月，公司排爆机器人成功中标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某国家单位警用器材采</w:t>
      </w:r>
      <w:r>
        <w:rPr>
          <w:rFonts w:ascii="宋体" w:hAnsi="宋体" w:cs="宋体" w:eastAsia="宋体" w:hint="default"/>
          <w:spacing w:val="-48"/>
          <w:sz w:val="18"/>
          <w:szCs w:val="18"/>
        </w:rPr>
        <w:t> </w:t>
      </w:r>
      <w:r>
        <w:rPr>
          <w:rFonts w:ascii="宋体" w:hAnsi="宋体" w:cs="宋体" w:eastAsia="宋体" w:hint="default"/>
          <w:sz w:val="18"/>
          <w:szCs w:val="18"/>
        </w:rPr>
        <w:t>购项目</w:t>
      </w:r>
      <w:r>
        <w:rPr>
          <w:rFonts w:ascii="Times New Roman" w:hAnsi="Times New Roman" w:cs="Times New Roman" w:eastAsia="Times New Roman" w:hint="default"/>
          <w:sz w:val="18"/>
          <w:szCs w:val="18"/>
        </w:rPr>
        <w:t>”</w:t>
      </w:r>
      <w:r>
        <w:rPr>
          <w:rFonts w:ascii="宋体" w:hAnsi="宋体" w:cs="宋体" w:eastAsia="宋体" w:hint="default"/>
          <w:sz w:val="18"/>
          <w:szCs w:val="18"/>
        </w:rPr>
        <w:t>，是排爆机器人国内较大规模应用的订单。</w:t>
      </w:r>
    </w:p>
    <w:p>
      <w:pPr>
        <w:spacing w:line="300" w:lineRule="auto" w:before="13"/>
        <w:ind w:left="153" w:right="1027" w:firstLine="360"/>
        <w:jc w:val="left"/>
        <w:rPr>
          <w:rFonts w:ascii="宋体" w:hAnsi="宋体" w:cs="宋体" w:eastAsia="宋体" w:hint="default"/>
          <w:sz w:val="18"/>
          <w:szCs w:val="18"/>
        </w:rPr>
      </w:pPr>
      <w:r>
        <w:rPr>
          <w:rFonts w:ascii="宋体" w:hAnsi="宋体" w:cs="宋体" w:eastAsia="宋体" w:hint="default"/>
          <w:sz w:val="18"/>
          <w:szCs w:val="18"/>
        </w:rPr>
        <w:t>公司连续被评为</w:t>
      </w:r>
      <w:r>
        <w:rPr>
          <w:rFonts w:ascii="Times New Roman" w:hAnsi="Times New Roman" w:cs="Times New Roman" w:eastAsia="Times New Roman" w:hint="default"/>
          <w:sz w:val="18"/>
          <w:szCs w:val="18"/>
        </w:rPr>
        <w:t>“2013</w:t>
      </w:r>
      <w:r>
        <w:rPr>
          <w:rFonts w:ascii="宋体" w:hAnsi="宋体" w:cs="宋体" w:eastAsia="宋体" w:hint="default"/>
          <w:sz w:val="18"/>
          <w:szCs w:val="18"/>
        </w:rPr>
        <w:t>智慧城市优秀解决方案奖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z w:val="18"/>
          <w:szCs w:val="18"/>
        </w:rPr>
        <w:t>-2013</w:t>
      </w:r>
      <w:r>
        <w:rPr>
          <w:rFonts w:ascii="宋体" w:hAnsi="宋体" w:cs="宋体" w:eastAsia="宋体" w:hint="default"/>
          <w:sz w:val="18"/>
          <w:szCs w:val="18"/>
        </w:rPr>
        <w:t>中国智慧城市建设推荐品牌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中国智能交通行业优 秀系统集成商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年中国计算机信息系统集成行业十强企业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年中国城市智能交通行业十大最具影响力系统集成 商品牌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中国电子警察行业十大最具影响力品牌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中国交通指挥平台最具影响力品牌入围企业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年度全 </w:t>
      </w:r>
      <w:r>
        <w:rPr>
          <w:rFonts w:ascii="宋体" w:hAnsi="宋体" w:cs="宋体" w:eastAsia="宋体" w:hint="default"/>
          <w:spacing w:val="-1"/>
          <w:sz w:val="18"/>
          <w:szCs w:val="18"/>
        </w:rPr>
        <w:t>国智能建筑行业十大品牌企业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公司非凡品牌获</w:t>
      </w: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年中国安防行业十大领先品牌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等。公司是中国最具生命力百强企业、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国家优质工程</w:t>
      </w:r>
      <w:r>
        <w:rPr>
          <w:rFonts w:ascii="Times New Roman" w:hAnsi="Times New Roman" w:cs="Times New Roman" w:eastAsia="Times New Roman" w:hint="default"/>
          <w:sz w:val="18"/>
          <w:szCs w:val="18"/>
        </w:rPr>
        <w:t>“</w:t>
      </w:r>
      <w:r>
        <w:rPr>
          <w:rFonts w:ascii="宋体" w:hAnsi="宋体" w:cs="宋体" w:eastAsia="宋体" w:hint="default"/>
          <w:sz w:val="18"/>
          <w:szCs w:val="18"/>
        </w:rPr>
        <w:t>鲁班奖</w:t>
      </w:r>
      <w:r>
        <w:rPr>
          <w:rFonts w:ascii="Times New Roman" w:hAnsi="Times New Roman" w:cs="Times New Roman" w:eastAsia="Times New Roman" w:hint="default"/>
          <w:sz w:val="18"/>
          <w:szCs w:val="18"/>
        </w:rPr>
        <w:t>”</w:t>
      </w:r>
      <w:r>
        <w:rPr>
          <w:rFonts w:ascii="宋体" w:hAnsi="宋体" w:cs="宋体" w:eastAsia="宋体" w:hint="default"/>
          <w:sz w:val="18"/>
          <w:szCs w:val="18"/>
        </w:rPr>
        <w:t>获奖企业、北京市重质量守信用企业、中关村企业信用促进会认定的信用三星级企业、北京市中关村 </w:t>
      </w:r>
      <w:r>
        <w:rPr>
          <w:rFonts w:ascii="宋体" w:hAnsi="宋体" w:cs="宋体" w:eastAsia="宋体" w:hint="default"/>
          <w:spacing w:val="-2"/>
          <w:sz w:val="18"/>
          <w:szCs w:val="18"/>
        </w:rPr>
        <w:t>信用体系建设瞪羚二星级企业。并通过了</w:t>
      </w:r>
      <w:r>
        <w:rPr>
          <w:rFonts w:ascii="Times New Roman" w:hAnsi="Times New Roman" w:cs="Times New Roman" w:eastAsia="Times New Roman" w:hint="default"/>
          <w:spacing w:val="-2"/>
          <w:sz w:val="18"/>
          <w:szCs w:val="18"/>
        </w:rPr>
        <w:t>ISO9001</w:t>
      </w:r>
      <w:r>
        <w:rPr>
          <w:rFonts w:ascii="宋体" w:hAnsi="宋体" w:cs="宋体" w:eastAsia="宋体" w:hint="default"/>
          <w:spacing w:val="-2"/>
          <w:sz w:val="18"/>
          <w:szCs w:val="18"/>
        </w:rPr>
        <w:t>质量管理体系认证、</w:t>
      </w:r>
      <w:r>
        <w:rPr>
          <w:rFonts w:ascii="Times New Roman" w:hAnsi="Times New Roman" w:cs="Times New Roman" w:eastAsia="Times New Roman" w:hint="default"/>
          <w:spacing w:val="-2"/>
          <w:sz w:val="18"/>
          <w:szCs w:val="18"/>
        </w:rPr>
        <w:t>ISO14001</w:t>
      </w:r>
      <w:r>
        <w:rPr>
          <w:rFonts w:ascii="宋体" w:hAnsi="宋体" w:cs="宋体" w:eastAsia="宋体" w:hint="default"/>
          <w:spacing w:val="-2"/>
          <w:sz w:val="18"/>
          <w:szCs w:val="18"/>
        </w:rPr>
        <w:t>环境管理体系和职业健康安全管理体系认证。</w:t>
      </w:r>
    </w:p>
    <w:p>
      <w:pPr>
        <w:spacing w:line="316" w:lineRule="auto" w:before="13"/>
        <w:ind w:left="514" w:right="1034" w:firstLine="0"/>
        <w:jc w:val="left"/>
        <w:rPr>
          <w:rFonts w:ascii="宋体" w:hAnsi="宋体" w:cs="宋体" w:eastAsia="宋体" w:hint="default"/>
          <w:sz w:val="18"/>
          <w:szCs w:val="18"/>
        </w:rPr>
      </w:pPr>
      <w:r>
        <w:rPr>
          <w:rFonts w:ascii="宋体" w:hAnsi="宋体" w:cs="宋体" w:eastAsia="宋体" w:hint="default"/>
          <w:sz w:val="18"/>
          <w:szCs w:val="18"/>
        </w:rPr>
        <w:t>三、技术及研发优势 公司作为</w:t>
      </w:r>
      <w:r>
        <w:rPr>
          <w:rFonts w:ascii="Times New Roman" w:hAnsi="Times New Roman" w:cs="Times New Roman" w:eastAsia="Times New Roman" w:hint="default"/>
          <w:sz w:val="18"/>
          <w:szCs w:val="18"/>
        </w:rPr>
        <w:t>“</w:t>
      </w:r>
      <w:r>
        <w:rPr>
          <w:rFonts w:ascii="宋体" w:hAnsi="宋体" w:cs="宋体" w:eastAsia="宋体" w:hint="default"/>
          <w:sz w:val="18"/>
          <w:szCs w:val="18"/>
        </w:rPr>
        <w:t>平安中国</w:t>
      </w:r>
      <w:r>
        <w:rPr>
          <w:rFonts w:ascii="Times New Roman" w:hAnsi="Times New Roman" w:cs="Times New Roman" w:eastAsia="Times New Roman" w:hint="default"/>
          <w:sz w:val="18"/>
          <w:szCs w:val="18"/>
        </w:rPr>
        <w:t>2.0”</w:t>
      </w:r>
      <w:r>
        <w:rPr>
          <w:rFonts w:ascii="宋体" w:hAnsi="宋体" w:cs="宋体" w:eastAsia="宋体" w:hint="default"/>
          <w:sz w:val="18"/>
          <w:szCs w:val="18"/>
        </w:rPr>
        <w:t>的倡导者，在公共安全等物联网应用领域，始终坚持自主创新，不断加大研发力度，经过多年</w:t>
      </w:r>
    </w:p>
    <w:p>
      <w:pPr>
        <w:spacing w:line="312"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的技术积累，掌握多项国际领先的自主知识产权核心技术，目前已申请多项专利和登记软件著作权。所涉及到的核心技术贯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穿了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从前端感知到后端应用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的整个物联网业务体系，具体包括：超微光感知技术、非制冷热成像技术、智能多传感应用技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术、实时视频人脸识别技术、精确行为及姿态检测技术视频内容分析技术、视频存储引擎技术、数据和服务共享技术、智慧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集成平台技术。</w:t>
      </w:r>
    </w:p>
    <w:p>
      <w:pPr>
        <w:spacing w:line="309" w:lineRule="auto" w:before="22"/>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另外，近年来公司自主研发的多项产品，达到国际国内先进水平，多次获得国家重点新产品、安徽省高新技术产品等荣</w:t>
      </w:r>
      <w:r>
        <w:rPr>
          <w:rFonts w:ascii="宋体" w:hAnsi="宋体" w:cs="宋体" w:eastAsia="宋体" w:hint="default"/>
          <w:sz w:val="18"/>
          <w:szCs w:val="18"/>
        </w:rPr>
        <w:t> 誉。公司项目</w:t>
      </w:r>
      <w:r>
        <w:rPr>
          <w:rFonts w:ascii="Times New Roman" w:hAnsi="Times New Roman" w:cs="Times New Roman" w:eastAsia="Times New Roman" w:hint="default"/>
          <w:sz w:val="18"/>
          <w:szCs w:val="18"/>
        </w:rPr>
        <w:t>XZBW-12</w:t>
      </w:r>
      <w:r>
        <w:rPr>
          <w:rFonts w:ascii="宋体" w:hAnsi="宋体" w:cs="宋体" w:eastAsia="宋体" w:hint="default"/>
          <w:sz w:val="18"/>
          <w:szCs w:val="18"/>
        </w:rPr>
        <w:t>铁路电力远动高压</w:t>
      </w:r>
      <w:r>
        <w:rPr>
          <w:rFonts w:ascii="Times New Roman" w:hAnsi="Times New Roman" w:cs="Times New Roman" w:eastAsia="Times New Roman" w:hint="default"/>
          <w:sz w:val="18"/>
          <w:szCs w:val="18"/>
        </w:rPr>
        <w:t>/</w:t>
      </w:r>
      <w:r>
        <w:rPr>
          <w:rFonts w:ascii="宋体" w:hAnsi="宋体" w:cs="宋体" w:eastAsia="宋体" w:hint="default"/>
          <w:sz w:val="18"/>
          <w:szCs w:val="18"/>
        </w:rPr>
        <w:t>低压预装式变电站获得国家重点新产品证书；公司项目</w:t>
      </w:r>
      <w:r>
        <w:rPr>
          <w:rFonts w:ascii="Times New Roman" w:hAnsi="Times New Roman" w:cs="Times New Roman" w:eastAsia="Times New Roman" w:hint="default"/>
          <w:sz w:val="18"/>
          <w:szCs w:val="18"/>
        </w:rPr>
        <w:t>DMX300</w:t>
      </w:r>
      <w:r>
        <w:rPr>
          <w:rFonts w:ascii="宋体" w:hAnsi="宋体" w:cs="宋体" w:eastAsia="宋体" w:hint="default"/>
          <w:sz w:val="18"/>
          <w:szCs w:val="18"/>
        </w:rPr>
        <w:t>多功能测控装置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获得国家火炬计划项目证书；公司产品</w:t>
      </w:r>
      <w:r>
        <w:rPr>
          <w:rFonts w:ascii="Times New Roman" w:hAnsi="Times New Roman" w:cs="Times New Roman" w:eastAsia="Times New Roman" w:hint="default"/>
          <w:sz w:val="18"/>
          <w:szCs w:val="18"/>
        </w:rPr>
        <w:t>AXQ1</w:t>
      </w:r>
      <w:r>
        <w:rPr>
          <w:rFonts w:ascii="宋体" w:hAnsi="宋体" w:cs="宋体" w:eastAsia="宋体" w:hint="default"/>
          <w:sz w:val="18"/>
          <w:szCs w:val="18"/>
        </w:rPr>
        <w:t>系列智能型双电源自动转换开关获得安徽省高新技术产品认定证书。</w:t>
      </w:r>
    </w:p>
    <w:p>
      <w:pPr>
        <w:spacing w:line="307" w:lineRule="auto" w:before="5"/>
        <w:ind w:left="153" w:right="1128" w:firstLine="360"/>
        <w:jc w:val="both"/>
        <w:rPr>
          <w:rFonts w:ascii="宋体" w:hAnsi="宋体" w:cs="宋体" w:eastAsia="宋体" w:hint="default"/>
          <w:sz w:val="18"/>
          <w:szCs w:val="18"/>
        </w:rPr>
      </w:pPr>
      <w:r>
        <w:rPr>
          <w:rFonts w:ascii="宋体" w:hAnsi="宋体" w:cs="宋体" w:eastAsia="宋体" w:hint="default"/>
          <w:sz w:val="18"/>
          <w:szCs w:val="18"/>
        </w:rPr>
        <w:t>公司为国家火炬计划重点高新技术企业，建有国家级企业技术中心、安徽省电器设备电磁兼容（</w:t>
      </w:r>
      <w:r>
        <w:rPr>
          <w:rFonts w:ascii="Times New Roman" w:hAnsi="Times New Roman" w:cs="Times New Roman" w:eastAsia="Times New Roman" w:hint="default"/>
          <w:sz w:val="18"/>
          <w:szCs w:val="18"/>
        </w:rPr>
        <w:t>EMC</w:t>
      </w:r>
      <w:r>
        <w:rPr>
          <w:rFonts w:ascii="宋体" w:hAnsi="宋体" w:cs="宋体" w:eastAsia="宋体" w:hint="default"/>
          <w:sz w:val="18"/>
          <w:szCs w:val="18"/>
        </w:rPr>
        <w:t>）实验室和博士 </w:t>
      </w:r>
      <w:r>
        <w:rPr>
          <w:rFonts w:ascii="宋体" w:hAnsi="宋体" w:cs="宋体" w:eastAsia="宋体" w:hint="default"/>
          <w:spacing w:val="-2"/>
          <w:sz w:val="18"/>
          <w:szCs w:val="18"/>
        </w:rPr>
        <w:t>后科研工作站，目前拥有多项发明专利和实用新型专利，拥有多项国内先进的核心技术，其中控制保障技术、电气保障技术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和结构保障技术等广泛应用于高铁智能远动（高铁信号）电力保障系统，为高铁系统集中调度、大站电气集中联锁、自动闭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塞、驼峰信号等</w:t>
      </w:r>
      <w:r>
        <w:rPr>
          <w:rFonts w:ascii="Times New Roman" w:hAnsi="Times New Roman" w:cs="Times New Roman" w:eastAsia="Times New Roman" w:hint="default"/>
          <w:spacing w:val="-1"/>
          <w:sz w:val="18"/>
          <w:szCs w:val="18"/>
        </w:rPr>
        <w:t>I</w:t>
      </w:r>
      <w:r>
        <w:rPr>
          <w:rFonts w:ascii="宋体" w:hAnsi="宋体" w:cs="宋体" w:eastAsia="宋体" w:hint="default"/>
          <w:spacing w:val="-1"/>
          <w:sz w:val="18"/>
          <w:szCs w:val="18"/>
        </w:rPr>
        <w:t>级负荷提供电源，确保铁路信号、通信系统安全用电等；有源功率因数校正</w:t>
      </w:r>
      <w:r>
        <w:rPr>
          <w:rFonts w:ascii="Times New Roman" w:hAnsi="Times New Roman" w:cs="Times New Roman" w:eastAsia="Times New Roman" w:hint="default"/>
          <w:spacing w:val="-1"/>
          <w:sz w:val="18"/>
          <w:szCs w:val="18"/>
        </w:rPr>
        <w:t>(APFC)</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DC-DC</w:t>
      </w:r>
      <w:r>
        <w:rPr>
          <w:rFonts w:ascii="宋体" w:hAnsi="宋体" w:cs="宋体" w:eastAsia="宋体" w:hint="default"/>
          <w:spacing w:val="-1"/>
          <w:sz w:val="18"/>
          <w:szCs w:val="18"/>
        </w:rPr>
        <w:t>变换全桥移相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软开关等技术通过</w:t>
      </w:r>
      <w:r>
        <w:rPr>
          <w:rFonts w:ascii="Times New Roman" w:hAnsi="Times New Roman" w:cs="Times New Roman" w:eastAsia="Times New Roman" w:hint="default"/>
          <w:sz w:val="18"/>
          <w:szCs w:val="18"/>
        </w:rPr>
        <w:t>CAN</w:t>
      </w:r>
      <w:r>
        <w:rPr>
          <w:rFonts w:ascii="宋体" w:hAnsi="宋体" w:cs="宋体" w:eastAsia="宋体" w:hint="default"/>
          <w:sz w:val="18"/>
          <w:szCs w:val="18"/>
        </w:rPr>
        <w:t>通讯技术自动检测电动汽车</w:t>
      </w:r>
      <w:r>
        <w:rPr>
          <w:rFonts w:ascii="Times New Roman" w:hAnsi="Times New Roman" w:cs="Times New Roman" w:eastAsia="Times New Roman" w:hint="default"/>
          <w:sz w:val="18"/>
          <w:szCs w:val="18"/>
        </w:rPr>
        <w:t>BMS</w:t>
      </w:r>
      <w:r>
        <w:rPr>
          <w:rFonts w:ascii="宋体" w:hAnsi="宋体" w:cs="宋体" w:eastAsia="宋体" w:hint="default"/>
          <w:sz w:val="18"/>
          <w:szCs w:val="18"/>
        </w:rPr>
        <w:t>系统，并与其进行握手通讯，根据电池参数调用最优充电策略启动</w:t>
      </w:r>
      <w:r>
        <w:rPr>
          <w:rFonts w:ascii="宋体" w:hAnsi="宋体" w:cs="宋体" w:eastAsia="宋体" w:hint="default"/>
          <w:spacing w:val="-41"/>
          <w:sz w:val="18"/>
          <w:szCs w:val="18"/>
        </w:rPr>
        <w:t> </w:t>
      </w:r>
      <w:r>
        <w:rPr>
          <w:rFonts w:ascii="宋体" w:hAnsi="宋体" w:cs="宋体" w:eastAsia="宋体" w:hint="default"/>
          <w:sz w:val="18"/>
          <w:szCs w:val="18"/>
        </w:rPr>
        <w:t>充电桩输出电压对电动汽车进行充电。</w:t>
      </w:r>
    </w:p>
    <w:p>
      <w:pPr>
        <w:spacing w:line="316" w:lineRule="auto" w:before="26"/>
        <w:ind w:left="513" w:right="1033" w:hanging="70"/>
        <w:jc w:val="left"/>
        <w:rPr>
          <w:rFonts w:ascii="宋体" w:hAnsi="宋体" w:cs="宋体" w:eastAsia="宋体" w:hint="default"/>
          <w:sz w:val="18"/>
          <w:szCs w:val="18"/>
        </w:rPr>
      </w:pPr>
      <w:r>
        <w:rPr>
          <w:rFonts w:ascii="宋体" w:hAnsi="宋体" w:cs="宋体" w:eastAsia="宋体" w:hint="default"/>
          <w:sz w:val="18"/>
          <w:szCs w:val="18"/>
        </w:rPr>
        <w:t>四、品牌及质量优势 由于反恐及公共安全、输配电及控制设备对电网安全运行至关重要，客户对品牌和质量的认可往往决定了其购买行为，</w:t>
      </w:r>
    </w:p>
    <w:p>
      <w:pPr>
        <w:spacing w:line="307" w:lineRule="auto" w:before="19"/>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在建立信任关系后不易改变对品牌的忠诚度，因此公司一直将品牌建设列入企业战略目标，实行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重质量、创名牌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的经营方</w:t>
      </w:r>
      <w:r>
        <w:rPr>
          <w:rFonts w:ascii="宋体" w:hAnsi="宋体" w:cs="宋体" w:eastAsia="宋体" w:hint="default"/>
          <w:spacing w:val="-43"/>
          <w:sz w:val="18"/>
          <w:szCs w:val="18"/>
        </w:rPr>
        <w:t> </w:t>
      </w:r>
      <w:r>
        <w:rPr>
          <w:rFonts w:ascii="宋体" w:hAnsi="宋体" w:cs="宋体" w:eastAsia="宋体" w:hint="default"/>
          <w:spacing w:val="-2"/>
          <w:sz w:val="18"/>
          <w:szCs w:val="18"/>
        </w:rPr>
        <w:t>针。</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月，中电兴发总裁瞿洪桂被入选成为中国警用装备标准化委员会通信委员。同时警用装备标准化委员会从公安</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部级标委会升格为国家级标准化委员会。这标志着中电兴发在警用及反恐装备领域内的努力引起了公安部的关注和高度认</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可。</w:t>
      </w:r>
    </w:p>
    <w:p>
      <w:pPr>
        <w:spacing w:line="304" w:lineRule="auto" w:before="26"/>
        <w:ind w:left="153" w:right="104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鑫龙牌</w:t>
      </w:r>
      <w:r>
        <w:rPr>
          <w:rFonts w:ascii="Times New Roman" w:hAnsi="Times New Roman" w:cs="Times New Roman" w:eastAsia="Times New Roman" w:hint="default"/>
          <w:sz w:val="18"/>
          <w:szCs w:val="18"/>
        </w:rPr>
        <w:t>”</w:t>
      </w:r>
      <w:r>
        <w:rPr>
          <w:rFonts w:ascii="宋体" w:hAnsi="宋体" w:cs="宋体" w:eastAsia="宋体" w:hint="default"/>
          <w:sz w:val="18"/>
          <w:szCs w:val="18"/>
        </w:rPr>
        <w:t>图形商标于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年被国家工商总局评定为中国驰名商标，</w:t>
      </w:r>
      <w:r>
        <w:rPr>
          <w:rFonts w:ascii="Times New Roman" w:hAnsi="Times New Roman" w:cs="Times New Roman" w:eastAsia="Times New Roman" w:hint="default"/>
          <w:sz w:val="18"/>
          <w:szCs w:val="18"/>
        </w:rPr>
        <w:t>“</w:t>
      </w:r>
      <w:r>
        <w:rPr>
          <w:rFonts w:ascii="宋体" w:hAnsi="宋体" w:cs="宋体" w:eastAsia="宋体" w:hint="default"/>
          <w:sz w:val="18"/>
          <w:szCs w:val="18"/>
        </w:rPr>
        <w:t>鑫龙牌</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高低压系列开关柜于</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年荣获</w:t>
      </w:r>
      <w:r>
        <w:rPr>
          <w:rFonts w:ascii="Times New Roman" w:hAnsi="Times New Roman" w:cs="Times New Roman" w:eastAsia="Times New Roman" w:hint="default"/>
          <w:sz w:val="18"/>
          <w:szCs w:val="18"/>
        </w:rPr>
        <w:t>“</w:t>
      </w:r>
      <w:r>
        <w:rPr>
          <w:rFonts w:ascii="宋体" w:hAnsi="宋体" w:cs="宋体" w:eastAsia="宋体" w:hint="default"/>
          <w:sz w:val="18"/>
          <w:szCs w:val="18"/>
        </w:rPr>
        <w:t>产品质量</w:t>
      </w:r>
      <w:r>
        <w:rPr>
          <w:rFonts w:ascii="宋体" w:hAnsi="宋体" w:cs="宋体" w:eastAsia="宋体" w:hint="default"/>
          <w:spacing w:val="1"/>
          <w:sz w:val="18"/>
          <w:szCs w:val="18"/>
        </w:rPr>
        <w:t> </w:t>
      </w:r>
      <w:r>
        <w:rPr>
          <w:rFonts w:ascii="宋体" w:hAnsi="宋体" w:cs="宋体" w:eastAsia="宋体" w:hint="default"/>
          <w:spacing w:val="-1"/>
          <w:sz w:val="18"/>
          <w:szCs w:val="18"/>
        </w:rPr>
        <w:t>国家免检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称号，并连续四届获安徽省名牌产品称号。公司通过了最新国际标准</w:t>
      </w:r>
      <w:r>
        <w:rPr>
          <w:rFonts w:ascii="Times New Roman" w:hAnsi="Times New Roman" w:cs="Times New Roman" w:eastAsia="Times New Roman" w:hint="default"/>
          <w:spacing w:val="-1"/>
          <w:sz w:val="18"/>
          <w:szCs w:val="18"/>
        </w:rPr>
        <w:t>ISO9001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版质量管理体系、</w:t>
      </w:r>
      <w:r>
        <w:rPr>
          <w:rFonts w:ascii="Times New Roman" w:hAnsi="Times New Roman" w:cs="Times New Roman" w:eastAsia="Times New Roman" w:hint="default"/>
          <w:spacing w:val="-1"/>
          <w:sz w:val="18"/>
          <w:szCs w:val="18"/>
        </w:rPr>
        <w:t>ISO14001</w:t>
      </w:r>
      <w:r>
        <w:rPr>
          <w:rFonts w:ascii="宋体" w:hAnsi="宋体" w:cs="宋体" w:eastAsia="宋体" w:hint="default"/>
          <w:spacing w:val="-1"/>
          <w:sz w:val="18"/>
          <w:szCs w:val="18"/>
        </w:rPr>
        <w:t>：</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2004</w:t>
      </w:r>
      <w:r>
        <w:rPr>
          <w:rFonts w:ascii="宋体" w:hAnsi="宋体" w:cs="宋体" w:eastAsia="宋体" w:hint="default"/>
          <w:sz w:val="18"/>
          <w:szCs w:val="18"/>
        </w:rPr>
        <w:t>环境管理体系和</w:t>
      </w:r>
      <w:r>
        <w:rPr>
          <w:rFonts w:ascii="Times New Roman" w:hAnsi="Times New Roman" w:cs="Times New Roman" w:eastAsia="Times New Roman" w:hint="default"/>
          <w:sz w:val="18"/>
          <w:szCs w:val="18"/>
        </w:rPr>
        <w:t>GB/T28001-2001</w:t>
      </w:r>
      <w:r>
        <w:rPr>
          <w:rFonts w:ascii="宋体" w:hAnsi="宋体" w:cs="宋体" w:eastAsia="宋体" w:hint="default"/>
          <w:sz w:val="18"/>
          <w:szCs w:val="18"/>
        </w:rPr>
        <w:t>职业健康安全管理体系等三项体系认证，</w:t>
      </w:r>
      <w:r>
        <w:rPr>
          <w:rFonts w:ascii="Times New Roman" w:hAnsi="Times New Roman" w:cs="Times New Roman" w:eastAsia="Times New Roman" w:hint="default"/>
          <w:sz w:val="18"/>
          <w:szCs w:val="18"/>
        </w:rPr>
        <w:t>175</w:t>
      </w:r>
      <w:r>
        <w:rPr>
          <w:rFonts w:ascii="宋体" w:hAnsi="宋体" w:cs="宋体" w:eastAsia="宋体" w:hint="default"/>
          <w:sz w:val="18"/>
          <w:szCs w:val="18"/>
        </w:rPr>
        <w:t>余种产品通过产品型式试验，百余种产品 获得中国国家强制性产品认证（</w:t>
      </w:r>
      <w:r>
        <w:rPr>
          <w:rFonts w:ascii="Times New Roman" w:hAnsi="Times New Roman" w:cs="Times New Roman" w:eastAsia="Times New Roman" w:hint="default"/>
          <w:sz w:val="18"/>
          <w:szCs w:val="18"/>
        </w:rPr>
        <w:t>3C</w:t>
      </w:r>
      <w:r>
        <w:rPr>
          <w:rFonts w:ascii="宋体" w:hAnsi="宋体" w:cs="宋体" w:eastAsia="宋体" w:hint="default"/>
          <w:sz w:val="18"/>
          <w:szCs w:val="18"/>
        </w:rPr>
        <w:t>）证书。此外，公司还参与了国家标准和行业标准的制定工作。公司参与了武广及京沪</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2"/>
          <w:sz w:val="18"/>
          <w:szCs w:val="18"/>
        </w:rPr>
        <w:t>高铁、北京奥运场馆、南京禄口及昆明长水机场等工程项目，也充分彰显公司作为国内一流输配电及控制设备制造企业在高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铁等国家重点建设工程领域的品牌及质量优势。依托公司品牌及质量优势，公司逐步进入新能源汽车智能充电桩市场。</w:t>
      </w:r>
    </w:p>
    <w:p>
      <w:pPr>
        <w:spacing w:after="0" w:line="30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034"/>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034"/>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spacing w:line="307" w:lineRule="auto" w:before="0"/>
        <w:ind w:left="153" w:right="1034" w:firstLine="43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年，公司董事会认真履行《公司法》、《公司章程》等法律、法规赋予的职责，</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年，公司整体运行稳定，各 </w:t>
      </w:r>
      <w:r>
        <w:rPr>
          <w:rFonts w:ascii="宋体" w:hAnsi="宋体" w:cs="宋体" w:eastAsia="宋体" w:hint="default"/>
          <w:spacing w:val="-4"/>
          <w:sz w:val="18"/>
          <w:szCs w:val="18"/>
        </w:rPr>
        <w:t>项工作得到稳步推进。当前国内外经济环境依然错综复杂，全球经济复苏曲折缓慢，目前我国宏观经济增速放缓，产能过剩。</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根据国家统计局披露的数据，</w:t>
      </w:r>
      <w:r>
        <w:rPr>
          <w:rFonts w:ascii="Times New Roman" w:hAnsi="Times New Roman" w:cs="Times New Roman" w:eastAsia="Times New Roman" w:hint="default"/>
          <w:sz w:val="18"/>
          <w:szCs w:val="18"/>
        </w:rPr>
        <w:t>2015</w:t>
      </w:r>
      <w:r>
        <w:rPr>
          <w:rFonts w:ascii="宋体" w:hAnsi="宋体" w:cs="宋体" w:eastAsia="宋体" w:hint="default"/>
          <w:sz w:val="18"/>
          <w:szCs w:val="18"/>
        </w:rPr>
        <w:t>年，我国国内生产总值（</w:t>
      </w:r>
      <w:r>
        <w:rPr>
          <w:rFonts w:ascii="Times New Roman" w:hAnsi="Times New Roman" w:cs="Times New Roman" w:eastAsia="Times New Roman" w:hint="default"/>
          <w:sz w:val="18"/>
          <w:szCs w:val="18"/>
        </w:rPr>
        <w:t>GDP</w:t>
      </w:r>
      <w:r>
        <w:rPr>
          <w:rFonts w:ascii="宋体" w:hAnsi="宋体" w:cs="宋体" w:eastAsia="宋体" w:hint="default"/>
          <w:sz w:val="18"/>
          <w:szCs w:val="18"/>
        </w:rPr>
        <w:t>）增速为</w:t>
      </w:r>
      <w:r>
        <w:rPr>
          <w:rFonts w:ascii="Times New Roman" w:hAnsi="Times New Roman" w:cs="Times New Roman" w:eastAsia="Times New Roman" w:hint="default"/>
          <w:sz w:val="18"/>
          <w:szCs w:val="18"/>
        </w:rPr>
        <w:t>6.9%</w:t>
      </w:r>
      <w:r>
        <w:rPr>
          <w:rFonts w:ascii="宋体" w:hAnsi="宋体" w:cs="宋体" w:eastAsia="宋体" w:hint="default"/>
          <w:sz w:val="18"/>
          <w:szCs w:val="18"/>
        </w:rPr>
        <w:t>，</w:t>
      </w:r>
      <w:r>
        <w:rPr>
          <w:rFonts w:ascii="Times New Roman" w:hAnsi="Times New Roman" w:cs="Times New Roman" w:eastAsia="Times New Roman" w:hint="default"/>
          <w:sz w:val="18"/>
          <w:szCs w:val="18"/>
        </w:rPr>
        <w:t>1991</w:t>
      </w:r>
      <w:r>
        <w:rPr>
          <w:rFonts w:ascii="宋体" w:hAnsi="宋体" w:cs="宋体" w:eastAsia="宋体" w:hint="default"/>
          <w:sz w:val="18"/>
          <w:szCs w:val="18"/>
        </w:rPr>
        <w:t>年以来首次跌破</w:t>
      </w:r>
      <w:r>
        <w:rPr>
          <w:rFonts w:ascii="Times New Roman" w:hAnsi="Times New Roman" w:cs="Times New Roman" w:eastAsia="Times New Roman" w:hint="default"/>
          <w:sz w:val="18"/>
          <w:szCs w:val="18"/>
        </w:rPr>
        <w:t>7%</w:t>
      </w:r>
      <w:r>
        <w:rPr>
          <w:rFonts w:ascii="宋体" w:hAnsi="宋体" w:cs="宋体" w:eastAsia="宋体" w:hint="default"/>
          <w:sz w:val="18"/>
          <w:szCs w:val="18"/>
        </w:rPr>
        <w:t>。公司克服了国内 外环境的影响，坚持稳中求进的总步伐。</w:t>
      </w:r>
    </w:p>
    <w:p>
      <w:pPr>
        <w:spacing w:line="300" w:lineRule="auto" w:before="26"/>
        <w:ind w:left="153" w:right="1182" w:firstLine="29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年，公司实现营业收入</w:t>
      </w:r>
      <w:r>
        <w:rPr>
          <w:rFonts w:ascii="Times New Roman" w:hAnsi="Times New Roman" w:cs="Times New Roman" w:eastAsia="Times New Roman" w:hint="default"/>
          <w:sz w:val="18"/>
          <w:szCs w:val="18"/>
        </w:rPr>
        <w:t>87,270.59</w:t>
      </w:r>
      <w:r>
        <w:rPr>
          <w:rFonts w:ascii="宋体" w:hAnsi="宋体" w:cs="宋体" w:eastAsia="宋体" w:hint="default"/>
          <w:sz w:val="18"/>
          <w:szCs w:val="18"/>
        </w:rPr>
        <w:t>万元，同比上升</w:t>
      </w:r>
      <w:r>
        <w:rPr>
          <w:rFonts w:ascii="Times New Roman" w:hAnsi="Times New Roman" w:cs="Times New Roman" w:eastAsia="Times New Roman" w:hint="default"/>
          <w:sz w:val="18"/>
          <w:szCs w:val="18"/>
        </w:rPr>
        <w:t>7.82%</w:t>
      </w:r>
      <w:r>
        <w:rPr>
          <w:rFonts w:ascii="宋体" w:hAnsi="宋体" w:cs="宋体" w:eastAsia="宋体" w:hint="default"/>
          <w:sz w:val="18"/>
          <w:szCs w:val="18"/>
        </w:rPr>
        <w:t>；实现营业利润</w:t>
      </w:r>
      <w:r>
        <w:rPr>
          <w:rFonts w:ascii="Times New Roman" w:hAnsi="Times New Roman" w:cs="Times New Roman" w:eastAsia="Times New Roman" w:hint="default"/>
          <w:sz w:val="18"/>
          <w:szCs w:val="18"/>
        </w:rPr>
        <w:t>7,484.27</w:t>
      </w:r>
      <w:r>
        <w:rPr>
          <w:rFonts w:ascii="宋体" w:hAnsi="宋体" w:cs="宋体" w:eastAsia="宋体" w:hint="default"/>
          <w:sz w:val="18"/>
          <w:szCs w:val="18"/>
        </w:rPr>
        <w:t>万元，同比上升</w:t>
      </w:r>
      <w:r>
        <w:rPr>
          <w:rFonts w:ascii="Times New Roman" w:hAnsi="Times New Roman" w:cs="Times New Roman" w:eastAsia="Times New Roman" w:hint="default"/>
          <w:sz w:val="18"/>
          <w:szCs w:val="18"/>
        </w:rPr>
        <w:t>715.22%</w:t>
      </w:r>
      <w:r>
        <w:rPr>
          <w:rFonts w:ascii="宋体" w:hAnsi="宋体" w:cs="宋体" w:eastAsia="宋体" w:hint="default"/>
          <w:sz w:val="18"/>
          <w:szCs w:val="18"/>
        </w:rPr>
        <w:t>；实现利润 总额</w:t>
      </w:r>
      <w:r>
        <w:rPr>
          <w:rFonts w:ascii="Times New Roman" w:hAnsi="Times New Roman" w:cs="Times New Roman" w:eastAsia="Times New Roman" w:hint="default"/>
          <w:sz w:val="18"/>
          <w:szCs w:val="18"/>
        </w:rPr>
        <w:t>8,993.70</w:t>
      </w:r>
      <w:r>
        <w:rPr>
          <w:rFonts w:ascii="宋体" w:hAnsi="宋体" w:cs="宋体" w:eastAsia="宋体" w:hint="default"/>
          <w:sz w:val="18"/>
          <w:szCs w:val="18"/>
        </w:rPr>
        <w:t>万元，同比上升</w:t>
      </w:r>
      <w:r>
        <w:rPr>
          <w:rFonts w:ascii="Times New Roman" w:hAnsi="Times New Roman" w:cs="Times New Roman" w:eastAsia="Times New Roman" w:hint="default"/>
          <w:sz w:val="18"/>
          <w:szCs w:val="18"/>
        </w:rPr>
        <w:t>341.93%</w:t>
      </w:r>
      <w:r>
        <w:rPr>
          <w:rFonts w:ascii="宋体" w:hAnsi="宋体" w:cs="宋体" w:eastAsia="宋体" w:hint="default"/>
          <w:sz w:val="18"/>
          <w:szCs w:val="18"/>
        </w:rPr>
        <w:t>；实现净利润</w:t>
      </w:r>
      <w:r>
        <w:rPr>
          <w:rFonts w:ascii="Times New Roman" w:hAnsi="Times New Roman" w:cs="Times New Roman" w:eastAsia="Times New Roman" w:hint="default"/>
          <w:sz w:val="18"/>
          <w:szCs w:val="18"/>
        </w:rPr>
        <w:t>7,777.56</w:t>
      </w:r>
      <w:r>
        <w:rPr>
          <w:rFonts w:ascii="宋体" w:hAnsi="宋体" w:cs="宋体" w:eastAsia="宋体" w:hint="default"/>
          <w:sz w:val="18"/>
          <w:szCs w:val="18"/>
        </w:rPr>
        <w:t>万元，同比上升</w:t>
      </w:r>
      <w:r>
        <w:rPr>
          <w:rFonts w:ascii="Times New Roman" w:hAnsi="Times New Roman" w:cs="Times New Roman" w:eastAsia="Times New Roman" w:hint="default"/>
          <w:sz w:val="18"/>
          <w:szCs w:val="18"/>
        </w:rPr>
        <w:t>366.99%</w:t>
      </w:r>
      <w:r>
        <w:rPr>
          <w:rFonts w:ascii="宋体" w:hAnsi="宋体" w:cs="宋体" w:eastAsia="宋体" w:hint="default"/>
          <w:sz w:val="18"/>
          <w:szCs w:val="18"/>
        </w:rPr>
        <w:t>；其中，实现归属于母公司所有者的净 利润</w:t>
      </w:r>
      <w:r>
        <w:rPr>
          <w:rFonts w:ascii="Times New Roman" w:hAnsi="Times New Roman" w:cs="Times New Roman" w:eastAsia="Times New Roman" w:hint="default"/>
          <w:sz w:val="18"/>
          <w:szCs w:val="18"/>
        </w:rPr>
        <w:t>6,634.88</w:t>
      </w:r>
      <w:r>
        <w:rPr>
          <w:rFonts w:ascii="宋体" w:hAnsi="宋体" w:cs="宋体" w:eastAsia="宋体" w:hint="default"/>
          <w:sz w:val="18"/>
          <w:szCs w:val="18"/>
        </w:rPr>
        <w:t>万元，同比上升</w:t>
      </w:r>
      <w:r>
        <w:rPr>
          <w:rFonts w:ascii="Times New Roman" w:hAnsi="Times New Roman" w:cs="Times New Roman" w:eastAsia="Times New Roman" w:hint="default"/>
          <w:sz w:val="18"/>
          <w:szCs w:val="18"/>
        </w:rPr>
        <w:t>342.37%</w:t>
      </w:r>
      <w:r>
        <w:rPr>
          <w:rFonts w:ascii="宋体" w:hAnsi="宋体" w:cs="宋体" w:eastAsia="宋体" w:hint="default"/>
          <w:sz w:val="18"/>
          <w:szCs w:val="18"/>
        </w:rPr>
        <w:t>。</w:t>
      </w:r>
    </w:p>
    <w:p>
      <w:pPr>
        <w:spacing w:line="309" w:lineRule="auto" w:before="13"/>
        <w:ind w:left="153" w:right="1133" w:firstLine="434"/>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年，在面对较大经济下行压力的情况下，公司一方面，紧密联系市场需求拓展市场，积极探索新的营销模式，增 </w:t>
      </w:r>
      <w:r>
        <w:rPr>
          <w:rFonts w:ascii="宋体" w:hAnsi="宋体" w:cs="宋体" w:eastAsia="宋体" w:hint="default"/>
          <w:spacing w:val="-2"/>
          <w:sz w:val="18"/>
          <w:szCs w:val="18"/>
        </w:rPr>
        <w:t>强公司持续盈利能力，以应对复杂多变的市场经济形式、克服同行业竞争等困难；另一方面，进行资本运作，加强兼并重组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的步伐。</w:t>
      </w:r>
    </w:p>
    <w:p>
      <w:pPr>
        <w:spacing w:before="24"/>
        <w:ind w:left="153" w:right="1034" w:firstLine="0"/>
        <w:jc w:val="left"/>
        <w:rPr>
          <w:rFonts w:ascii="宋体" w:hAnsi="宋体" w:cs="宋体" w:eastAsia="宋体" w:hint="default"/>
          <w:sz w:val="18"/>
          <w:szCs w:val="18"/>
        </w:rPr>
      </w:pPr>
      <w:r>
        <w:rPr>
          <w:rFonts w:ascii="宋体" w:hAnsi="宋体" w:cs="宋体" w:eastAsia="宋体" w:hint="default"/>
          <w:sz w:val="18"/>
          <w:szCs w:val="18"/>
        </w:rPr>
        <w:t>公司回顾总结报告期内披露的主要工作情况：</w:t>
      </w:r>
    </w:p>
    <w:p>
      <w:pPr>
        <w:spacing w:before="76"/>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、募集资金项目进展情况</w:t>
      </w:r>
    </w:p>
    <w:p>
      <w:pPr>
        <w:spacing w:line="300" w:lineRule="auto" w:before="63"/>
        <w:ind w:left="153" w:right="1116" w:firstLine="36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）报告期内，公司募投项目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高、低压开关柜及元件技术研究中心建设项目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年产</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万台智能型电力电器元件产</w:t>
      </w:r>
      <w:r>
        <w:rPr>
          <w:rFonts w:ascii="宋体" w:hAnsi="宋体" w:cs="宋体" w:eastAsia="宋体" w:hint="default"/>
          <w:sz w:val="18"/>
          <w:szCs w:val="18"/>
        </w:rPr>
        <w:t> 品生产线项目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均己正式投入使用。</w:t>
      </w:r>
    </w:p>
    <w:p>
      <w:pPr>
        <w:spacing w:line="300" w:lineRule="auto" w:before="13"/>
        <w:ind w:left="154" w:right="1131" w:firstLine="434"/>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日召开第六届董事会第十四次会议，审议通过了《关于使用剩余募集资金永久性补充流动资金</w:t>
      </w:r>
      <w:r>
        <w:rPr>
          <w:rFonts w:ascii="宋体" w:hAnsi="宋体" w:cs="宋体" w:eastAsia="宋体" w:hint="default"/>
          <w:sz w:val="18"/>
          <w:szCs w:val="18"/>
        </w:rPr>
        <w:t> 的议案》，同意公司将募集资金专户余额约</w:t>
      </w:r>
      <w:r>
        <w:rPr>
          <w:rFonts w:ascii="Times New Roman" w:hAnsi="Times New Roman" w:cs="Times New Roman" w:eastAsia="Times New Roman" w:hint="default"/>
          <w:sz w:val="18"/>
          <w:szCs w:val="18"/>
        </w:rPr>
        <w:t>5,611.66</w:t>
      </w:r>
      <w:r>
        <w:rPr>
          <w:rFonts w:ascii="宋体" w:hAnsi="宋体" w:cs="宋体" w:eastAsia="宋体" w:hint="default"/>
          <w:sz w:val="18"/>
          <w:szCs w:val="18"/>
        </w:rPr>
        <w:t>万元（包括节余募集资金及累计利息收入扣除手续费后的净额、已完工 募投项目应付未付尾款，具体以转账日金额为准）永久性补充流动资金。</w:t>
      </w:r>
    </w:p>
    <w:p>
      <w:pPr>
        <w:spacing w:before="31"/>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、公司重大资产重组事项</w:t>
      </w:r>
    </w:p>
    <w:p>
      <w:pPr>
        <w:spacing w:line="304" w:lineRule="auto" w:before="63"/>
        <w:ind w:left="153" w:right="1127" w:firstLine="29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日召开第六届董事会第十四次会议，会议通过了《关于公司发行股份及支付现金购买资产并募 </w:t>
      </w:r>
      <w:r>
        <w:rPr>
          <w:rFonts w:ascii="宋体" w:hAnsi="宋体" w:cs="宋体" w:eastAsia="宋体" w:hint="default"/>
          <w:spacing w:val="-2"/>
          <w:sz w:val="18"/>
          <w:szCs w:val="18"/>
        </w:rPr>
        <w:t>集配套资金条件的相关议案》。公司拟向瞿洪桂、张桂芹、孟涛、吴小岭、郭晨、周超、何利、青岛金石泓信投资中心（有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限合伙）发行股份及支付现金购买其持有的北京中电兴发科技有限公司（以下简称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中电兴发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的股权。公司同时通 </w:t>
      </w:r>
      <w:r>
        <w:rPr>
          <w:rFonts w:ascii="宋体" w:hAnsi="宋体" w:cs="宋体" w:eastAsia="宋体" w:hint="default"/>
          <w:spacing w:val="-1"/>
          <w:sz w:val="18"/>
          <w:szCs w:val="18"/>
        </w:rPr>
        <w:t>过非公开发行股票募集配套资金，用于支付本次交易的现金对价。募集资金总额为</w:t>
      </w:r>
      <w:r>
        <w:rPr>
          <w:rFonts w:ascii="Times New Roman" w:hAnsi="Times New Roman" w:cs="Times New Roman" w:eastAsia="Times New Roman" w:hint="default"/>
          <w:spacing w:val="-1"/>
          <w:sz w:val="18"/>
          <w:szCs w:val="18"/>
        </w:rPr>
        <w:t>43,000</w:t>
      </w:r>
      <w:r>
        <w:rPr>
          <w:rFonts w:ascii="宋体" w:hAnsi="宋体" w:cs="宋体" w:eastAsia="宋体" w:hint="default"/>
          <w:spacing w:val="-1"/>
          <w:sz w:val="18"/>
          <w:szCs w:val="18"/>
        </w:rPr>
        <w:t>万元，不超过交易总额（标的资产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交易价格</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配套募集资金）的</w:t>
      </w:r>
      <w:r>
        <w:rPr>
          <w:rFonts w:ascii="宋体" w:hAnsi="宋体" w:cs="宋体" w:eastAsia="宋体" w:hint="default"/>
          <w:spacing w:val="19"/>
          <w:sz w:val="18"/>
          <w:szCs w:val="18"/>
        </w:rPr>
        <w:t> </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，其中公司控股股东束龙胜认购</w:t>
      </w:r>
      <w:r>
        <w:rPr>
          <w:rFonts w:ascii="Times New Roman" w:hAnsi="Times New Roman" w:cs="Times New Roman" w:eastAsia="Times New Roman" w:hint="default"/>
          <w:spacing w:val="-6"/>
          <w:sz w:val="18"/>
          <w:szCs w:val="18"/>
        </w:rPr>
        <w:t>13,000</w:t>
      </w:r>
      <w:r>
        <w:rPr>
          <w:rFonts w:ascii="宋体" w:hAnsi="宋体" w:cs="宋体" w:eastAsia="宋体" w:hint="default"/>
          <w:spacing w:val="-6"/>
          <w:sz w:val="18"/>
          <w:szCs w:val="18"/>
        </w:rPr>
        <w:t>万元，上海理鼎投资管理中心（有限合伙）认购</w:t>
      </w:r>
      <w:r>
        <w:rPr>
          <w:rFonts w:ascii="Times New Roman" w:hAnsi="Times New Roman" w:cs="Times New Roman" w:eastAsia="Times New Roman" w:hint="default"/>
          <w:spacing w:val="-6"/>
          <w:sz w:val="18"/>
          <w:szCs w:val="18"/>
        </w:rPr>
        <w:t>15,000</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万元，宁波中金国联通泰股权投资合伙企业（有限合伙）认购</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万元，乐源财富管理有限公司认购</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p>
    <w:p>
      <w:pPr>
        <w:spacing w:line="300" w:lineRule="auto" w:before="9"/>
        <w:ind w:left="153" w:right="1033" w:firstLine="4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日中国证券监督管理委员会正式予以受理公司提交的《安徽鑫龙电器股份有限公司发行股份购买资 产核准》材料。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日，公司收到中国证券监督管理委员会通知，公司发行股份购买资产相关事项获得无条件通过。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日，公司收到中国证券监督管理委员会《关于核准安徽鑫龙电器股份有限公司向瞿洪桂等发行股份购买资产并 募集配套资金的批复》（证监许可［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1726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号）的文并于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日资产过户完成。</w:t>
      </w:r>
    </w:p>
    <w:p>
      <w:pPr>
        <w:spacing w:before="13"/>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、股权激励事宜</w:t>
      </w:r>
    </w:p>
    <w:p>
      <w:pPr>
        <w:spacing w:line="300" w:lineRule="auto" w:before="63"/>
        <w:ind w:left="153" w:right="1123" w:firstLine="434"/>
        <w:jc w:val="left"/>
        <w:rPr>
          <w:rFonts w:ascii="宋体" w:hAnsi="宋体" w:cs="宋体" w:eastAsia="宋体" w:hint="default"/>
          <w:sz w:val="18"/>
          <w:szCs w:val="18"/>
        </w:rPr>
      </w:pPr>
      <w:r>
        <w:rPr>
          <w:rFonts w:ascii="宋体" w:hAnsi="宋体" w:cs="宋体" w:eastAsia="宋体" w:hint="default"/>
          <w:spacing w:val="-2"/>
          <w:sz w:val="18"/>
          <w:szCs w:val="18"/>
        </w:rPr>
        <w:t>经公司董事会申请、深圳证券交易所确认、中国证券登记结算有限责任公司深圳分公司核准登记，公司以</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25</w:t>
      </w:r>
      <w:r>
        <w:rPr>
          <w:rFonts w:ascii="Times New Roman" w:hAnsi="Times New Roman" w:cs="Times New Roman" w:eastAsia="Times New Roman" w:hint="default"/>
          <w:sz w:val="18"/>
          <w:szCs w:val="18"/>
        </w:rPr>
        <w:t> </w:t>
      </w:r>
      <w:r>
        <w:rPr>
          <w:rFonts w:ascii="宋体" w:hAnsi="宋体" w:cs="宋体" w:eastAsia="宋体" w:hint="default"/>
          <w:sz w:val="18"/>
          <w:szCs w:val="18"/>
        </w:rPr>
        <w:t>日为股票期权激励计划首次授予第二个行权期以及预留期权第一个行权期登记日，对本次首次授予提出申请行权的</w:t>
      </w:r>
      <w:r>
        <w:rPr>
          <w:rFonts w:ascii="Times New Roman" w:hAnsi="Times New Roman" w:cs="Times New Roman" w:eastAsia="Times New Roman" w:hint="default"/>
          <w:sz w:val="18"/>
          <w:szCs w:val="18"/>
        </w:rPr>
        <w:t>112</w:t>
      </w:r>
      <w:r>
        <w:rPr>
          <w:rFonts w:ascii="宋体" w:hAnsi="宋体" w:cs="宋体" w:eastAsia="宋体" w:hint="default"/>
          <w:sz w:val="18"/>
          <w:szCs w:val="18"/>
        </w:rPr>
        <w:t>名激 励对象的</w:t>
      </w:r>
      <w:r>
        <w:rPr>
          <w:rFonts w:ascii="Times New Roman" w:hAnsi="Times New Roman" w:cs="Times New Roman" w:eastAsia="Times New Roman" w:hint="default"/>
          <w:sz w:val="18"/>
          <w:szCs w:val="18"/>
        </w:rPr>
        <w:t>702.20</w:t>
      </w:r>
      <w:r>
        <w:rPr>
          <w:rFonts w:ascii="宋体" w:hAnsi="宋体" w:cs="宋体" w:eastAsia="宋体" w:hint="default"/>
          <w:sz w:val="18"/>
          <w:szCs w:val="18"/>
        </w:rPr>
        <w:t>万份以及预留期权提出申请行权的</w:t>
      </w:r>
      <w:r>
        <w:rPr>
          <w:rFonts w:ascii="Times New Roman" w:hAnsi="Times New Roman" w:cs="Times New Roman" w:eastAsia="Times New Roman" w:hint="default"/>
          <w:sz w:val="18"/>
          <w:szCs w:val="18"/>
        </w:rPr>
        <w:t>25</w:t>
      </w:r>
      <w:r>
        <w:rPr>
          <w:rFonts w:ascii="宋体" w:hAnsi="宋体" w:cs="宋体" w:eastAsia="宋体" w:hint="default"/>
          <w:sz w:val="18"/>
          <w:szCs w:val="18"/>
        </w:rPr>
        <w:t>名激励对象的</w:t>
      </w:r>
      <w:r>
        <w:rPr>
          <w:rFonts w:ascii="Times New Roman" w:hAnsi="Times New Roman" w:cs="Times New Roman" w:eastAsia="Times New Roman" w:hint="default"/>
          <w:sz w:val="18"/>
          <w:szCs w:val="18"/>
        </w:rPr>
        <w:t>51</w:t>
      </w:r>
      <w:r>
        <w:rPr>
          <w:rFonts w:ascii="宋体" w:hAnsi="宋体" w:cs="宋体" w:eastAsia="宋体" w:hint="default"/>
          <w:sz w:val="18"/>
          <w:szCs w:val="18"/>
        </w:rPr>
        <w:t>万份股票期权予以行权</w:t>
      </w:r>
      <w:r>
        <w:rPr>
          <w:rFonts w:ascii="Times New Roman" w:hAnsi="Times New Roman" w:cs="Times New Roman" w:eastAsia="Times New Roman" w:hint="default"/>
          <w:sz w:val="18"/>
          <w:szCs w:val="18"/>
        </w:rPr>
        <w:t>,</w:t>
      </w:r>
      <w:r>
        <w:rPr>
          <w:rFonts w:ascii="宋体" w:hAnsi="宋体" w:cs="宋体" w:eastAsia="宋体" w:hint="default"/>
          <w:sz w:val="18"/>
          <w:szCs w:val="18"/>
        </w:rPr>
        <w:t>故本次对集体提出申请行权的 </w:t>
      </w:r>
      <w:r>
        <w:rPr>
          <w:rFonts w:ascii="Times New Roman" w:hAnsi="Times New Roman" w:cs="Times New Roman" w:eastAsia="Times New Roman" w:hint="default"/>
          <w:sz w:val="18"/>
          <w:szCs w:val="18"/>
        </w:rPr>
        <w:t>137</w:t>
      </w:r>
      <w:r>
        <w:rPr>
          <w:rFonts w:ascii="宋体" w:hAnsi="宋体" w:cs="宋体" w:eastAsia="宋体" w:hint="default"/>
          <w:sz w:val="18"/>
          <w:szCs w:val="18"/>
        </w:rPr>
        <w:t>名激励对象的</w:t>
      </w:r>
      <w:r>
        <w:rPr>
          <w:rFonts w:ascii="Times New Roman" w:hAnsi="Times New Roman" w:cs="Times New Roman" w:eastAsia="Times New Roman" w:hint="default"/>
          <w:sz w:val="18"/>
          <w:szCs w:val="18"/>
        </w:rPr>
        <w:t>753.20</w:t>
      </w:r>
      <w:r>
        <w:rPr>
          <w:rFonts w:ascii="宋体" w:hAnsi="宋体" w:cs="宋体" w:eastAsia="宋体" w:hint="default"/>
          <w:sz w:val="18"/>
          <w:szCs w:val="18"/>
        </w:rPr>
        <w:t>万份股票期权予以行权。本次行权股份的上市时间为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p>
      <w:pPr>
        <w:spacing w:before="13"/>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、公司投资情况</w:t>
      </w:r>
    </w:p>
    <w:p>
      <w:pPr>
        <w:spacing w:line="300" w:lineRule="auto" w:before="63"/>
        <w:ind w:left="153" w:right="1034" w:firstLine="29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月，公司与美籍华人</w:t>
      </w:r>
      <w:r>
        <w:rPr>
          <w:rFonts w:ascii="Times New Roman" w:hAnsi="Times New Roman" w:cs="Times New Roman" w:eastAsia="Times New Roman" w:hint="default"/>
          <w:spacing w:val="-6"/>
          <w:sz w:val="18"/>
          <w:szCs w:val="18"/>
        </w:rPr>
        <w:t>Jiaping</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4"/>
          <w:w w:val="100"/>
          <w:sz w:val="18"/>
          <w:szCs w:val="18"/>
        </w:rPr>
        <w:t>Han</w:t>
      </w:r>
      <w:r>
        <w:rPr>
          <w:rFonts w:ascii="宋体" w:hAnsi="宋体" w:cs="宋体" w:eastAsia="宋体" w:hint="default"/>
          <w:spacing w:val="-4"/>
          <w:w w:val="100"/>
          <w:sz w:val="18"/>
          <w:szCs w:val="18"/>
        </w:rPr>
        <w:t>先生共同投资设立</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安徽杰偌新材料技术有限公司</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杰偌公司</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其中公司以自有资金出资人民币</w:t>
      </w:r>
      <w:r>
        <w:rPr>
          <w:rFonts w:ascii="Times New Roman" w:hAnsi="Times New Roman" w:cs="Times New Roman" w:eastAsia="Times New Roman" w:hint="default"/>
          <w:sz w:val="18"/>
          <w:szCs w:val="18"/>
        </w:rPr>
        <w:t>1,800</w:t>
      </w:r>
      <w:r>
        <w:rPr>
          <w:rFonts w:ascii="宋体" w:hAnsi="宋体" w:cs="宋体" w:eastAsia="宋体" w:hint="default"/>
          <w:sz w:val="18"/>
          <w:szCs w:val="18"/>
        </w:rPr>
        <w:t>万元，占注册资本的</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Times New Roman" w:hAnsi="Times New Roman" w:cs="Times New Roman" w:eastAsia="Times New Roman" w:hint="default"/>
          <w:sz w:val="18"/>
          <w:szCs w:val="18"/>
        </w:rPr>
        <w:t>Jiaping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Han</w:t>
      </w:r>
      <w:r>
        <w:rPr>
          <w:rFonts w:ascii="宋体" w:hAnsi="宋体" w:cs="宋体" w:eastAsia="宋体" w:hint="default"/>
          <w:sz w:val="18"/>
          <w:szCs w:val="18"/>
        </w:rPr>
        <w:t>先生以专有技术作价出资人民币</w:t>
      </w:r>
      <w:r>
        <w:rPr>
          <w:rFonts w:ascii="Times New Roman" w:hAnsi="Times New Roman" w:cs="Times New Roman" w:eastAsia="Times New Roman" w:hint="default"/>
          <w:sz w:val="18"/>
          <w:szCs w:val="18"/>
        </w:rPr>
        <w:t>1,200</w:t>
      </w:r>
      <w:r>
        <w:rPr>
          <w:rFonts w:ascii="宋体" w:hAnsi="宋体" w:cs="宋体" w:eastAsia="宋体" w:hint="default"/>
          <w:sz w:val="18"/>
          <w:szCs w:val="18"/>
        </w:rPr>
        <w:t>万元，占 注册资本的</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p>
      <w:pPr>
        <w:spacing w:before="13"/>
        <w:ind w:left="516" w:right="10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月，公司</w:t>
      </w:r>
      <w:r>
        <w:rPr>
          <w:rFonts w:ascii="宋体" w:hAnsi="宋体" w:cs="宋体" w:eastAsia="宋体" w:hint="default"/>
          <w:color w:val="2B2B2B"/>
          <w:sz w:val="18"/>
          <w:szCs w:val="18"/>
        </w:rPr>
        <w:t>以</w:t>
      </w:r>
      <w:r>
        <w:rPr>
          <w:rFonts w:ascii="Times New Roman" w:hAnsi="Times New Roman" w:cs="Times New Roman" w:eastAsia="Times New Roman" w:hint="default"/>
          <w:color w:val="2B2B2B"/>
          <w:sz w:val="18"/>
          <w:szCs w:val="18"/>
        </w:rPr>
        <w:t>17.25</w:t>
      </w:r>
      <w:r>
        <w:rPr>
          <w:rFonts w:ascii="宋体" w:hAnsi="宋体" w:cs="宋体" w:eastAsia="宋体" w:hint="default"/>
          <w:color w:val="2B2B2B"/>
          <w:sz w:val="18"/>
          <w:szCs w:val="18"/>
        </w:rPr>
        <w:t>亿元购买中电兴发</w:t>
      </w:r>
      <w:r>
        <w:rPr>
          <w:rFonts w:ascii="Times New Roman" w:hAnsi="Times New Roman" w:cs="Times New Roman" w:eastAsia="Times New Roman" w:hint="default"/>
          <w:color w:val="2B2B2B"/>
          <w:sz w:val="18"/>
          <w:szCs w:val="18"/>
        </w:rPr>
        <w:t>100%</w:t>
      </w:r>
      <w:r>
        <w:rPr>
          <w:rFonts w:ascii="宋体" w:hAnsi="宋体" w:cs="宋体" w:eastAsia="宋体" w:hint="default"/>
          <w:color w:val="2B2B2B"/>
          <w:sz w:val="18"/>
          <w:szCs w:val="18"/>
        </w:rPr>
        <w:t>股权，迈出布局反恐与公共安全、智慧城市的关键一步。收购完</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1034" w:firstLine="0"/>
        <w:jc w:val="left"/>
        <w:rPr>
          <w:rFonts w:ascii="宋体" w:hAnsi="宋体" w:cs="宋体" w:eastAsia="宋体" w:hint="default"/>
          <w:sz w:val="18"/>
          <w:szCs w:val="18"/>
        </w:rPr>
      </w:pPr>
      <w:r>
        <w:rPr>
          <w:rFonts w:ascii="宋体" w:hAnsi="宋体" w:cs="宋体" w:eastAsia="宋体" w:hint="default"/>
          <w:color w:val="2B2B2B"/>
          <w:sz w:val="18"/>
          <w:szCs w:val="18"/>
        </w:rPr>
        <w:t>成后，中电兴发系公司全资子公司。</w:t>
      </w:r>
      <w:r>
        <w:rPr>
          <w:rFonts w:ascii="宋体" w:hAnsi="宋体" w:cs="宋体" w:eastAsia="宋体" w:hint="default"/>
          <w:sz w:val="18"/>
          <w:szCs w:val="18"/>
        </w:rPr>
      </w:r>
    </w:p>
    <w:p>
      <w:pPr>
        <w:spacing w:line="300" w:lineRule="auto" w:before="76"/>
        <w:ind w:left="153" w:right="1034" w:firstLine="36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月，公司出资</w:t>
      </w:r>
      <w:r>
        <w:rPr>
          <w:rFonts w:ascii="Times New Roman" w:hAnsi="Times New Roman" w:cs="Times New Roman" w:eastAsia="Times New Roman" w:hint="default"/>
          <w:spacing w:val="-1"/>
          <w:sz w:val="18"/>
          <w:szCs w:val="18"/>
        </w:rPr>
        <w:t>50,000</w:t>
      </w:r>
      <w:r>
        <w:rPr>
          <w:rFonts w:ascii="宋体" w:hAnsi="宋体" w:cs="宋体" w:eastAsia="宋体" w:hint="default"/>
          <w:spacing w:val="-1"/>
          <w:sz w:val="18"/>
          <w:szCs w:val="18"/>
        </w:rPr>
        <w:t>万元设立安徽鑫龙电器成套有限公司（以下简称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成套电器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）。成套电器设立后系公</w:t>
      </w:r>
      <w:r>
        <w:rPr>
          <w:rFonts w:ascii="宋体" w:hAnsi="宋体" w:cs="宋体" w:eastAsia="宋体" w:hint="default"/>
          <w:sz w:val="18"/>
          <w:szCs w:val="18"/>
        </w:rPr>
        <w:t> 司全资子公司。</w:t>
      </w:r>
    </w:p>
    <w:p>
      <w:pPr>
        <w:spacing w:line="300" w:lineRule="auto" w:before="31"/>
        <w:ind w:left="153" w:right="1034" w:firstLine="217"/>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月，公司与自然人彭丹共同出资设立安徽鑫龙模具科技有限公司（以下简称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鑫龙模具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），注册资金为</w:t>
      </w:r>
      <w:r>
        <w:rPr>
          <w:rFonts w:ascii="Times New Roman" w:hAnsi="Times New Roman" w:cs="Times New Roman" w:eastAsia="Times New Roman" w:hint="default"/>
          <w:spacing w:val="-1"/>
          <w:sz w:val="18"/>
          <w:szCs w:val="18"/>
        </w:rPr>
        <w:t>600</w:t>
      </w:r>
      <w:r>
        <w:rPr>
          <w:rFonts w:ascii="Times New Roman" w:hAnsi="Times New Roman" w:cs="Times New Roman" w:eastAsia="Times New Roman" w:hint="default"/>
          <w:sz w:val="18"/>
          <w:szCs w:val="18"/>
        </w:rPr>
        <w:t> </w:t>
      </w:r>
      <w:r>
        <w:rPr>
          <w:rFonts w:ascii="宋体" w:hAnsi="宋体" w:cs="宋体" w:eastAsia="宋体" w:hint="default"/>
          <w:sz w:val="18"/>
          <w:szCs w:val="18"/>
        </w:rPr>
        <w:t>万人民币，其中：公司出资占</w:t>
      </w:r>
      <w:r>
        <w:rPr>
          <w:rFonts w:ascii="Times New Roman" w:hAnsi="Times New Roman" w:cs="Times New Roman" w:eastAsia="Times New Roman" w:hint="default"/>
          <w:sz w:val="18"/>
          <w:szCs w:val="18"/>
        </w:rPr>
        <w:t>51%</w:t>
      </w:r>
      <w:r>
        <w:rPr>
          <w:rFonts w:ascii="宋体" w:hAnsi="宋体" w:cs="宋体" w:eastAsia="宋体" w:hint="default"/>
          <w:sz w:val="18"/>
          <w:szCs w:val="18"/>
        </w:rPr>
        <w:t>，彭丹出资占</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p>
    <w:p>
      <w:pPr>
        <w:spacing w:line="300" w:lineRule="auto" w:before="13"/>
        <w:ind w:left="153" w:right="1171" w:firstLine="3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月，公司以货币现金收购苏州开关二厂有限公司（以下简称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苏二开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的股权，收购资金共计人民 币</w:t>
      </w:r>
      <w:r>
        <w:rPr>
          <w:rFonts w:ascii="Times New Roman" w:hAnsi="Times New Roman" w:cs="Times New Roman" w:eastAsia="Times New Roman" w:hint="default"/>
          <w:sz w:val="18"/>
          <w:szCs w:val="18"/>
        </w:rPr>
        <w:t>29,400</w:t>
      </w:r>
      <w:r>
        <w:rPr>
          <w:rFonts w:ascii="宋体" w:hAnsi="宋体" w:cs="宋体" w:eastAsia="宋体" w:hint="default"/>
          <w:sz w:val="18"/>
          <w:szCs w:val="18"/>
        </w:rPr>
        <w:t>万元。</w:t>
      </w:r>
    </w:p>
    <w:p>
      <w:pPr>
        <w:spacing w:before="13"/>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、其他事项</w:t>
      </w:r>
    </w:p>
    <w:p>
      <w:pPr>
        <w:spacing w:line="300" w:lineRule="auto" w:before="63"/>
        <w:ind w:left="154" w:right="1150" w:firstLine="3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日，公司发布了《关于全资子公司项目中标的提示性公告》》（编号：</w:t>
      </w:r>
      <w:r>
        <w:rPr>
          <w:rFonts w:ascii="Times New Roman" w:hAnsi="Times New Roman" w:cs="Times New Roman" w:eastAsia="Times New Roman" w:hint="default"/>
          <w:sz w:val="18"/>
          <w:szCs w:val="18"/>
        </w:rPr>
        <w:t>2015-074</w:t>
      </w:r>
      <w:r>
        <w:rPr>
          <w:rFonts w:ascii="宋体" w:hAnsi="宋体" w:cs="宋体" w:eastAsia="宋体" w:hint="default"/>
          <w:sz w:val="18"/>
          <w:szCs w:val="18"/>
        </w:rPr>
        <w:t>），投标报价为</w:t>
      </w:r>
      <w:r>
        <w:rPr>
          <w:rFonts w:ascii="Times New Roman" w:hAnsi="Times New Roman" w:cs="Times New Roman" w:eastAsia="Times New Roman" w:hint="default"/>
          <w:sz w:val="18"/>
          <w:szCs w:val="18"/>
        </w:rPr>
        <w:t>608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日，中电兴发与某国家单位正式签订采购合同。</w:t>
      </w:r>
    </w:p>
    <w:p>
      <w:pPr>
        <w:spacing w:line="300" w:lineRule="auto" w:before="13"/>
        <w:ind w:left="153" w:right="1140" w:firstLine="36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日，公司发布了《关于全资子公司项目中标的提示性公告》》（编号：</w:t>
      </w:r>
      <w:r>
        <w:rPr>
          <w:rFonts w:ascii="Times New Roman" w:hAnsi="Times New Roman" w:cs="Times New Roman" w:eastAsia="Times New Roman" w:hint="default"/>
          <w:sz w:val="18"/>
          <w:szCs w:val="18"/>
        </w:rPr>
        <w:t>2015-076</w:t>
      </w:r>
      <w:r>
        <w:rPr>
          <w:rFonts w:ascii="宋体" w:hAnsi="宋体" w:cs="宋体" w:eastAsia="宋体" w:hint="default"/>
          <w:sz w:val="18"/>
          <w:szCs w:val="18"/>
        </w:rPr>
        <w:t>），中电兴发在招 标中成为中标候选人，公示中，项目金额</w:t>
      </w:r>
      <w:r>
        <w:rPr>
          <w:rFonts w:ascii="Times New Roman" w:hAnsi="Times New Roman" w:cs="Times New Roman" w:eastAsia="Times New Roman" w:hint="default"/>
          <w:sz w:val="18"/>
          <w:szCs w:val="18"/>
        </w:rPr>
        <w:t>7,350.8</w:t>
      </w:r>
      <w:r>
        <w:rPr>
          <w:rFonts w:ascii="宋体" w:hAnsi="宋体" w:cs="宋体" w:eastAsia="宋体" w:hint="default"/>
          <w:sz w:val="18"/>
          <w:szCs w:val="18"/>
        </w:rPr>
        <w:t>万元。公示期满后，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日，中电兴发与宿迁市公安局正式签订政 府采购合同。</w:t>
      </w:r>
    </w:p>
    <w:p>
      <w:pPr>
        <w:spacing w:line="300" w:lineRule="auto" w:before="31"/>
        <w:ind w:left="153" w:right="1034" w:firstLine="29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日，公司发布了《关于公司子公司签订重大合同的公告》》（编号：</w:t>
      </w:r>
      <w:r>
        <w:rPr>
          <w:rFonts w:ascii="Times New Roman" w:hAnsi="Times New Roman" w:cs="Times New Roman" w:eastAsia="Times New Roman" w:hint="default"/>
          <w:spacing w:val="-2"/>
          <w:sz w:val="18"/>
          <w:szCs w:val="18"/>
        </w:rPr>
        <w:t>2015-109</w:t>
      </w:r>
      <w:r>
        <w:rPr>
          <w:rFonts w:ascii="宋体" w:hAnsi="宋体" w:cs="宋体" w:eastAsia="宋体" w:hint="default"/>
          <w:spacing w:val="-2"/>
          <w:sz w:val="18"/>
          <w:szCs w:val="18"/>
        </w:rPr>
        <w:t>），中电兴发与广西国</w:t>
      </w:r>
      <w:r>
        <w:rPr>
          <w:rFonts w:ascii="宋体" w:hAnsi="宋体" w:cs="宋体" w:eastAsia="宋体" w:hint="default"/>
          <w:sz w:val="18"/>
          <w:szCs w:val="18"/>
        </w:rPr>
        <w:t> 盾保安服务集团有限公司签署了购销协议，广西国盾向中电兴发购买私有云盒子和摄像机，协议总金额为</w:t>
      </w:r>
      <w:r>
        <w:rPr>
          <w:rFonts w:ascii="Times New Roman" w:hAnsi="Times New Roman" w:cs="Times New Roman" w:eastAsia="Times New Roman" w:hint="default"/>
          <w:sz w:val="18"/>
          <w:szCs w:val="18"/>
        </w:rPr>
        <w:t>128,000</w:t>
      </w:r>
      <w:r>
        <w:rPr>
          <w:rFonts w:ascii="宋体" w:hAnsi="宋体" w:cs="宋体" w:eastAsia="宋体" w:hint="default"/>
          <w:sz w:val="18"/>
          <w:szCs w:val="18"/>
        </w:rPr>
        <w:t>万元。</w:t>
      </w:r>
    </w:p>
    <w:p>
      <w:pPr>
        <w:spacing w:line="300" w:lineRule="auto" w:before="13"/>
        <w:ind w:left="153" w:right="1037" w:firstLine="29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日，公司第六届董事会第十九次会议审议通过了《关于以子公司股权质押申请银行并购贷款的议案》，</w:t>
      </w:r>
      <w:r>
        <w:rPr>
          <w:rFonts w:ascii="宋体" w:hAnsi="宋体" w:cs="宋体" w:eastAsia="宋体" w:hint="default"/>
          <w:sz w:val="18"/>
          <w:szCs w:val="18"/>
        </w:rPr>
        <w:t> 同意公司以持有的中电兴发</w:t>
      </w:r>
      <w:r>
        <w:rPr>
          <w:rFonts w:ascii="Times New Roman" w:hAnsi="Times New Roman" w:cs="Times New Roman" w:eastAsia="Times New Roman" w:hint="default"/>
          <w:sz w:val="18"/>
          <w:szCs w:val="18"/>
        </w:rPr>
        <w:t>50%</w:t>
      </w:r>
      <w:r>
        <w:rPr>
          <w:rFonts w:ascii="宋体" w:hAnsi="宋体" w:cs="宋体" w:eastAsia="宋体" w:hint="default"/>
          <w:sz w:val="18"/>
          <w:szCs w:val="18"/>
        </w:rPr>
        <w:t>的股权进行质押向招商银行芜湖分行（以下简称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招行</w:t>
      </w:r>
      <w:r>
        <w:rPr>
          <w:rFonts w:ascii="Times New Roman" w:hAnsi="Times New Roman" w:cs="Times New Roman" w:eastAsia="Times New Roman" w:hint="default"/>
          <w:sz w:val="18"/>
          <w:szCs w:val="18"/>
        </w:rPr>
        <w:t>”</w:t>
      </w:r>
      <w:r>
        <w:rPr>
          <w:rFonts w:ascii="宋体" w:hAnsi="宋体" w:cs="宋体" w:eastAsia="宋体" w:hint="default"/>
          <w:sz w:val="18"/>
          <w:szCs w:val="18"/>
        </w:rPr>
        <w:t>）申请银行并购贷款，贷款金额不超 过</w:t>
      </w:r>
      <w:r>
        <w:rPr>
          <w:rFonts w:ascii="Times New Roman" w:hAnsi="Times New Roman" w:cs="Times New Roman" w:eastAsia="Times New Roman" w:hint="default"/>
          <w:sz w:val="18"/>
          <w:szCs w:val="18"/>
        </w:rPr>
        <w:t>15,000</w:t>
      </w:r>
      <w:r>
        <w:rPr>
          <w:rFonts w:ascii="宋体" w:hAnsi="宋体" w:cs="宋体" w:eastAsia="宋体" w:hint="default"/>
          <w:sz w:val="18"/>
          <w:szCs w:val="18"/>
        </w:rPr>
        <w:t>万元，贷款期限为</w:t>
      </w:r>
      <w:r>
        <w:rPr>
          <w:rFonts w:ascii="Times New Roman" w:hAnsi="Times New Roman" w:cs="Times New Roman" w:eastAsia="Times New Roman" w:hint="default"/>
          <w:sz w:val="18"/>
          <w:szCs w:val="18"/>
        </w:rPr>
        <w:t>3</w:t>
      </w:r>
      <w:r>
        <w:rPr>
          <w:rFonts w:ascii="宋体" w:hAnsi="宋体" w:cs="宋体" w:eastAsia="宋体" w:hint="default"/>
          <w:sz w:val="18"/>
          <w:szCs w:val="18"/>
        </w:rPr>
        <w:t>年。公司已于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日与招行签订了《并购借款合同》</w:t>
      </w:r>
      <w:r>
        <w:rPr>
          <w:rFonts w:ascii="Times New Roman" w:hAnsi="Times New Roman" w:cs="Times New Roman" w:eastAsia="Times New Roman" w:hint="default"/>
          <w:sz w:val="18"/>
          <w:szCs w:val="18"/>
        </w:rPr>
        <w:t>,</w:t>
      </w:r>
      <w:r>
        <w:rPr>
          <w:rFonts w:ascii="宋体" w:hAnsi="宋体" w:cs="宋体" w:eastAsia="宋体" w:hint="default"/>
          <w:sz w:val="18"/>
          <w:szCs w:val="18"/>
        </w:rPr>
        <w:t>借款金额为人民币</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15,000</w:t>
      </w:r>
      <w:r>
        <w:rPr>
          <w:rFonts w:ascii="宋体" w:hAnsi="宋体" w:cs="宋体" w:eastAsia="宋体" w:hint="default"/>
          <w:sz w:val="18"/>
          <w:szCs w:val="18"/>
        </w:rPr>
        <w:t>万元</w:t>
      </w:r>
      <w:r>
        <w:rPr>
          <w:rFonts w:ascii="Times New Roman" w:hAnsi="Times New Roman" w:cs="Times New Roman" w:eastAsia="Times New Roman" w:hint="default"/>
          <w:sz w:val="18"/>
          <w:szCs w:val="18"/>
        </w:rPr>
        <w:t>, </w:t>
      </w:r>
      <w:r>
        <w:rPr>
          <w:rFonts w:ascii="宋体" w:hAnsi="宋体" w:cs="宋体" w:eastAsia="宋体" w:hint="default"/>
          <w:sz w:val="18"/>
          <w:szCs w:val="18"/>
        </w:rPr>
        <w:t>期限为 </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个月。根据《并购借款合同》的相关要求</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公司已于近日完成将中电兴发</w:t>
      </w:r>
      <w:r>
        <w:rPr>
          <w:rFonts w:ascii="宋体" w:hAnsi="宋体" w:cs="宋体" w:eastAsia="宋体" w:hint="default"/>
          <w:spacing w:val="-38"/>
          <w:sz w:val="18"/>
          <w:szCs w:val="18"/>
        </w:rPr>
        <w:t> </w:t>
      </w:r>
      <w:r>
        <w:rPr>
          <w:rFonts w:ascii="宋体" w:hAnsi="宋体" w:cs="宋体" w:eastAsia="宋体" w:hint="default"/>
          <w:sz w:val="18"/>
          <w:szCs w:val="18"/>
        </w:rPr>
        <w:t>的股权出质给招行的相关质押手续</w:t>
      </w:r>
      <w:r>
        <w:rPr>
          <w:rFonts w:ascii="Times New Roman" w:hAnsi="Times New Roman" w:cs="Times New Roman" w:eastAsia="Times New Roman" w:hint="default"/>
          <w:sz w:val="18"/>
          <w:szCs w:val="18"/>
        </w:rPr>
        <w:t>,</w:t>
      </w:r>
      <w:r>
        <w:rPr>
          <w:rFonts w:ascii="宋体" w:hAnsi="宋体" w:cs="宋体" w:eastAsia="宋体" w:hint="default"/>
          <w:sz w:val="18"/>
          <w:szCs w:val="18"/>
        </w:rPr>
        <w:t>并收 到北京市工商行政管理局海淀分局出具的《公司股权出质准予设立登记通知书》</w:t>
      </w:r>
      <w:r>
        <w:rPr>
          <w:rFonts w:ascii="Times New Roman" w:hAnsi="Times New Roman" w:cs="Times New Roman" w:eastAsia="Times New Roman" w:hint="default"/>
          <w:sz w:val="18"/>
          <w:szCs w:val="18"/>
        </w:rPr>
        <w:t>,</w:t>
      </w:r>
      <w:r>
        <w:rPr>
          <w:rFonts w:ascii="宋体" w:hAnsi="宋体" w:cs="宋体" w:eastAsia="宋体" w:hint="default"/>
          <w:sz w:val="18"/>
          <w:szCs w:val="18"/>
        </w:rPr>
        <w:t>出质股权的数额为</w:t>
      </w:r>
      <w:r>
        <w:rPr>
          <w:rFonts w:ascii="Times New Roman" w:hAnsi="Times New Roman" w:cs="Times New Roman" w:eastAsia="Times New Roman" w:hint="default"/>
          <w:sz w:val="18"/>
          <w:szCs w:val="18"/>
        </w:rPr>
        <w:t>2,689.685</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股权质押 登记日为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该股权质押期限自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日至上述借款合同履约完毕为止。</w:t>
      </w:r>
    </w:p>
    <w:p>
      <w:pPr>
        <w:spacing w:line="300" w:lineRule="auto" w:before="13"/>
        <w:ind w:left="153" w:right="1130" w:firstLine="36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日，公司第六届董事会第十九次会议审议通过了《关于为公司的并购贷款提供子公司股权质押的议 </w:t>
      </w:r>
      <w:r>
        <w:rPr>
          <w:rFonts w:ascii="宋体" w:hAnsi="宋体" w:cs="宋体" w:eastAsia="宋体" w:hint="default"/>
          <w:spacing w:val="-1"/>
          <w:sz w:val="18"/>
          <w:szCs w:val="18"/>
        </w:rPr>
        <w:t>案》，同意公司以持有的苏二开</w:t>
      </w:r>
      <w:r>
        <w:rPr>
          <w:rFonts w:ascii="Times New Roman" w:hAnsi="Times New Roman" w:cs="Times New Roman" w:eastAsia="Times New Roman" w:hint="default"/>
          <w:spacing w:val="-1"/>
          <w:sz w:val="18"/>
          <w:szCs w:val="18"/>
        </w:rPr>
        <w:t>70%</w:t>
      </w:r>
      <w:r>
        <w:rPr>
          <w:rFonts w:ascii="宋体" w:hAnsi="宋体" w:cs="宋体" w:eastAsia="宋体" w:hint="default"/>
          <w:spacing w:val="-1"/>
          <w:sz w:val="18"/>
          <w:szCs w:val="18"/>
        </w:rPr>
        <w:t>的股权进行质押，为向芜湖扬子农村商业银行（以下简称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扬子银行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）申请的银行并购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贷款提供担保，贷款金额不超过</w:t>
      </w:r>
      <w:r>
        <w:rPr>
          <w:rFonts w:ascii="Times New Roman" w:hAnsi="Times New Roman" w:cs="Times New Roman" w:eastAsia="Times New Roman" w:hint="default"/>
          <w:spacing w:val="-3"/>
          <w:sz w:val="18"/>
          <w:szCs w:val="18"/>
        </w:rPr>
        <w:t>12,000</w:t>
      </w:r>
      <w:r>
        <w:rPr>
          <w:rFonts w:ascii="宋体" w:hAnsi="宋体" w:cs="宋体" w:eastAsia="宋体" w:hint="default"/>
          <w:spacing w:val="-3"/>
          <w:sz w:val="18"/>
          <w:szCs w:val="18"/>
        </w:rPr>
        <w:t>万元，贷款期限为</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年。公司已于</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日分别与扬子银行签订了《固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定资产借款合同》</w:t>
      </w:r>
      <w:r>
        <w:rPr>
          <w:rFonts w:ascii="Times New Roman" w:hAnsi="Times New Roman" w:cs="Times New Roman" w:eastAsia="Times New Roman" w:hint="default"/>
          <w:sz w:val="18"/>
          <w:szCs w:val="18"/>
        </w:rPr>
        <w:t>,</w:t>
      </w:r>
      <w:r>
        <w:rPr>
          <w:rFonts w:ascii="宋体" w:hAnsi="宋体" w:cs="宋体" w:eastAsia="宋体" w:hint="default"/>
          <w:sz w:val="18"/>
          <w:szCs w:val="18"/>
        </w:rPr>
        <w:t>借款金额均为人民币 </w:t>
      </w:r>
      <w:r>
        <w:rPr>
          <w:rFonts w:ascii="Times New Roman" w:hAnsi="Times New Roman" w:cs="Times New Roman" w:eastAsia="Times New Roman" w:hint="default"/>
          <w:sz w:val="18"/>
          <w:szCs w:val="18"/>
        </w:rPr>
        <w:t>6,000</w:t>
      </w:r>
      <w:r>
        <w:rPr>
          <w:rFonts w:ascii="宋体" w:hAnsi="宋体" w:cs="宋体" w:eastAsia="宋体" w:hint="default"/>
          <w:sz w:val="18"/>
          <w:szCs w:val="18"/>
        </w:rPr>
        <w:t>万元整</w:t>
      </w:r>
      <w:r>
        <w:rPr>
          <w:rFonts w:ascii="Times New Roman" w:hAnsi="Times New Roman" w:cs="Times New Roman" w:eastAsia="Times New Roman" w:hint="default"/>
          <w:sz w:val="18"/>
          <w:szCs w:val="18"/>
        </w:rPr>
        <w:t>,</w:t>
      </w:r>
      <w:r>
        <w:rPr>
          <w:rFonts w:ascii="宋体" w:hAnsi="宋体" w:cs="宋体" w:eastAsia="宋体" w:hint="default"/>
          <w:sz w:val="18"/>
          <w:szCs w:val="18"/>
        </w:rPr>
        <w:t>总计</w:t>
      </w:r>
      <w:r>
        <w:rPr>
          <w:rFonts w:ascii="Times New Roman" w:hAnsi="Times New Roman" w:cs="Times New Roman" w:eastAsia="Times New Roman" w:hint="default"/>
          <w:sz w:val="18"/>
          <w:szCs w:val="18"/>
        </w:rPr>
        <w:t>12,000</w:t>
      </w:r>
      <w:r>
        <w:rPr>
          <w:rFonts w:ascii="宋体" w:hAnsi="宋体" w:cs="宋体" w:eastAsia="宋体" w:hint="default"/>
          <w:sz w:val="18"/>
          <w:szCs w:val="18"/>
        </w:rPr>
        <w:t>万元整，期限为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个月。根据《固定资产借款合同》的相 关要求</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公司已完成将苏二开</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的股权出质给扬子银行的相关质押手续</w:t>
      </w:r>
      <w:r>
        <w:rPr>
          <w:rFonts w:ascii="Times New Roman" w:hAnsi="Times New Roman" w:cs="Times New Roman" w:eastAsia="Times New Roman" w:hint="default"/>
          <w:sz w:val="18"/>
          <w:szCs w:val="18"/>
        </w:rPr>
        <w:t>,</w:t>
      </w:r>
      <w:r>
        <w:rPr>
          <w:rFonts w:ascii="宋体" w:hAnsi="宋体" w:cs="宋体" w:eastAsia="宋体" w:hint="default"/>
          <w:sz w:val="18"/>
          <w:szCs w:val="18"/>
        </w:rPr>
        <w:t>并收到苏州高新区（虎丘区）市场监督管理局出具 </w:t>
      </w:r>
      <w:r>
        <w:rPr>
          <w:rFonts w:ascii="宋体" w:hAnsi="宋体" w:cs="宋体" w:eastAsia="宋体" w:hint="default"/>
          <w:spacing w:val="-3"/>
          <w:sz w:val="18"/>
          <w:szCs w:val="18"/>
        </w:rPr>
        <w:t>的《公司股权出质准予设立登记通知书》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出质股权的数额为</w:t>
      </w:r>
      <w:r>
        <w:rPr>
          <w:rFonts w:ascii="Times New Roman" w:hAnsi="Times New Roman" w:cs="Times New Roman" w:eastAsia="Times New Roman" w:hint="default"/>
          <w:spacing w:val="-3"/>
          <w:sz w:val="18"/>
          <w:szCs w:val="18"/>
        </w:rPr>
        <w:t>3,640</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股权质押登记日为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该股权质押期限 自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日至上述借款合同履约完毕为止。</w:t>
      </w:r>
    </w:p>
    <w:p>
      <w:pPr>
        <w:spacing w:line="300" w:lineRule="auto" w:before="13"/>
        <w:ind w:left="153" w:right="1096" w:firstLine="29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日，根据大华会计师事务所（特殊普通合伙）出具大华审字［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110111</w:t>
      </w:r>
      <w:r>
        <w:rPr>
          <w:rFonts w:ascii="宋体" w:hAnsi="宋体" w:cs="宋体" w:eastAsia="宋体" w:hint="default"/>
          <w:sz w:val="18"/>
          <w:szCs w:val="18"/>
        </w:rPr>
        <w:t>号《审计报告》，公司 </w:t>
      </w:r>
      <w:r>
        <w:rPr>
          <w:rFonts w:ascii="宋体" w:hAnsi="宋体" w:cs="宋体" w:eastAsia="宋体" w:hint="default"/>
          <w:spacing w:val="-1"/>
          <w:sz w:val="18"/>
          <w:szCs w:val="18"/>
        </w:rPr>
        <w:t>同意按照约定，将公司持有的泰达公司的</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股权以无偿转让的方式奖励给武文杰，并办理相关股权变更登记手续。</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日，公司第六届董事会第八次会议审议通过了《关于部分变更募集资金投向暨收购资产的议案》，并于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 </w:t>
      </w:r>
      <w:r>
        <w:rPr>
          <w:rFonts w:ascii="宋体" w:hAnsi="宋体" w:cs="宋体" w:eastAsia="宋体" w:hint="default"/>
          <w:spacing w:val="-7"/>
          <w:sz w:val="18"/>
          <w:szCs w:val="18"/>
        </w:rPr>
        <w:t>经公司</w:t>
      </w:r>
      <w:r>
        <w:rPr>
          <w:rFonts w:ascii="Times New Roman" w:hAnsi="Times New Roman" w:cs="Times New Roman" w:eastAsia="Times New Roman" w:hint="default"/>
          <w:spacing w:val="-7"/>
          <w:sz w:val="18"/>
          <w:szCs w:val="18"/>
        </w:rPr>
        <w:t>2014</w:t>
      </w:r>
      <w:r>
        <w:rPr>
          <w:rFonts w:ascii="宋体" w:hAnsi="宋体" w:cs="宋体" w:eastAsia="宋体" w:hint="default"/>
          <w:spacing w:val="-7"/>
          <w:sz w:val="18"/>
          <w:szCs w:val="18"/>
        </w:rPr>
        <w:t>年第二次临时股东大会审议通过。公司披露的《关于部分变更募集资金投向暨收购资产公告》（编号：</w:t>
      </w:r>
      <w:r>
        <w:rPr>
          <w:rFonts w:ascii="Times New Roman" w:hAnsi="Times New Roman" w:cs="Times New Roman" w:eastAsia="Times New Roman" w:hint="default"/>
          <w:spacing w:val="-7"/>
          <w:sz w:val="18"/>
          <w:szCs w:val="18"/>
        </w:rPr>
        <w:t>2014-031</w:t>
      </w:r>
      <w:r>
        <w:rPr>
          <w:rFonts w:ascii="宋体" w:hAnsi="宋体" w:cs="宋体" w:eastAsia="宋体" w:hint="default"/>
          <w:spacing w:val="-7"/>
          <w:sz w:val="18"/>
          <w:szCs w:val="18"/>
        </w:rPr>
        <w:t>）。</w:t>
      </w:r>
      <w:r>
        <w:rPr>
          <w:rFonts w:ascii="宋体" w:hAnsi="宋体" w:cs="宋体" w:eastAsia="宋体" w:hint="default"/>
          <w:spacing w:val="-33"/>
          <w:sz w:val="18"/>
          <w:szCs w:val="18"/>
        </w:rPr>
        <w:t> </w:t>
      </w:r>
      <w:r>
        <w:rPr>
          <w:rFonts w:ascii="宋体" w:hAnsi="宋体" w:cs="宋体" w:eastAsia="宋体" w:hint="default"/>
          <w:spacing w:val="-2"/>
          <w:sz w:val="18"/>
          <w:szCs w:val="18"/>
        </w:rPr>
        <w:t>承诺收购完成后，若泰达设计在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年度经审计的净利润（指公司聘请的具有证券、期货业务资格的会计师事务所审计的泰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达设计合并报表中归属于泰达设计所有者的净利润，该净利润以扣除非经常性损益前后孰低者为准）超过</w:t>
      </w:r>
      <w:r>
        <w:rPr>
          <w:rFonts w:ascii="Times New Roman" w:hAnsi="Times New Roman" w:cs="Times New Roman" w:eastAsia="Times New Roman" w:hint="default"/>
          <w:sz w:val="18"/>
          <w:szCs w:val="18"/>
        </w:rPr>
        <w:t>2,019.76</w:t>
      </w:r>
      <w:r>
        <w:rPr>
          <w:rFonts w:ascii="宋体" w:hAnsi="宋体" w:cs="宋体" w:eastAsia="宋体" w:hint="default"/>
          <w:sz w:val="18"/>
          <w:szCs w:val="18"/>
        </w:rPr>
        <w:t>万元，或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年及</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年经审计的两年累计净利润超过</w:t>
      </w:r>
      <w:r>
        <w:rPr>
          <w:rFonts w:ascii="Times New Roman" w:hAnsi="Times New Roman" w:cs="Times New Roman" w:eastAsia="Times New Roman" w:hint="default"/>
          <w:sz w:val="18"/>
          <w:szCs w:val="18"/>
        </w:rPr>
        <w:t>4,042.88</w:t>
      </w:r>
      <w:r>
        <w:rPr>
          <w:rFonts w:ascii="宋体" w:hAnsi="宋体" w:cs="宋体" w:eastAsia="宋体" w:hint="default"/>
          <w:sz w:val="18"/>
          <w:szCs w:val="18"/>
        </w:rPr>
        <w:t>万元，达到上述条件后，公司同意在审计报告出具之日起</w:t>
      </w:r>
      <w:r>
        <w:rPr>
          <w:rFonts w:ascii="Times New Roman" w:hAnsi="Times New Roman" w:cs="Times New Roman" w:eastAsia="Times New Roman" w:hint="default"/>
          <w:sz w:val="18"/>
          <w:szCs w:val="18"/>
        </w:rPr>
        <w:t>30</w:t>
      </w:r>
      <w:r>
        <w:rPr>
          <w:rFonts w:ascii="宋体" w:hAnsi="宋体" w:cs="宋体" w:eastAsia="宋体" w:hint="default"/>
          <w:sz w:val="18"/>
          <w:szCs w:val="18"/>
        </w:rPr>
        <w:t>日内，将 持有的泰达设计</w:t>
      </w:r>
      <w:r>
        <w:rPr>
          <w:rFonts w:ascii="Times New Roman" w:hAnsi="Times New Roman" w:cs="Times New Roman" w:eastAsia="Times New Roman" w:hint="default"/>
          <w:sz w:val="18"/>
          <w:szCs w:val="18"/>
        </w:rPr>
        <w:t>6%</w:t>
      </w:r>
      <w:r>
        <w:rPr>
          <w:rFonts w:ascii="宋体" w:hAnsi="宋体" w:cs="宋体" w:eastAsia="宋体" w:hint="default"/>
          <w:sz w:val="18"/>
          <w:szCs w:val="18"/>
        </w:rPr>
        <w:t>股权以无偿转让的方式奖励给武文杰先生。</w:t>
      </w:r>
    </w:p>
    <w:p>
      <w:pPr>
        <w:spacing w:line="240" w:lineRule="auto" w:before="4"/>
        <w:rPr>
          <w:rFonts w:ascii="宋体" w:hAnsi="宋体" w:cs="宋体" w:eastAsia="宋体" w:hint="default"/>
          <w:sz w:val="20"/>
          <w:szCs w:val="20"/>
        </w:rPr>
      </w:pPr>
    </w:p>
    <w:p>
      <w:pPr>
        <w:pStyle w:val="Heading4"/>
        <w:spacing w:line="240" w:lineRule="auto"/>
        <w:ind w:left="154" w:right="1034"/>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1034"/>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4"/>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872,705,875.47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809,408,929.77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电气机械和器材制 造业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530,386,471.97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766,175,049.75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专业技术服务业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88,025,211.02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43,233,880.02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103.70%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254,294,192.48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9"/>
                <w:sz w:val="18"/>
                <w:szCs w:val="18"/>
              </w:rPr>
              <w:t>高、低压成套开关设</w:t>
            </w:r>
            <w:r>
              <w:rPr>
                <w:rFonts w:ascii="宋体" w:hAnsi="宋体" w:cs="宋体" w:eastAsia="宋体" w:hint="default"/>
                <w:sz w:val="18"/>
                <w:szCs w:val="18"/>
              </w:rPr>
              <w:t> 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322,515,849.47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531,912,711.60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191,295,007.08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21.92%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租赁运营服务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33,207,290.40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29,791,895.00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125,493,942.59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137,197,127.10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16.95%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52,382,481.25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71,286,586.86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88,025,211.02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43,233,880.02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24,339,293.19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20,434,676.13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19.11%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5,654,905.47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5,343,948.06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417,240,538.90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297,860,823.11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36.80%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291,537,073.69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396,907,778.96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49.04%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25,848,763.87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22,847,447.52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22,089,910.11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11,006,964.21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43,012,408.87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21,173,600.18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54,838,955.61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33,938,248.07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18,138,224.42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25,674,067.72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-29.35%</w:t>
            </w:r>
          </w:p>
        </w:tc>
      </w:tr>
    </w:tbl>
    <w:p>
      <w:pPr>
        <w:spacing w:line="240" w:lineRule="auto" w:before="3"/>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530,386,471.97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316,624,701.82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88,025,211.02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42,741,418.49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254,294,192.48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158,324,043.74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高、低压成套开 关设备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322,515,849.47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199,514,143.53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191,295,007.08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140,865,890.00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租赁运营服务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33,207,290.40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16,301,565.52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29,791,895.00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1,156,588.22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125,493,942.59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73,541,856.95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52,382,481.25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28,437,407.43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88,025,211.02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42,741,418.49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电力电子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24,339,293.19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13,150,121.45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5,654,905.47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1,981,172.46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417,240,538.90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250,568,752.06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291,537,073.69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170,967,529.43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25,848,763.87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14,288,748.39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22,089,910.11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12,839,745.18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43,012,408.87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26,369,160.61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54,838,955.61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32,214,542.61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18,138,224.42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10,441,685.77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1034"/>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1"/>
              <w:ind w:right="99"/>
              <w:jc w:val="center"/>
              <w:rPr>
                <w:rFonts w:ascii="宋体" w:hAnsi="宋体" w:cs="宋体" w:eastAsia="宋体" w:hint="default"/>
                <w:sz w:val="18"/>
                <w:szCs w:val="18"/>
              </w:rPr>
            </w:pPr>
            <w:r>
              <w:rPr>
                <w:rFonts w:ascii="宋体" w:hAnsi="宋体" w:cs="宋体" w:eastAsia="宋体" w:hint="default"/>
                <w:sz w:val="18"/>
                <w:szCs w:val="18"/>
              </w:rPr>
              <w:t>电气机械和器材制</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2" w:right="0"/>
              <w:jc w:val="left"/>
              <w:rPr>
                <w:rFonts w:ascii="Times New Roman" w:hAnsi="Times New Roman" w:cs="Times New Roman" w:eastAsia="Times New Roman" w:hint="default"/>
                <w:sz w:val="18"/>
                <w:szCs w:val="18"/>
              </w:rPr>
            </w:pPr>
            <w:r>
              <w:rPr>
                <w:rFonts w:ascii="Times New Roman"/>
                <w:sz w:val="18"/>
              </w:rPr>
              <w:t>118,888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3" w:right="0"/>
              <w:jc w:val="left"/>
              <w:rPr>
                <w:rFonts w:ascii="Times New Roman" w:hAnsi="Times New Roman" w:cs="Times New Roman" w:eastAsia="Times New Roman" w:hint="default"/>
                <w:sz w:val="18"/>
                <w:szCs w:val="18"/>
              </w:rPr>
            </w:pPr>
            <w:r>
              <w:rPr>
                <w:rFonts w:ascii="Times New Roman"/>
                <w:sz w:val="18"/>
              </w:rPr>
              <w:t>114,064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造业</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115,371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19.54%</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37.32%</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4"/>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4" w:right="1072" w:firstLine="29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日，公司发布了《关于公司子公司签订重大合同的公告》》（编号：</w:t>
      </w:r>
      <w:r>
        <w:rPr>
          <w:rFonts w:ascii="Times New Roman" w:hAnsi="Times New Roman" w:cs="Times New Roman" w:eastAsia="Times New Roman" w:hint="default"/>
          <w:sz w:val="18"/>
          <w:szCs w:val="18"/>
        </w:rPr>
        <w:t>2015-109</w:t>
      </w:r>
      <w:r>
        <w:rPr>
          <w:rFonts w:ascii="宋体" w:hAnsi="宋体" w:cs="宋体" w:eastAsia="宋体" w:hint="default"/>
          <w:sz w:val="18"/>
          <w:szCs w:val="18"/>
        </w:rPr>
        <w:t>），公司全资子公司北京中 电兴发科技有限公司（以下简称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中电兴发</w:t>
      </w:r>
      <w:r>
        <w:rPr>
          <w:rFonts w:ascii="Times New Roman" w:hAnsi="Times New Roman" w:cs="Times New Roman" w:eastAsia="Times New Roman" w:hint="default"/>
          <w:sz w:val="18"/>
          <w:szCs w:val="18"/>
        </w:rPr>
        <w:t>”</w:t>
      </w:r>
      <w:r>
        <w:rPr>
          <w:rFonts w:ascii="宋体" w:hAnsi="宋体" w:cs="宋体" w:eastAsia="宋体" w:hint="default"/>
          <w:sz w:val="18"/>
          <w:szCs w:val="18"/>
        </w:rPr>
        <w:t>）与广西国盾保安服务集团有限公司（以下简称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广西国盾</w:t>
      </w:r>
      <w:r>
        <w:rPr>
          <w:rFonts w:ascii="Times New Roman" w:hAnsi="Times New Roman" w:cs="Times New Roman" w:eastAsia="Times New Roman" w:hint="default"/>
          <w:sz w:val="18"/>
          <w:szCs w:val="18"/>
        </w:rPr>
        <w:t>”</w:t>
      </w:r>
      <w:r>
        <w:rPr>
          <w:rFonts w:ascii="宋体" w:hAnsi="宋体" w:cs="宋体" w:eastAsia="宋体" w:hint="default"/>
          <w:sz w:val="18"/>
          <w:szCs w:val="18"/>
        </w:rPr>
        <w:t>）签署了购销协议， 广西国盾向中电兴发购买私有云盒子和摄像机，协议总金额为</w:t>
      </w:r>
      <w:r>
        <w:rPr>
          <w:rFonts w:ascii="Times New Roman" w:hAnsi="Times New Roman" w:cs="Times New Roman" w:eastAsia="Times New Roman" w:hint="default"/>
          <w:sz w:val="18"/>
          <w:szCs w:val="18"/>
        </w:rPr>
        <w:t>128,000</w:t>
      </w:r>
      <w:r>
        <w:rPr>
          <w:rFonts w:ascii="宋体" w:hAnsi="宋体" w:cs="宋体" w:eastAsia="宋体" w:hint="default"/>
          <w:sz w:val="18"/>
          <w:szCs w:val="18"/>
        </w:rPr>
        <w:t>万元，报告期内合同正常履行。</w:t>
      </w:r>
    </w:p>
    <w:p>
      <w:pPr>
        <w:spacing w:line="240" w:lineRule="auto" w:before="1"/>
        <w:rPr>
          <w:rFonts w:ascii="宋体" w:hAnsi="宋体" w:cs="宋体" w:eastAsia="宋体" w:hint="default"/>
          <w:sz w:val="22"/>
          <w:szCs w:val="22"/>
        </w:rPr>
      </w:pPr>
    </w:p>
    <w:p>
      <w:pPr>
        <w:pStyle w:val="Heading6"/>
        <w:spacing w:line="240" w:lineRule="auto"/>
        <w:ind w:left="154" w:right="1034"/>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5" w:space="804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316,624,701.82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475,253,995.63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264,987,031.10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420,903,753.28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17,406,199.19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25,580,094.84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27,611,021.63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16,663,303.93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3,140,903.08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3,631,792.50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3,479,546.82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8,475,051.08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42,741,418.49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14,565,792.24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21,661,708.87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1,610,618.77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20,233,184.77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11,221,975.57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84,766.33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67,851.06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761,758.52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1,659,346.84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-9.61%</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158,324,043.74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150,630,812.41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5,457,242.55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1,398,484.06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837,504.72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6"/>
        <w:spacing w:line="240" w:lineRule="auto"/>
        <w:ind w:left="154" w:right="1034"/>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BodyText"/>
        <w:spacing w:line="240" w:lineRule="auto" w:before="0"/>
        <w:ind w:left="573" w:right="1034"/>
        <w:jc w:val="left"/>
      </w:pPr>
      <w:r>
        <w:rPr>
          <w:color w:val="0000CC"/>
        </w:rPr>
        <w:t>本期纳入合并财务报表范围的子孙公司较上期相比，增加</w:t>
      </w:r>
      <w:r>
        <w:rPr>
          <w:rFonts w:ascii="Times New Roman" w:hAnsi="Times New Roman" w:cs="Times New Roman" w:eastAsia="Times New Roman" w:hint="default"/>
          <w:color w:val="0000CC"/>
        </w:rPr>
        <w:t>6</w:t>
      </w:r>
      <w:r>
        <w:rPr>
          <w:color w:val="0000CC"/>
        </w:rPr>
        <w:t>户，其中：</w:t>
      </w:r>
      <w:r>
        <w:rPr/>
      </w:r>
    </w:p>
    <w:p>
      <w:pPr>
        <w:pStyle w:val="BodyText"/>
        <w:spacing w:line="240" w:lineRule="auto" w:before="21"/>
        <w:ind w:right="1034"/>
        <w:jc w:val="left"/>
      </w:pPr>
      <w:r>
        <w:rPr>
          <w:rFonts w:ascii="宋体" w:hAnsi="宋体" w:cs="宋体" w:eastAsia="宋体" w:hint="default"/>
        </w:rPr>
        <w:t>1.</w:t>
      </w:r>
      <w:r>
        <w:rPr>
          <w:rFonts w:ascii="宋体" w:hAnsi="宋体" w:cs="宋体" w:eastAsia="宋体" w:hint="default"/>
          <w:spacing w:val="44"/>
        </w:rPr>
        <w:t> </w:t>
      </w:r>
      <w:r>
        <w:rPr/>
        <w:t>本期新纳入合并范围的子公司、特殊目的主体、通过受托经营或承租等方式形成控制权的经营实体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安徽鑫龙电器成套有限公司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信诺非凡</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中电兴发机器人技术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安徽杰偌新材料技术有限公司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bl>
    <w:p>
      <w:pPr>
        <w:pStyle w:val="Heading5"/>
        <w:spacing w:line="293" w:lineRule="exact"/>
        <w:ind w:left="154" w:right="1034"/>
        <w:jc w:val="left"/>
      </w:pPr>
      <w:r>
        <w:rPr/>
        <w:t>合并范围变更主体的具体信息详见</w:t>
      </w:r>
      <w:r>
        <w:rPr>
          <w:rFonts w:ascii="Times New Roman" w:hAnsi="Times New Roman" w:cs="Times New Roman" w:eastAsia="Times New Roman" w:hint="default"/>
          <w:color w:val="0000CC"/>
        </w:rPr>
        <w:t>“</w:t>
      </w:r>
      <w:r>
        <w:rPr>
          <w:color w:val="0000CC"/>
        </w:rPr>
        <w:t>第十节、八、合并范围的变更</w:t>
      </w:r>
      <w:r>
        <w:rPr>
          <w:rFonts w:ascii="Times New Roman" w:hAnsi="Times New Roman" w:cs="Times New Roman" w:eastAsia="Times New Roman" w:hint="default"/>
          <w:color w:val="0000CC"/>
        </w:rPr>
        <w:t>”</w:t>
      </w:r>
      <w:r>
        <w:rPr>
          <w:color w:val="0000CC"/>
        </w:rPr>
        <w:t>。</w:t>
      </w:r>
      <w:r>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Heading6"/>
        <w:spacing w:line="240" w:lineRule="auto"/>
        <w:ind w:right="1034"/>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100,413,275.62</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3" w:right="0"/>
              <w:jc w:val="left"/>
              <w:rPr>
                <w:rFonts w:ascii="Times New Roman" w:hAnsi="Times New Roman" w:cs="Times New Roman" w:eastAsia="Times New Roman" w:hint="default"/>
                <w:sz w:val="18"/>
                <w:szCs w:val="18"/>
              </w:rPr>
            </w:pPr>
            <w:r>
              <w:rPr>
                <w:rFonts w:ascii="Times New Roman"/>
                <w:sz w:val="18"/>
              </w:rPr>
              <w:t>33,207,290.40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28,212,920.19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14,095,007.00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13,006,641.03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11,891,417.00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100,413,275.62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69,967,271.38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15.36%</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31,571,626.75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11,480,404.58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11,290,700.74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9,356,919.01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6,267,620.30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69,967,271.38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15.36%</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77,657,735.68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103,199,089.98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139,966,862.85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147,636,252.97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28,922,365.66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35,440,701.32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19" w:lineRule="auto" w:before="0"/>
        <w:ind w:left="153" w:right="10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报告期内，公司坚持自主创新，全年研发项目总支出为</w:t>
      </w:r>
      <w:r>
        <w:rPr>
          <w:rFonts w:ascii="Times New Roman" w:hAnsi="Times New Roman" w:cs="Times New Roman" w:eastAsia="Times New Roman" w:hint="default"/>
          <w:sz w:val="18"/>
          <w:szCs w:val="18"/>
        </w:rPr>
        <w:t>5,336.62</w:t>
      </w:r>
      <w:r>
        <w:rPr>
          <w:rFonts w:ascii="宋体" w:hAnsi="宋体" w:cs="宋体" w:eastAsia="宋体" w:hint="default"/>
          <w:sz w:val="18"/>
          <w:szCs w:val="18"/>
        </w:rPr>
        <w:t>万元，占营业收入的</w:t>
      </w:r>
      <w:r>
        <w:rPr>
          <w:rFonts w:ascii="Times New Roman" w:hAnsi="Times New Roman" w:cs="Times New Roman" w:eastAsia="Times New Roman" w:hint="default"/>
          <w:sz w:val="18"/>
          <w:szCs w:val="18"/>
        </w:rPr>
        <w:t>6.12%</w:t>
      </w:r>
      <w:r>
        <w:rPr>
          <w:rFonts w:ascii="宋体" w:hAnsi="宋体" w:cs="宋体" w:eastAsia="宋体" w:hint="default"/>
          <w:sz w:val="18"/>
          <w:szCs w:val="18"/>
        </w:rPr>
        <w:t>，较上年同期下降</w:t>
      </w:r>
      <w:r>
        <w:rPr>
          <w:rFonts w:ascii="Times New Roman" w:hAnsi="Times New Roman" w:cs="Times New Roman" w:eastAsia="Times New Roman" w:hint="default"/>
          <w:sz w:val="18"/>
          <w:szCs w:val="18"/>
        </w:rPr>
        <w:t>1.30</w:t>
      </w:r>
      <w:r>
        <w:rPr>
          <w:rFonts w:ascii="宋体" w:hAnsi="宋体" w:cs="宋体" w:eastAsia="宋体" w:hint="default"/>
          <w:sz w:val="18"/>
          <w:szCs w:val="18"/>
        </w:rPr>
        <w:t>个百分点。 本报告期研发支出占公司最近一期经审计净资产比例为</w:t>
      </w:r>
      <w:r>
        <w:rPr>
          <w:rFonts w:ascii="Times New Roman" w:hAnsi="Times New Roman" w:cs="Times New Roman" w:eastAsia="Times New Roman" w:hint="default"/>
          <w:sz w:val="18"/>
          <w:szCs w:val="18"/>
        </w:rPr>
        <w:t>1.71%</w:t>
      </w:r>
      <w:r>
        <w:rPr>
          <w:rFonts w:ascii="宋体" w:hAnsi="宋体" w:cs="宋体" w:eastAsia="宋体" w:hint="default"/>
          <w:sz w:val="18"/>
          <w:szCs w:val="18"/>
        </w:rPr>
        <w:t>。</w:t>
      </w:r>
    </w:p>
    <w:p>
      <w:pPr>
        <w:spacing w:before="38"/>
        <w:ind w:left="153" w:right="1034"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53,366,169.92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60,053,293.97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line="338" w:lineRule="auto" w:before="43"/>
        <w:ind w:left="153" w:right="93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近两年专利数情况</w:t>
      </w:r>
    </w:p>
    <w:p>
      <w:pPr>
        <w:spacing w:before="42"/>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97"/>
        <w:gridCol w:w="2114"/>
        <w:gridCol w:w="2225"/>
        <w:gridCol w:w="2023"/>
      </w:tblGrid>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3"/>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1,167,833,246.65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1,064,401,268.69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923,200,916.57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1,042,279,199.21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244,632,330.08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22,122,069.48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4,377,568.19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1,258,270.98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832,390,784.46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154,552,907.96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438.58%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-828,013,216.27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-153,294,636.98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-440.14%</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1,431,518,760.00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105.09%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705,818,136.26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710,568,521.15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725,700,623.74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-12,568,521.15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5,873.95%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142,342,286.15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-143,739,748.88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034"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19" w:lineRule="auto" w:before="116"/>
        <w:ind w:left="153"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、经营活动产生的现金流量净额比上年同期增长</w:t>
      </w:r>
      <w:r>
        <w:rPr>
          <w:rFonts w:ascii="Times New Roman" w:hAnsi="Times New Roman" w:cs="Times New Roman" w:eastAsia="Times New Roman" w:hint="default"/>
          <w:spacing w:val="-1"/>
          <w:sz w:val="18"/>
          <w:szCs w:val="18"/>
        </w:rPr>
        <w:t>1,005.83%</w:t>
      </w:r>
      <w:r>
        <w:rPr>
          <w:rFonts w:ascii="宋体" w:hAnsi="宋体" w:cs="宋体" w:eastAsia="宋体" w:hint="default"/>
          <w:spacing w:val="-1"/>
          <w:sz w:val="18"/>
          <w:szCs w:val="18"/>
        </w:rPr>
        <w:t>，主要系本期加强销售回款销售商品收到现金增加及支付购买商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品现金流量下降、本期收购北京中电兴科技有限公司和苏州开关二厂有限公司所致；</w:t>
      </w:r>
    </w:p>
    <w:p>
      <w:pPr>
        <w:spacing w:line="309" w:lineRule="auto" w:before="17"/>
        <w:ind w:left="154" w:right="11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、投资活动产生的现金流量净额比上年同期下降</w:t>
      </w:r>
      <w:r>
        <w:rPr>
          <w:rFonts w:ascii="Times New Roman" w:hAnsi="Times New Roman" w:cs="Times New Roman" w:eastAsia="Times New Roman" w:hint="default"/>
          <w:sz w:val="18"/>
          <w:szCs w:val="18"/>
        </w:rPr>
        <w:t>440.14%</w:t>
      </w:r>
      <w:r>
        <w:rPr>
          <w:rFonts w:ascii="宋体" w:hAnsi="宋体" w:cs="宋体" w:eastAsia="宋体" w:hint="default"/>
          <w:sz w:val="18"/>
          <w:szCs w:val="18"/>
        </w:rPr>
        <w:t>，主要原因系本期收购北京中电兴科技有限公司和苏州开关二厂 有限公司支付现金等所致；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、筹资活动产生的现金流量净额比上年同期增长</w:t>
      </w:r>
      <w:r>
        <w:rPr>
          <w:rFonts w:ascii="Times New Roman" w:hAnsi="Times New Roman" w:cs="Times New Roman" w:eastAsia="Times New Roman" w:hint="default"/>
          <w:spacing w:val="-1"/>
          <w:sz w:val="18"/>
          <w:szCs w:val="18"/>
        </w:rPr>
        <w:t>5,873.95%</w:t>
      </w:r>
      <w:r>
        <w:rPr>
          <w:rFonts w:ascii="宋体" w:hAnsi="宋体" w:cs="宋体" w:eastAsia="宋体" w:hint="default"/>
          <w:spacing w:val="-1"/>
          <w:sz w:val="18"/>
          <w:szCs w:val="18"/>
        </w:rPr>
        <w:t>，主要原因系本期收购北京中电兴科技有限公司和苏州开关二厂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有限公司非公开发行新股募集资金及增加银行借款所致；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、现金及现金等价物净增加额比上年同期增长</w:t>
      </w:r>
      <w:r>
        <w:rPr>
          <w:rFonts w:ascii="Times New Roman" w:hAnsi="Times New Roman" w:cs="Times New Roman" w:eastAsia="Times New Roman" w:hint="default"/>
          <w:sz w:val="18"/>
          <w:szCs w:val="18"/>
        </w:rPr>
        <w:t>199.03%</w:t>
      </w:r>
      <w:r>
        <w:rPr>
          <w:rFonts w:ascii="宋体" w:hAnsi="宋体" w:cs="宋体" w:eastAsia="宋体" w:hint="default"/>
          <w:sz w:val="18"/>
          <w:szCs w:val="18"/>
        </w:rPr>
        <w:t>，主要原因系本期经营活动产生的现金流量净额增加所致。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spacing w:before="0"/>
        <w:ind w:left="154" w:right="1034"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19" w:lineRule="auto" w:before="116"/>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主要原因系本期收购北京中电兴科技有限公司</w:t>
      </w:r>
      <w:r>
        <w:rPr>
          <w:rFonts w:ascii="Times New Roman" w:hAnsi="Times New Roman" w:cs="Times New Roman" w:eastAsia="Times New Roman" w:hint="default"/>
          <w:sz w:val="18"/>
          <w:szCs w:val="18"/>
        </w:rPr>
        <w:t>9</w:t>
      </w:r>
      <w:r>
        <w:rPr>
          <w:rFonts w:ascii="宋体" w:hAnsi="宋体" w:cs="宋体" w:eastAsia="宋体" w:hint="default"/>
          <w:sz w:val="18"/>
          <w:szCs w:val="18"/>
        </w:rPr>
        <w:t>月份开始纳入合并、苏州开关二厂有限公司</w:t>
      </w:r>
      <w:r>
        <w:rPr>
          <w:rFonts w:ascii="Times New Roman" w:hAnsi="Times New Roman" w:cs="Times New Roman" w:eastAsia="Times New Roman" w:hint="default"/>
          <w:sz w:val="18"/>
          <w:szCs w:val="18"/>
        </w:rPr>
        <w:t>11</w:t>
      </w:r>
      <w:r>
        <w:rPr>
          <w:rFonts w:ascii="宋体" w:hAnsi="宋体" w:cs="宋体" w:eastAsia="宋体" w:hint="default"/>
          <w:sz w:val="18"/>
          <w:szCs w:val="18"/>
        </w:rPr>
        <w:t>月份开始纳入合并，而年底是 公司回款的高峰期，以及公司加强销售回款等导致本期经营活动产生的现金净流量较大。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Heading4"/>
        <w:spacing w:line="240" w:lineRule="auto"/>
        <w:ind w:right="1034"/>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spacing w:before="44"/>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-3,485,702.06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-3.88%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left"/>
              <w:rPr>
                <w:rFonts w:ascii="宋体" w:hAnsi="宋体" w:cs="宋体" w:eastAsia="宋体" w:hint="default"/>
                <w:sz w:val="18"/>
                <w:szCs w:val="18"/>
              </w:rPr>
            </w:pPr>
            <w:r>
              <w:rPr>
                <w:rFonts w:ascii="宋体" w:hAnsi="宋体" w:cs="宋体" w:eastAsia="宋体" w:hint="default"/>
                <w:sz w:val="18"/>
                <w:szCs w:val="18"/>
              </w:rPr>
              <w:t>主要系子公司投资权益法核 算的美能储能公司亏损所致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15,777,984.18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计提坏账准备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16,605,998.31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主要系政府补助等</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1,511,746.59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left"/>
              <w:rPr>
                <w:rFonts w:ascii="宋体" w:hAnsi="宋体" w:cs="宋体" w:eastAsia="宋体" w:hint="default"/>
                <w:sz w:val="18"/>
                <w:szCs w:val="18"/>
              </w:rPr>
            </w:pPr>
            <w:r>
              <w:rPr>
                <w:rFonts w:ascii="宋体" w:hAnsi="宋体" w:cs="宋体" w:eastAsia="宋体" w:hint="default"/>
                <w:sz w:val="18"/>
                <w:szCs w:val="18"/>
              </w:rPr>
              <w:t>主要系处理固定资产损失及 税金滞纳金</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2"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4"/>
        <w:spacing w:line="240" w:lineRule="auto" w:before="26"/>
        <w:ind w:left="154" w:right="1034"/>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52"/>
        <w:gridCol w:w="1207"/>
        <w:gridCol w:w="1051"/>
        <w:gridCol w:w="810"/>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16"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1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6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7"/>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451,183,324.5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8.85%</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286,017,613.33</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12.60%</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-3.75%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主要系本期收购北京中电兴发科技 </w:t>
            </w:r>
            <w:r>
              <w:rPr>
                <w:rFonts w:ascii="宋体" w:hAnsi="宋体" w:cs="宋体" w:eastAsia="宋体" w:hint="default"/>
                <w:spacing w:val="-2"/>
                <w:sz w:val="18"/>
                <w:szCs w:val="18"/>
              </w:rPr>
              <w:t>有限公司、苏州开关二厂有限公司纳</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52"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入合并报表所致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1,060,570,242.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683,977,250.76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主要系本期收购北京中电兴发科技 </w:t>
            </w:r>
            <w:r>
              <w:rPr>
                <w:rFonts w:ascii="宋体" w:hAnsi="宋体" w:cs="宋体" w:eastAsia="宋体" w:hint="default"/>
                <w:spacing w:val="-2"/>
                <w:sz w:val="18"/>
                <w:szCs w:val="18"/>
              </w:rPr>
              <w:t>有限公司、苏州开关二厂有限公司纳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入合并报表所致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834,833,176.6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575,149,728.83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主要系本期收购北京中电兴发科技 </w:t>
            </w:r>
            <w:r>
              <w:rPr>
                <w:rFonts w:ascii="宋体" w:hAnsi="宋体" w:cs="宋体" w:eastAsia="宋体" w:hint="default"/>
                <w:spacing w:val="-2"/>
                <w:sz w:val="18"/>
                <w:szCs w:val="18"/>
              </w:rPr>
              <w:t>有限公司、苏州开关二厂有限公司纳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入合并报表所致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13,422,753.90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21,473,141.69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26,069,598.77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743,360,099.2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321,371,396.05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主要系本期收购北京中电兴发科技 </w:t>
            </w:r>
            <w:r>
              <w:rPr>
                <w:rFonts w:ascii="宋体" w:hAnsi="宋体" w:cs="宋体" w:eastAsia="宋体" w:hint="default"/>
                <w:spacing w:val="-2"/>
                <w:sz w:val="18"/>
                <w:szCs w:val="18"/>
              </w:rPr>
              <w:t>有限公司、苏州开关二厂有限公司纳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入合并报表以及前次募集资金部分 项目完工转入固定资产所致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35,762,213.00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90,046,982.82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主要系本期前次募集资金部分项目 完工转入固定资产所致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主要系本期收购中电兴发纳入合并 报表及公司经营需要增加了部分银 行借款所致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主要系本期收购子公司增加了银行 长期借款所致</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1034"/>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1034"/>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2,028,000,000.00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9" w:right="0"/>
              <w:jc w:val="left"/>
              <w:rPr>
                <w:rFonts w:ascii="Times New Roman" w:hAnsi="Times New Roman" w:cs="Times New Roman" w:eastAsia="Times New Roman" w:hint="default"/>
                <w:sz w:val="18"/>
                <w:szCs w:val="18"/>
              </w:rPr>
            </w:pPr>
            <w:r>
              <w:rPr>
                <w:rFonts w:ascii="Times New Roman"/>
                <w:sz w:val="18"/>
              </w:rPr>
              <w:t>112,860,000.00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1,696.92%</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298"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98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0" w:right="109"/>
              <w:jc w:val="both"/>
              <w:rPr>
                <w:rFonts w:ascii="宋体" w:hAnsi="宋体" w:cs="宋体" w:eastAsia="宋体" w:hint="default"/>
                <w:sz w:val="18"/>
                <w:szCs w:val="18"/>
              </w:rPr>
            </w:pPr>
            <w:r>
              <w:rPr>
                <w:rFonts w:ascii="宋体" w:hAnsi="宋体" w:cs="宋体" w:eastAsia="宋体" w:hint="default"/>
                <w:sz w:val="18"/>
                <w:szCs w:val="18"/>
              </w:rPr>
              <w:t>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8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北京中 电兴发 科技有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公共安 全及反 恐、智 慧城市</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47"/>
              <w:jc w:val="both"/>
              <w:rPr>
                <w:rFonts w:ascii="宋体" w:hAnsi="宋体" w:cs="宋体" w:eastAsia="宋体" w:hint="default"/>
                <w:sz w:val="18"/>
                <w:szCs w:val="18"/>
              </w:rPr>
            </w:pPr>
            <w:r>
              <w:rPr>
                <w:rFonts w:ascii="宋体" w:hAnsi="宋体" w:cs="宋体" w:eastAsia="宋体" w:hint="default"/>
                <w:sz w:val="18"/>
                <w:szCs w:val="18"/>
              </w:rPr>
              <w:t>非公开 发行股 票与公 司自有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公共安 全及反 恐、智 慧城市</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97"/>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《上海 证券 报》及 巨潮资 讯网</w:t>
            </w:r>
          </w:p>
          <w:p>
            <w:pPr>
              <w:pStyle w:val="TableParagraph"/>
              <w:spacing w:line="338"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的有关</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6643"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苏州开 关二厂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制造、 加工： 高低压 成套装 置，输 配电设 备，工 业过程 控制及 监控系 统，仪 器仪 表，金 属制 品，电 子通讯 设备， 调气、 调压设 备，电 器元件</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2" w:right="0"/>
              <w:jc w:val="center"/>
              <w:rPr>
                <w:rFonts w:ascii="Times New Roman" w:hAnsi="Times New Roman" w:cs="Times New Roman" w:eastAsia="Times New Roman" w:hint="default"/>
                <w:sz w:val="18"/>
                <w:szCs w:val="18"/>
              </w:rPr>
            </w:pPr>
            <w:r>
              <w:rPr>
                <w:rFonts w:ascii="Times New Roman"/>
                <w:sz w:val="18"/>
              </w:rPr>
              <w:t>70.00%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47"/>
              <w:jc w:val="left"/>
              <w:rPr>
                <w:rFonts w:ascii="宋体" w:hAnsi="宋体" w:cs="宋体" w:eastAsia="宋体" w:hint="default"/>
                <w:sz w:val="18"/>
                <w:szCs w:val="18"/>
              </w:rPr>
            </w:pPr>
            <w:r>
              <w:rPr>
                <w:rFonts w:ascii="宋体" w:hAnsi="宋体" w:cs="宋体" w:eastAsia="宋体" w:hint="default"/>
                <w:sz w:val="18"/>
                <w:szCs w:val="18"/>
              </w:rPr>
              <w:t>公司自 有资金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制造、 加工： 高低压 成套装 置，输 配电设 备，工 业过程 控制及 监控系 统，仪 器仪 表，金 属制 品，电 子通讯 设备， 调气、 调压设 备，电 器元件</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《上海 证券 报》及 巨潮资 讯网</w:t>
            </w:r>
          </w:p>
          <w:p>
            <w:pPr>
              <w:pStyle w:val="TableParagraph"/>
              <w:spacing w:line="338"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的有关</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6"/>
        <w:spacing w:line="240" w:lineRule="auto" w:before="35"/>
        <w:ind w:right="1034"/>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1034"/>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44"/>
        <w:ind w:left="0" w:right="1142" w:firstLine="0"/>
        <w:jc w:val="right"/>
        <w:rPr>
          <w:rFonts w:ascii="宋体" w:hAnsi="宋体" w:cs="宋体" w:eastAsia="宋体" w:hint="default"/>
          <w:sz w:val="18"/>
          <w:szCs w:val="18"/>
        </w:rPr>
      </w:pPr>
      <w:r>
        <w:rPr/>
        <w:pict>
          <v:shape style="position:absolute;margin-left:56.459999pt;margin-top:-143.668289pt;width:479pt;height:194.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51,551.06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9,404.87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52,910.98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5,857.15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35,841.71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51,551.06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9,404.87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52,910.98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5,857.15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35,841.71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69.53%</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firstLine="90"/>
                          <w:jc w:val="both"/>
                          <w:rPr>
                            <w:rFonts w:ascii="宋体" w:hAnsi="宋体" w:cs="宋体" w:eastAsia="宋体" w:hint="default"/>
                            <w:sz w:val="18"/>
                            <w:szCs w:val="18"/>
                          </w:rPr>
                        </w:pPr>
                        <w:r>
                          <w:rPr>
                            <w:rFonts w:ascii="宋体" w:hAnsi="宋体" w:cs="宋体" w:eastAsia="宋体" w:hint="default"/>
                            <w:sz w:val="18"/>
                            <w:szCs w:val="18"/>
                          </w:rPr>
                          <w:t>非公开发行募集资金分别使用于</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VA-12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智能化固封极柱式高压真空断路器项目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万台智能型电力 </w:t>
                        </w:r>
                        <w:r>
                          <w:rPr>
                            <w:rFonts w:ascii="宋体" w:hAnsi="宋体" w:cs="宋体" w:eastAsia="宋体" w:hint="default"/>
                            <w:spacing w:val="-3"/>
                            <w:w w:val="100"/>
                            <w:sz w:val="18"/>
                            <w:szCs w:val="18"/>
                          </w:rPr>
                          <w:t>电器元件产品生产线项目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智能型高分断低压断路器生产线建设项目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高、低压开关柜及元件技术研究中心建设项目</w:t>
                        </w:r>
                        <w:r>
                          <w:rPr>
                            <w:rFonts w:ascii="Times New Roman" w:hAnsi="Times New Roman" w:cs="Times New Roman" w:eastAsia="Times New Roman" w:hint="default"/>
                            <w:spacing w:val="-3"/>
                            <w:w w:val="100"/>
                            <w:sz w:val="18"/>
                            <w:szCs w:val="18"/>
                          </w:rPr>
                          <w:t>”</w:t>
                        </w:r>
                        <w:r>
                          <w:rPr>
                            <w:rFonts w:ascii="Times New Roman" w:hAnsi="Times New Roman" w:cs="Times New Roman" w:eastAsia="Times New Roman" w:hint="default"/>
                            <w:spacing w:val="-42"/>
                            <w:w w:val="100"/>
                            <w:sz w:val="18"/>
                            <w:szCs w:val="18"/>
                          </w:rPr>
                          <w:t> </w:t>
                        </w:r>
                        <w:r>
                          <w:rPr>
                            <w:rFonts w:ascii="宋体" w:hAnsi="宋体" w:cs="宋体" w:eastAsia="宋体" w:hint="default"/>
                            <w:sz w:val="18"/>
                            <w:szCs w:val="18"/>
                          </w:rPr>
                          <w:t>报告期内，公司募投项目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高、低压开关柜及元件技术研究中心建设项目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以及</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万台智能型电力电器元件产品生产 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均己正式投入使用；公司将募集资金专户余额永久性补充流动资金。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6"/>
        <w:spacing w:line="240" w:lineRule="auto" w:before="35"/>
        <w:ind w:left="154" w:right="1034"/>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、智能化固封极柱式 高压真空断路器项目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654.41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654.41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、智能型电力电器元 件产品生产线项目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2,391.08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2,391.08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227.86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、智能型高分断低压 断路器生产线建设项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9,282.57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2,821.02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9,282.57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、高、低压开关柜及 元件技术研究中心建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4,741.21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4,741.21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17,069.27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3,547.72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17,069.27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1,822.36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无超募资金项目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17,069.27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3,547.72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17,069.27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1,822.36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2189"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7" w:lineRule="auto" w:before="51"/>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智能型电力电器元件产品生产线项目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延期的原因：</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月该项目的实施地 点发生变更，使得该项目基础建设的开工时间晚于预期；</w:t>
            </w:r>
            <w:r>
              <w:rPr>
                <w:rFonts w:ascii="Times New Roman" w:hAnsi="Times New Roman" w:cs="Times New Roman" w:eastAsia="Times New Roman" w:hint="default"/>
                <w:sz w:val="18"/>
                <w:szCs w:val="18"/>
              </w:rPr>
              <w:t>B</w:t>
            </w:r>
            <w:r>
              <w:rPr>
                <w:rFonts w:ascii="宋体" w:hAnsi="宋体" w:cs="宋体" w:eastAsia="宋体" w:hint="default"/>
                <w:sz w:val="18"/>
                <w:szCs w:val="18"/>
              </w:rPr>
              <w:t>、由于位置相邻，公司聘请同一家建筑 施工单位负责该项目和</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高、低压开关柜及元件技术研究中心建设项目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的基础建设。基于施工便利 等方面的考虑，该单位在施工顺序上优先建设</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高、低压开关柜及元件技术研究中心建设项目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，造 成该项目的建设进度较原计划有所延迟；</w:t>
            </w:r>
            <w:r>
              <w:rPr>
                <w:rFonts w:ascii="Times New Roman" w:hAnsi="Times New Roman" w:cs="Times New Roman" w:eastAsia="Times New Roman" w:hint="default"/>
                <w:sz w:val="18"/>
                <w:szCs w:val="18"/>
              </w:rPr>
              <w:t>C</w:t>
            </w:r>
            <w:r>
              <w:rPr>
                <w:rFonts w:ascii="宋体" w:hAnsi="宋体" w:cs="宋体" w:eastAsia="宋体" w:hint="default"/>
                <w:sz w:val="18"/>
                <w:szCs w:val="18"/>
              </w:rPr>
              <w:t>、受宏观经济形势的影响，工业客户的投资需求有所减 缓，使得公司电力自动化产品销售增速未达预期，现有产能短期内利用率水平不高。虽然公司管理 层判断随着电网智能化改革的持续推进，电力自动化市场存在较大的业务拓展空间，但是如果目前 加快投入资金迅速扩大生产规模，会造成该项目的前阶段产能过剩、资金浪费，且后续产生的折旧 </w:t>
            </w:r>
            <w:r>
              <w:rPr>
                <w:rFonts w:ascii="宋体" w:hAnsi="宋体" w:cs="宋体" w:eastAsia="宋体" w:hint="default"/>
                <w:spacing w:val="-3"/>
                <w:sz w:val="18"/>
                <w:szCs w:val="18"/>
              </w:rPr>
              <w:t>费用、管理费用等会对公司的经营产生较大的影响，故而公司对该项目的建设进度有所放缓。</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、募</w:t>
            </w:r>
            <w:r>
              <w:rPr>
                <w:rFonts w:ascii="宋体" w:hAnsi="宋体" w:cs="宋体" w:eastAsia="宋体" w:hint="default"/>
                <w:spacing w:val="-69"/>
                <w:sz w:val="18"/>
                <w:szCs w:val="18"/>
              </w:rPr>
              <w:t> </w:t>
            </w:r>
            <w:r>
              <w:rPr>
                <w:rFonts w:ascii="宋体" w:hAnsi="宋体" w:cs="宋体" w:eastAsia="宋体" w:hint="default"/>
                <w:sz w:val="18"/>
                <w:szCs w:val="18"/>
              </w:rPr>
              <w:t>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高、低压开关柜及元件技术研究中心建设项目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延期的原因：</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月该项目的实 施地点发生变更，使得项目基础建设的破土动工时间推迟；</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月公司获得</w:t>
            </w:r>
            <w:r>
              <w:rPr>
                <w:rFonts w:ascii="Times New Roman" w:hAnsi="Times New Roman" w:cs="Times New Roman" w:eastAsia="Times New Roman" w:hint="default"/>
                <w:sz w:val="18"/>
                <w:szCs w:val="18"/>
              </w:rPr>
              <w:t>“</w:t>
            </w:r>
            <w:r>
              <w:rPr>
                <w:rFonts w:ascii="宋体" w:hAnsi="宋体" w:cs="宋体" w:eastAsia="宋体" w:hint="default"/>
                <w:sz w:val="18"/>
                <w:szCs w:val="18"/>
              </w:rPr>
              <w:t>国家级</w:t>
            </w:r>
            <w:r>
              <w:rPr>
                <w:rFonts w:ascii="Times New Roman" w:hAnsi="Times New Roman" w:cs="Times New Roman" w:eastAsia="Times New Roman" w:hint="default"/>
                <w:sz w:val="18"/>
                <w:szCs w:val="18"/>
              </w:rPr>
              <w:t>”</w:t>
            </w:r>
            <w:r>
              <w:rPr>
                <w:rFonts w:ascii="宋体" w:hAnsi="宋体" w:cs="宋体" w:eastAsia="宋体" w:hint="default"/>
                <w:sz w:val="18"/>
                <w:szCs w:val="18"/>
              </w:rPr>
              <w:t>企 业技术中心的认定，管理层在原投资规划框架内对该项目建设提出了更细致的要求，包括选择玻璃 幕墙作为外墙材料，从而增加了基建工期；</w:t>
            </w:r>
            <w:r>
              <w:rPr>
                <w:rFonts w:ascii="Times New Roman" w:hAnsi="Times New Roman" w:cs="Times New Roman" w:eastAsia="Times New Roman" w:hint="default"/>
                <w:sz w:val="18"/>
                <w:szCs w:val="18"/>
              </w:rPr>
              <w:t>C</w:t>
            </w:r>
            <w:r>
              <w:rPr>
                <w:rFonts w:ascii="宋体" w:hAnsi="宋体" w:cs="宋体" w:eastAsia="宋体" w:hint="default"/>
                <w:sz w:val="18"/>
                <w:szCs w:val="18"/>
              </w:rPr>
              <w:t>、由于输配电及控制设备制造面临电网智能化革新， 技术升级较快，公司需要结合不断发展的行业技术环境考虑购置相关试验、检测设备，否则容易产 生设备淘汰率高，投资效益低下的情况，因此也会延长达到预定效果所需时间；</w:t>
            </w:r>
            <w:r>
              <w:rPr>
                <w:rFonts w:ascii="Times New Roman" w:hAnsi="Times New Roman" w:cs="Times New Roman" w:eastAsia="Times New Roman" w:hint="default"/>
                <w:sz w:val="18"/>
                <w:szCs w:val="18"/>
              </w:rPr>
              <w:t>D</w:t>
            </w:r>
            <w:r>
              <w:rPr>
                <w:rFonts w:ascii="宋体" w:hAnsi="宋体" w:cs="宋体" w:eastAsia="宋体" w:hint="default"/>
                <w:sz w:val="18"/>
                <w:szCs w:val="18"/>
              </w:rPr>
              <w:t>、公司多次对其 他公司的研发中心进行实地考察，如奇瑞研发中心等，取长补短，对外部装饰、内部结构装潢等进 行了多次评优、修改、调整，造成该项目的进度较原计划有所延迟。</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218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302"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3"/>
                <w:w w:val="100"/>
                <w:sz w:val="18"/>
                <w:szCs w:val="18"/>
              </w:rPr>
              <w:t>年第一次临时股东大会审议决定，终止实施募投项目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智能化固</w:t>
            </w:r>
            <w:r>
              <w:rPr>
                <w:rFonts w:ascii="宋体" w:hAnsi="宋体" w:cs="宋体" w:eastAsia="宋体" w:hint="default"/>
                <w:sz w:val="18"/>
                <w:szCs w:val="18"/>
              </w:rPr>
              <w:t> 封极柱式高压真空断路器项目</w:t>
            </w:r>
            <w:r>
              <w:rPr>
                <w:rFonts w:ascii="Times New Roman" w:hAnsi="Times New Roman" w:cs="Times New Roman" w:eastAsia="Times New Roman" w:hint="default"/>
                <w:sz w:val="18"/>
                <w:szCs w:val="18"/>
              </w:rPr>
              <w:t>”  </w:t>
            </w:r>
            <w:r>
              <w:rPr>
                <w:rFonts w:ascii="宋体" w:hAnsi="宋体" w:cs="宋体" w:eastAsia="宋体" w:hint="default"/>
                <w:sz w:val="18"/>
                <w:szCs w:val="18"/>
              </w:rPr>
              <w:t>并使用剩余募集资金（含利息）永久补充流动资金。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27"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智能型电力电器元件产品生产线项目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的实施地点，原实施地点为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安徽省芜湖市经济 </w:t>
            </w:r>
            <w:r>
              <w:rPr>
                <w:rFonts w:ascii="宋体" w:hAnsi="宋体" w:cs="宋体" w:eastAsia="宋体" w:hint="default"/>
                <w:spacing w:val="-2"/>
                <w:sz w:val="18"/>
                <w:szCs w:val="18"/>
              </w:rPr>
              <w:t>技术开发区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，变更后该项目的实施地点为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芜湖市鸠江经济开发区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、募投项目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智能型高分断低</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压断路器生产线建设项目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的实施地点，原实施地点为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安徽省芜湖市经济技术开发区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，变更后该项</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目的实施地点为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芜湖市鸠江经济开发区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高、低压开关柜及元件技术研究中心建设 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的实施地点，原实施地点为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安徽省芜湖市经济技术开发区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，变更后该项目的实施地点为</w:t>
            </w:r>
            <w:r>
              <w:rPr>
                <w:rFonts w:ascii="Times New Roman" w:hAnsi="Times New Roman" w:cs="Times New Roman" w:eastAsia="Times New Roman" w:hint="default"/>
                <w:sz w:val="18"/>
                <w:szCs w:val="18"/>
              </w:rPr>
              <w:t>“</w:t>
            </w:r>
            <w:r>
              <w:rPr>
                <w:rFonts w:ascii="宋体" w:hAnsi="宋体" w:cs="宋体" w:eastAsia="宋体" w:hint="default"/>
                <w:sz w:val="18"/>
                <w:szCs w:val="18"/>
              </w:rPr>
              <w:t>芜 湖市鸠江经济开发区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right w:val="single" w:sz="4" w:space="0" w:color="000000"/>
            </w:tcBorders>
          </w:tcPr>
          <w:p>
            <w:pPr/>
          </w:p>
        </w:tc>
      </w:tr>
      <w:tr>
        <w:trPr>
          <w:trHeight w:val="103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p>
      <w:pPr>
        <w:spacing w:before="44"/>
        <w:ind w:left="0" w:right="1140" w:firstLine="0"/>
        <w:jc w:val="right"/>
        <w:rPr>
          <w:rFonts w:ascii="宋体" w:hAnsi="宋体" w:cs="宋体" w:eastAsia="宋体" w:hint="default"/>
          <w:sz w:val="18"/>
          <w:szCs w:val="18"/>
        </w:rPr>
      </w:pPr>
      <w:r>
        <w:rPr/>
        <w:pict>
          <v:shape style="position:absolute;margin-left:56.459999pt;margin-top:-297.568268pt;width:479.2pt;height:466.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年第二次临时股东大会审议通过《关于部分变更募集资金投向</w:t>
                        </w:r>
                        <w:r>
                          <w:rPr>
                            <w:rFonts w:ascii="宋体" w:hAnsi="宋体" w:cs="宋体" w:eastAsia="宋体" w:hint="default"/>
                            <w:sz w:val="18"/>
                            <w:szCs w:val="18"/>
                          </w:rPr>
                          <w:t> </w:t>
                        </w:r>
                        <w:r>
                          <w:rPr>
                            <w:rFonts w:ascii="宋体" w:hAnsi="宋体" w:cs="宋体" w:eastAsia="宋体" w:hint="default"/>
                            <w:spacing w:val="-12"/>
                            <w:sz w:val="18"/>
                            <w:szCs w:val="18"/>
                          </w:rPr>
                          <w:t>暨收购资产的议案》，公司将</w:t>
                        </w:r>
                        <w:r>
                          <w:rPr>
                            <w:rFonts w:ascii="宋体" w:hAnsi="宋体" w:cs="宋体" w:eastAsia="宋体" w:hint="default"/>
                            <w:spacing w:val="33"/>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智能型电力电器元件产品生产线项目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的部分募集资金变更为</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收购天</w:t>
                        </w:r>
                        <w:r>
                          <w:rPr>
                            <w:rFonts w:ascii="宋体" w:hAnsi="宋体" w:cs="宋体" w:eastAsia="宋体" w:hint="default"/>
                            <w:spacing w:val="-85"/>
                            <w:w w:val="100"/>
                            <w:sz w:val="18"/>
                            <w:szCs w:val="18"/>
                          </w:rPr>
                          <w:t> </w:t>
                        </w:r>
                        <w:r>
                          <w:rPr>
                            <w:rFonts w:ascii="宋体" w:hAnsi="宋体" w:cs="宋体" w:eastAsia="宋体" w:hint="default"/>
                            <w:sz w:val="18"/>
                            <w:szCs w:val="18"/>
                          </w:rPr>
                          <w:t>津市泰达工程设计有限公司项目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，拟改变投向的募集资金总额为人民币</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亿元，用于收购股权的价</w:t>
                        </w:r>
                        <w:r>
                          <w:rPr>
                            <w:rFonts w:ascii="宋体" w:hAnsi="宋体" w:cs="宋体" w:eastAsia="宋体" w:hint="default"/>
                            <w:sz w:val="18"/>
                            <w:szCs w:val="18"/>
                          </w:rPr>
                          <w:t> 款支付。本次变更后，剩余的募集资金将继续实施原有项目，需要额外资金时，公司将以自有资金 继续投入完成。</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日己将用于暂时补充流动资金的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万元闲置募集资金全部归还募集资金 专用账户。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w:t>
                        </w:r>
                        <w:r>
                          <w:rPr>
                            <w:rFonts w:ascii="宋体" w:hAnsi="宋体" w:cs="宋体" w:eastAsia="宋体" w:hint="default"/>
                            <w:spacing w:val="-88"/>
                            <w:sz w:val="18"/>
                            <w:szCs w:val="18"/>
                          </w:rPr>
                          <w:t>过</w:t>
                        </w:r>
                        <w:r>
                          <w:rPr>
                            <w:rFonts w:ascii="宋体" w:hAnsi="宋体" w:cs="宋体" w:eastAsia="宋体" w:hint="default"/>
                            <w:sz w:val="18"/>
                            <w:szCs w:val="18"/>
                          </w:rPr>
                          <w:t>《关于使用剩余募集资金永久性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年非公开发行股票募集资金投资项目已达到预定可以使用状态，</w:t>
                        </w:r>
                      </w:p>
                      <w:p>
                        <w:pPr>
                          <w:pStyle w:val="TableParagraph"/>
                          <w:spacing w:line="307"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将剩余募集资金（含利息）</w:t>
                        </w:r>
                        <w:r>
                          <w:rPr>
                            <w:rFonts w:ascii="Times New Roman" w:hAnsi="Times New Roman" w:cs="Times New Roman" w:eastAsia="Times New Roman" w:hint="default"/>
                            <w:sz w:val="18"/>
                            <w:szCs w:val="18"/>
                          </w:rPr>
                          <w:t>5,857.15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日已实际转账数据）永久补充流动 </w:t>
                        </w:r>
                        <w:r>
                          <w:rPr>
                            <w:rFonts w:ascii="宋体" w:hAnsi="宋体" w:cs="宋体" w:eastAsia="宋体" w:hint="default"/>
                            <w:spacing w:val="-3"/>
                            <w:sz w:val="18"/>
                            <w:szCs w:val="18"/>
                          </w:rPr>
                          <w:t>资金。结余原因：</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、在募投项目建设过程中，在保证项目建设质量的前提下，公司严格控制募集资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金的支出，充分考虑资源的综合利用，加强了对项目费用的控制、监督和管理，相应地减少了项目 </w:t>
                        </w:r>
                        <w:r>
                          <w:rPr>
                            <w:rFonts w:ascii="宋体" w:hAnsi="宋体" w:cs="宋体" w:eastAsia="宋体" w:hint="default"/>
                            <w:spacing w:val="-5"/>
                            <w:sz w:val="18"/>
                            <w:szCs w:val="18"/>
                          </w:rPr>
                          <w:t>开支。</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、公司自项目实施起，对募集资金采取定期存单，募集资金存放期间产生了一定的利息收入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、公司自项目实施起，尝试在原有厂房内通过合理规划，对生产设备进行重新布局，增加配套及检</w:t>
                        </w:r>
                        <w:r>
                          <w:rPr>
                            <w:rFonts w:ascii="宋体" w:hAnsi="宋体" w:cs="宋体" w:eastAsia="宋体" w:hint="default"/>
                            <w:sz w:val="18"/>
                            <w:szCs w:val="18"/>
                          </w:rPr>
                          <w:t> 测工位，同时增加设备投入，调用集团资源分包部分工序，并对原有生产线进行了工艺改造，使其 具备新建项目生产产品的能力。截至目前，原有厂房的技术改造已取得较大的成果，生产效率显著 提升，已达到了目前行业环 境下可供一段时间使用的产能配置。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28,547.33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元，截至本报告日已全部补充流动资金。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6"/>
        <w:spacing w:line="240" w:lineRule="auto" w:before="35"/>
        <w:ind w:left="154" w:right="1034"/>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天津市泰达 工程设计有 限公司项目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智能型电力 电器元件产 品生产线项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2,226.73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0" w:right="1137" w:firstLine="0"/>
        <w:jc w:val="right"/>
        <w:rPr>
          <w:rFonts w:ascii="宋体" w:hAnsi="宋体" w:cs="宋体" w:eastAsia="宋体" w:hint="default"/>
          <w:sz w:val="18"/>
          <w:szCs w:val="18"/>
        </w:rPr>
      </w:pPr>
      <w:r>
        <w:rPr/>
        <w:pict>
          <v:shape style="position:absolute;margin-left:56.459999pt;margin-top:-279.568268pt;width:479.3pt;height:433.1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智能化固封 极柱式高压 真空断路器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19,984.56</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19,984.56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剩余募集资 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5,857.15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5,857.15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5,857.15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35,841.71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5,857.15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35,841.71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4" w:right="0"/>
                          <w:jc w:val="left"/>
                          <w:rPr>
                            <w:rFonts w:ascii="Times New Roman" w:hAnsi="Times New Roman" w:cs="Times New Roman" w:eastAsia="Times New Roman" w:hint="default"/>
                            <w:sz w:val="18"/>
                            <w:szCs w:val="18"/>
                          </w:rPr>
                        </w:pPr>
                        <w:r>
                          <w:rPr>
                            <w:rFonts w:ascii="Times New Roman"/>
                            <w:sz w:val="18"/>
                          </w:rPr>
                          <w:t>2,226.73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77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年第二次临时股东大会审议通过《关于部分变 </w:t>
                        </w:r>
                        <w:r>
                          <w:rPr>
                            <w:rFonts w:ascii="宋体" w:hAnsi="宋体" w:cs="宋体" w:eastAsia="宋体" w:hint="default"/>
                            <w:spacing w:val="-3"/>
                            <w:sz w:val="18"/>
                            <w:szCs w:val="18"/>
                          </w:rPr>
                          <w:t>更募集资金投向暨收购资产的议案》，根据公司发展战略及市场需求状况，公司经过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审慎考虑，拟将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智能型电力电器元件产品生产线项目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的部分募集资金变更为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收购 天津市泰达工程设计有限公司项目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，拟改变投向的募集资金总额为人民币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 用于支付收购天津市泰达工程设计有限公司</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65.7380%</w:t>
                        </w:r>
                        <w:r>
                          <w:rPr>
                            <w:rFonts w:ascii="宋体" w:hAnsi="宋体" w:cs="宋体" w:eastAsia="宋体" w:hint="default"/>
                            <w:spacing w:val="-4"/>
                            <w:sz w:val="18"/>
                            <w:szCs w:val="18"/>
                          </w:rPr>
                          <w:t>股权的交易对价款。剩余的募集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资金将继续实施原有项目，需要额外资金时，公司将以自有资金继续投入完成。</w:t>
                        </w:r>
                        <w:r>
                          <w:rPr>
                            <w:rFonts w:ascii="Times New Roman" w:hAnsi="Times New Roman" w:cs="Times New Roman" w:eastAsia="Times New Roman" w:hint="default"/>
                            <w:sz w:val="18"/>
                            <w:szCs w:val="18"/>
                          </w:rPr>
                          <w:t>2</w:t>
                        </w:r>
                        <w:r>
                          <w:rPr>
                            <w:rFonts w:ascii="宋体" w:hAnsi="宋体" w:cs="宋体" w:eastAsia="宋体" w:hint="default"/>
                            <w:sz w:val="18"/>
                            <w:szCs w:val="18"/>
                          </w:rPr>
                          <w:t>、 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日召开的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pacing w:val="-4"/>
                            <w:w w:val="100"/>
                            <w:sz w:val="18"/>
                            <w:szCs w:val="18"/>
                          </w:rPr>
                          <w:t>年第一次临时股东大会审议通过《关于终止实施</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智</w:t>
                        </w:r>
                        <w:r>
                          <w:rPr>
                            <w:rFonts w:ascii="宋体" w:hAnsi="宋体" w:cs="宋体" w:eastAsia="宋体" w:hint="default"/>
                            <w:sz w:val="18"/>
                            <w:szCs w:val="18"/>
                          </w:rPr>
                          <w:t> 能化固封极柱式高压真空断路器项目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并使用剩余募集资金（含利息）永久补充流动 </w:t>
                        </w:r>
                        <w:r>
                          <w:rPr>
                            <w:rFonts w:ascii="宋体" w:hAnsi="宋体" w:cs="宋体" w:eastAsia="宋体" w:hint="default"/>
                            <w:spacing w:val="-3"/>
                            <w:sz w:val="18"/>
                            <w:szCs w:val="18"/>
                          </w:rPr>
                          <w:t>资金的议案》，鉴于国内经济宏观环境发生变化，真空断路器市场发生结构性调整，</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公司认为：继续投资</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智能化固封极柱式高压真空断路器项目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已经很难取得预期的投 </w:t>
                        </w:r>
                        <w:r>
                          <w:rPr>
                            <w:rFonts w:ascii="宋体" w:hAnsi="宋体" w:cs="宋体" w:eastAsia="宋体" w:hint="default"/>
                            <w:spacing w:val="-3"/>
                            <w:sz w:val="18"/>
                            <w:szCs w:val="18"/>
                          </w:rPr>
                          <w:t>资回报，存在一定的风险。公司经过慎重考虑，终止该募集资金投资项目的后续实施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将项目剩余募集资金（含利息）永久补充流动资金。</w:t>
                        </w: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p>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年第一次临时股东大会审议通过《关于使用剩余募集资金永久性补充流动资</w:t>
                        </w:r>
                      </w:p>
                      <w:p>
                        <w:pPr>
                          <w:pStyle w:val="TableParagraph"/>
                          <w:spacing w:line="302" w:lineRule="auto" w:before="63"/>
                          <w:ind w:left="23" w:right="111"/>
                          <w:jc w:val="left"/>
                          <w:rPr>
                            <w:rFonts w:ascii="宋体" w:hAnsi="宋体" w:cs="宋体" w:eastAsia="宋体" w:hint="default"/>
                            <w:sz w:val="18"/>
                            <w:szCs w:val="18"/>
                          </w:rPr>
                        </w:pPr>
                        <w:r>
                          <w:rPr>
                            <w:rFonts w:ascii="宋体" w:hAnsi="宋体" w:cs="宋体" w:eastAsia="宋体" w:hint="default"/>
                            <w:spacing w:val="-23"/>
                            <w:sz w:val="18"/>
                            <w:szCs w:val="18"/>
                          </w:rPr>
                          <w:t>金的议案》，公司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年非公开发行股票募集资金投资项目已达到预定可以使用状态 将剩余募集资金（含利息）永久补充流动资金。</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4"/>
        <w:spacing w:line="240" w:lineRule="auto" w:before="26"/>
        <w:ind w:left="154" w:right="1034"/>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0"/>
          <w:szCs w:val="20"/>
        </w:rPr>
      </w:pPr>
    </w:p>
    <w:p>
      <w:pPr>
        <w:pStyle w:val="Heading6"/>
        <w:spacing w:line="240" w:lineRule="auto"/>
        <w:ind w:right="1034"/>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4"/>
        <w:spacing w:line="240" w:lineRule="auto"/>
        <w:ind w:right="1034"/>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034"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shape style="position:absolute;margin-left:197.537003pt;margin-top:574.659973pt;width:75.95pt;height:186.2pt;mso-position-horizontal-relative:page;mso-position-vertical-relative:page;z-index:-1110616" type="#_x0000_t202" filled="false" stroked="false">
            <v:textbox inset="0,0,0,0">
              <w:txbxContent>
                <w:p>
                  <w:pPr>
                    <w:spacing w:line="240" w:lineRule="auto" w:before="1"/>
                    <w:rPr>
                      <w:rFonts w:ascii="宋体" w:hAnsi="宋体" w:cs="宋体" w:eastAsia="宋体"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维修、</w:t>
                  </w:r>
                </w:p>
              </w:txbxContent>
            </v:textbox>
            <w10:wrap type="none"/>
          </v:shape>
        </w:pict>
      </w:r>
      <w:r>
        <w:rPr/>
        <w:pict>
          <v:group style="position:absolute;margin-left:221.720001pt;margin-top:574.659973pt;width:51.75pt;height:186.2pt;mso-position-horizontal-relative:page;mso-position-vertical-relative:page;z-index:-1110592" coordorigin="4434,11493" coordsize="1035,3724">
            <v:shape style="position:absolute;left:4434;top:11493;width:1035;height:3724" coordorigin="4434,11493" coordsize="1035,3724" path="m4434,15217l5469,15217,5469,11493,4434,11493,4434,15217xe" filled="true" fillcolor="#ffffff" stroked="false">
              <v:path arrowok="t"/>
              <v:fill type="solid"/>
            </v:shape>
            <w10:wrap type="none"/>
          </v:group>
        </w:pict>
      </w:r>
    </w:p>
    <w:p>
      <w:pPr>
        <w:spacing w:before="44"/>
        <w:ind w:left="0" w:right="1130" w:firstLine="0"/>
        <w:jc w:val="right"/>
        <w:rPr>
          <w:rFonts w:ascii="宋体" w:hAnsi="宋体" w:cs="宋体" w:eastAsia="宋体" w:hint="default"/>
          <w:sz w:val="18"/>
          <w:szCs w:val="18"/>
        </w:rPr>
      </w:pPr>
      <w:r>
        <w:rPr/>
        <w:pict>
          <v:shape style="position:absolute;margin-left:197.537003pt;margin-top:91.151726pt;width:75.95pt;height:85.8pt;mso-position-horizontal-relative:page;mso-position-vertical-relative:paragraph;z-index:-111064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加工：</w:t>
                  </w:r>
                </w:p>
              </w:txbxContent>
            </v:textbox>
            <w10:wrap type="none"/>
          </v:shape>
        </w:pict>
      </w: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北京中电兴 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0"/>
              <w:jc w:val="both"/>
              <w:rPr>
                <w:rFonts w:ascii="宋体" w:hAnsi="宋体" w:cs="宋体" w:eastAsia="宋体" w:hint="default"/>
                <w:sz w:val="18"/>
                <w:szCs w:val="18"/>
              </w:rPr>
            </w:pPr>
            <w:r>
              <w:rPr>
                <w:rFonts w:ascii="宋体" w:hAnsi="宋体" w:cs="宋体" w:eastAsia="宋体" w:hint="default"/>
                <w:sz w:val="18"/>
                <w:szCs w:val="18"/>
              </w:rPr>
              <w:t>公共安全及 反恐、智慧 城市</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53,793,700.0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1,149,531,18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466,629,578.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245,291,788.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45,362,152.1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40,697,787.7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41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19"/>
              <w:jc w:val="left"/>
              <w:rPr>
                <w:rFonts w:ascii="宋体" w:hAnsi="宋体" w:cs="宋体" w:eastAsia="宋体" w:hint="default"/>
                <w:sz w:val="18"/>
                <w:szCs w:val="18"/>
              </w:rPr>
            </w:pPr>
            <w:r>
              <w:rPr>
                <w:rFonts w:ascii="宋体" w:hAnsi="宋体" w:cs="宋体" w:eastAsia="宋体" w:hint="default"/>
                <w:sz w:val="18"/>
                <w:szCs w:val="18"/>
              </w:rPr>
              <w:t>苏州开关二 厂有限公司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z w:val="18"/>
                <w:szCs w:val="18"/>
              </w:rPr>
              <w:t>制造、 高低压成套 装置，输配 电设备，工 业过程控制 及监控系 统，仪器仪 表，金属制 品，电子通 讯设备，调 气、调压设 备，电器元 件</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716" w:lineRule="exact"/>
              <w:ind w:right="-49"/>
              <w:jc w:val="left"/>
              <w:rPr>
                <w:rFonts w:ascii="宋体" w:hAnsi="宋体" w:cs="宋体" w:eastAsia="宋体" w:hint="default"/>
                <w:sz w:val="20"/>
                <w:szCs w:val="20"/>
              </w:rPr>
            </w:pPr>
            <w:r>
              <w:rPr>
                <w:rFonts w:ascii="宋体" w:hAnsi="宋体" w:cs="宋体" w:eastAsia="宋体" w:hint="default"/>
                <w:position w:val="-33"/>
                <w:sz w:val="20"/>
                <w:szCs w:val="20"/>
              </w:rPr>
              <w:pict>
                <v:group style="width:51.75pt;height:85.8pt;mso-position-horizontal-relative:char;mso-position-vertical-relative:line" coordorigin="0,0" coordsize="1035,1716">
                  <v:group style="position:absolute;left:0;top:0;width:1035;height:1716" coordorigin="0,0" coordsize="1035,1716">
                    <v:shape style="position:absolute;left:0;top:0;width:1035;height:1716" coordorigin="0,0" coordsize="1035,1716" path="m0,1716l1035,1716,1035,0,0,0,0,1716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282,921,330.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192,936,901.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15,441,198.6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13,044,222.4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11,571,583.5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785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安徽鑫龙电 器成套有限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z w:val="18"/>
                <w:szCs w:val="18"/>
              </w:rPr>
              <w:t>电气机械及 器材制造、 工业过程控 制及监控系 统、计算机 应用服务与 综合信息网 络工程、电 子声像工 程、各种智 能化系统和 技术防范工 程设计、制 造、施工、 安装、 调试、销售 及技术服 务；经营本 企业自产产 品及相关技 术的出口和 科研所需的 原辅材料、 仪器仪表、 机械设备、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897,600.00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9,094.91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767,179.52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9,285.46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9,094.91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零配件及相 关技术的进 口</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19"/>
              <w:jc w:val="left"/>
              <w:rPr>
                <w:rFonts w:ascii="宋体" w:hAnsi="宋体" w:cs="宋体" w:eastAsia="宋体" w:hint="default"/>
                <w:sz w:val="18"/>
                <w:szCs w:val="18"/>
              </w:rPr>
            </w:pPr>
            <w:r>
              <w:rPr>
                <w:rFonts w:ascii="宋体" w:hAnsi="宋体" w:cs="宋体" w:eastAsia="宋体" w:hint="default"/>
                <w:sz w:val="18"/>
                <w:szCs w:val="18"/>
              </w:rPr>
              <w:t>安徽森源电 器有限公司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主营高、低 压电器元器 件，开关配 件设计、制 造、销售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275,600,000.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440,600,592.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336,909,813.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63,993,028.5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-240,309.52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2,076,058.40</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安徽鑫龙低 压电器有限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主营低压电 器设备，元 件及附件的 设计、制造 销售</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6"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161" w:lineRule="exact" w:before="105"/>
              <w:ind w:left="16"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19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820" w:lineRule="exact"/>
              <w:ind w:left="-7"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1.75pt;height:41.05pt;mso-position-horizontal-relative:char;mso-position-vertical-relative:line" coordorigin="0,0" coordsize="1035,821">
                  <v:group style="position:absolute;left:0;top:353;width:1035;height:468" coordorigin="0,353" coordsize="1035,468">
                    <v:shape style="position:absolute;left:0;top:353;width:1035;height:468" coordorigin="0,353" coordsize="1035,468" path="m0,821l1035,821,1035,353,0,353,0,821xe" filled="true" fillcolor="#ffffff" stroked="false">
                      <v:path arrowok="t"/>
                      <v:fill type="solid"/>
                    </v:shape>
                  </v:group>
                  <v:group style="position:absolute;left:23;top:0;width:990;height:353" coordorigin="23,0" coordsize="990,353">
                    <v:shape style="position:absolute;left:23;top:0;width:990;height:353" coordorigin="23,0" coordsize="990,353" path="m23,353l1012,353,1012,0,23,0,23,353xe" filled="true" fillcolor="#ffffff" stroked="false">
                      <v:path arrowok="t"/>
                      <v:fill type="solid"/>
                    </v:shape>
                  </v:group>
                </v:group>
              </w:pict>
            </w:r>
            <w:r>
              <w:rPr>
                <w:rFonts w:ascii="Times New Roman" w:hAnsi="Times New Roman" w:cs="Times New Roman" w:eastAsia="Times New Roman" w:hint="default"/>
                <w:position w:val="-15"/>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151,461,818.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118,814,030.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24,614,083.0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2,026,707.32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2,206,802.42</w:t>
            </w:r>
          </w:p>
        </w:tc>
      </w:tr>
      <w:tr>
        <w:trPr>
          <w:trHeight w:val="757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安徽鑫龙自 动化有限公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主营变电站 微机综合自 动化系统， 数控直流电 源柜及部 件，全数字 软启动器及 装置，智能 型全数字晶 闸调功器， 全数字交直 流供调速系 统及装置， 工业生产过 程自动化控 制系统， </w:t>
            </w:r>
            <w:r>
              <w:rPr>
                <w:rFonts w:ascii="Times New Roman" w:hAnsi="Times New Roman" w:cs="Times New Roman" w:eastAsia="Times New Roman" w:hint="default"/>
                <w:sz w:val="18"/>
                <w:szCs w:val="18"/>
              </w:rPr>
              <w:t>DCS</w:t>
            </w:r>
            <w:r>
              <w:rPr>
                <w:rFonts w:ascii="宋体" w:hAnsi="宋体" w:cs="宋体" w:eastAsia="宋体" w:hint="default"/>
                <w:sz w:val="18"/>
                <w:szCs w:val="18"/>
              </w:rPr>
              <w:t>、</w:t>
            </w:r>
            <w:r>
              <w:rPr>
                <w:rFonts w:ascii="Times New Roman" w:hAnsi="Times New Roman" w:cs="Times New Roman" w:eastAsia="Times New Roman" w:hint="default"/>
                <w:sz w:val="18"/>
                <w:szCs w:val="18"/>
              </w:rPr>
              <w:t>PLC</w:t>
            </w: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控，智能化 数字仪表设 计、生产， 安全防范技 术工程设 计、施工、 维修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141,174,084.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67,817,024.0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25,489,634.2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22,016.98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79" w:right="0"/>
              <w:jc w:val="center"/>
              <w:rPr>
                <w:rFonts w:ascii="Times New Roman" w:hAnsi="Times New Roman" w:cs="Times New Roman" w:eastAsia="Times New Roman" w:hint="default"/>
                <w:sz w:val="18"/>
                <w:szCs w:val="18"/>
              </w:rPr>
            </w:pPr>
            <w:r>
              <w:rPr>
                <w:rFonts w:ascii="Times New Roman"/>
                <w:sz w:val="18"/>
              </w:rPr>
              <w:t>563,079.85</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安徽鑫龙变 压器有限公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主营油浸式 变压器和干 式变压器生 产、销售和 维修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pacing w:val="-1"/>
                <w:sz w:val="18"/>
              </w:rPr>
              <w:t>3,000,000.00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7,843,310.72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7,028,207.92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6,179,112.03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144,229.44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238,783.68</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安徽鑫龙电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主营电气设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66"/>
              <w:jc w:val="right"/>
              <w:rPr>
                <w:rFonts w:ascii="Times New Roman" w:hAnsi="Times New Roman" w:cs="Times New Roman" w:eastAsia="Times New Roman" w:hint="default"/>
                <w:sz w:val="18"/>
                <w:szCs w:val="18"/>
              </w:rPr>
            </w:pPr>
            <w:r>
              <w:rPr>
                <w:rFonts w:ascii="Times New Roman"/>
                <w:spacing w:val="-1"/>
                <w:sz w:val="18"/>
              </w:rPr>
              <w:t>30,000,000.0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Times New Roman" w:hAnsi="Times New Roman" w:cs="Times New Roman" w:eastAsia="Times New Roman" w:hint="default"/>
                <w:sz w:val="18"/>
                <w:szCs w:val="18"/>
              </w:rPr>
            </w:pPr>
            <w:r>
              <w:rPr>
                <w:rFonts w:ascii="Times New Roman"/>
                <w:sz w:val="18"/>
              </w:rPr>
              <w:t>32,835,481.4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8" w:right="0"/>
              <w:jc w:val="left"/>
              <w:rPr>
                <w:rFonts w:ascii="Times New Roman" w:hAnsi="Times New Roman" w:cs="Times New Roman" w:eastAsia="Times New Roman" w:hint="default"/>
                <w:sz w:val="18"/>
                <w:szCs w:val="18"/>
              </w:rPr>
            </w:pPr>
            <w:r>
              <w:rPr>
                <w:rFonts w:ascii="Times New Roman"/>
                <w:sz w:val="18"/>
              </w:rPr>
              <w:t>30,396,819.7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5,670,322.22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103,092.50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center"/>
              <w:rPr>
                <w:rFonts w:ascii="Times New Roman" w:hAnsi="Times New Roman" w:cs="Times New Roman" w:eastAsia="Times New Roman" w:hint="default"/>
                <w:sz w:val="18"/>
                <w:szCs w:val="18"/>
              </w:rPr>
            </w:pPr>
            <w:r>
              <w:rPr>
                <w:rFonts w:ascii="Times New Roman"/>
                <w:sz w:val="18"/>
              </w:rPr>
              <w:t>31,555.95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90.11998pt;width:75.95pt;height:312.05pt;mso-position-horizontal-relative:page;mso-position-vertical-relative:page;z-index:-1110496"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配电、</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6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力工程安装 有限公司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3"/>
              <w:jc w:val="left"/>
              <w:rPr>
                <w:rFonts w:ascii="宋体" w:hAnsi="宋体" w:cs="宋体" w:eastAsia="宋体" w:hint="default"/>
                <w:sz w:val="18"/>
                <w:szCs w:val="18"/>
              </w:rPr>
            </w:pPr>
            <w:r>
              <w:rPr>
                <w:rFonts w:ascii="宋体" w:hAnsi="宋体" w:cs="宋体" w:eastAsia="宋体" w:hint="default"/>
                <w:spacing w:val="-6"/>
                <w:sz w:val="18"/>
                <w:szCs w:val="18"/>
              </w:rPr>
              <w:t>备（含发电、</w:t>
            </w:r>
            <w:r>
              <w:rPr>
                <w:rFonts w:ascii="宋体" w:hAnsi="宋体" w:cs="宋体" w:eastAsia="宋体" w:hint="default"/>
                <w:spacing w:val="-34"/>
                <w:sz w:val="18"/>
                <w:szCs w:val="18"/>
              </w:rPr>
              <w:t> </w:t>
            </w:r>
            <w:r>
              <w:rPr>
                <w:rFonts w:ascii="宋体" w:hAnsi="宋体" w:cs="宋体" w:eastAsia="宋体" w:hint="default"/>
                <w:sz w:val="18"/>
                <w:szCs w:val="18"/>
              </w:rPr>
              <w:t>输电、</w:t>
            </w:r>
            <w:r>
              <w:rPr>
                <w:rFonts w:ascii="宋体" w:hAnsi="宋体" w:cs="宋体" w:eastAsia="宋体" w:hint="default"/>
                <w:sz w:val="18"/>
                <w:szCs w:val="18"/>
              </w:rPr>
              <w:t> 电气传动、 自动化仪 表、通讯工 </w:t>
            </w:r>
            <w:r>
              <w:rPr>
                <w:rFonts w:ascii="宋体" w:hAnsi="宋体" w:cs="宋体" w:eastAsia="宋体" w:hint="default"/>
                <w:spacing w:val="-16"/>
                <w:sz w:val="18"/>
                <w:szCs w:val="18"/>
              </w:rPr>
              <w:t>业电视），工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业过程控制 及监控系 统，计算机 应用服务与 综合信息网 络工程，电 子声像工 程，职能化 系统和技术 防范工程安 装、调试、 维护（凡涉 及专项审批 的凭许可证 经营）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6604" w:lineRule="exact"/>
              <w:ind w:right="-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51.75pt;height:330.25pt;mso-position-horizontal-relative:char;mso-position-vertical-relative:line" coordorigin="0,0" coordsize="1035,6605">
                  <v:group style="position:absolute;left:11;top:11;width:2;height:353" coordorigin="11,11" coordsize="2,353">
                    <v:shape style="position:absolute;left:11;top:11;width:2;height:353" coordorigin="11,11" coordsize="0,353" path="m11,11l11,364e" filled="false" stroked="true" strokeweight="1.140pt" strokecolor="#ffffff">
                      <v:path arrowok="t"/>
                    </v:shape>
                  </v:group>
                  <v:group style="position:absolute;left:0;top:364;width:1035;height:6241" coordorigin="0,364" coordsize="1035,6241">
                    <v:shape style="position:absolute;left:0;top:364;width:1035;height:6241" coordorigin="0,364" coordsize="1035,6241" path="m0,6605l1035,6605,1035,364,0,364,0,6605xe" filled="true" fillcolor="#ffffff" stroked="false">
                      <v:path arrowok="t"/>
                      <v:fill type="solid"/>
                    </v:shape>
                  </v:group>
                  <v:group style="position:absolute;left:23;top:11;width:990;height:353" coordorigin="23,11" coordsize="990,353">
                    <v:shape style="position:absolute;left:23;top:11;width:990;height:353" coordorigin="23,11" coordsize="990,353" path="m23,364l1012,364,1012,11,23,11,23,364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安徽鑫龙电 器元件销售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主营高低压 元器元件、 工控元器 件、智能化 仪器仪表、 变压器、电 线电缆销售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7,049,349.96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7,056,554.50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-1,607.65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-1,377.65</w:t>
            </w:r>
            <w:r>
              <w:rPr>
                <w:rFonts w:ascii="Times New Roman"/>
                <w:sz w:val="18"/>
              </w:rPr>
            </w:r>
          </w:p>
        </w:tc>
      </w:tr>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19"/>
              <w:jc w:val="left"/>
              <w:rPr>
                <w:rFonts w:ascii="宋体" w:hAnsi="宋体" w:cs="宋体" w:eastAsia="宋体" w:hint="default"/>
                <w:sz w:val="18"/>
                <w:szCs w:val="18"/>
              </w:rPr>
            </w:pPr>
            <w:r>
              <w:rPr>
                <w:rFonts w:ascii="宋体" w:hAnsi="宋体" w:cs="宋体" w:eastAsia="宋体" w:hint="default"/>
                <w:sz w:val="18"/>
                <w:szCs w:val="18"/>
              </w:rPr>
              <w:t>安徽佑赛科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电能质量治 理设备、电 力节能设 备、电网监 测系统、新 能源系统和 装置的研 发、制造和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40,202,843.0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33,604,907.2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38,894,665.8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772,095.14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1,455,493.07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安徽鑫东投 资管理有限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科技项目投 资及实业投 资、管理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21,942,579.2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21,941,421.3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-4,592,326.5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-4,593,359.1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安徽美能储 能系统有限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71"/>
              <w:ind w:left="22" w:right="104"/>
              <w:jc w:val="both"/>
              <w:rPr>
                <w:rFonts w:ascii="宋体" w:hAnsi="宋体" w:cs="宋体" w:eastAsia="宋体" w:hint="default"/>
                <w:sz w:val="18"/>
                <w:szCs w:val="18"/>
              </w:rPr>
            </w:pPr>
            <w:r>
              <w:rPr>
                <w:rFonts w:ascii="宋体" w:hAnsi="宋体" w:cs="宋体" w:eastAsia="宋体" w:hint="default"/>
                <w:sz w:val="18"/>
                <w:szCs w:val="18"/>
              </w:rPr>
              <w:t>设计、制造 销售先进的 储能和电源</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186" w:lineRule="exact" w:before="71"/>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9"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1481.0709 </w:t>
            </w:r>
            <w:r>
              <w:rPr>
                <w:rFonts w:ascii="宋体" w:hAnsi="宋体" w:cs="宋体" w:eastAsia="宋体" w:hint="default"/>
                <w:sz w:val="18"/>
                <w:szCs w:val="18"/>
              </w:rPr>
              <w:t>万</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507" w:lineRule="exact"/>
              <w:ind w:left="-7"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51.75pt;height:25.4pt;mso-position-horizontal-relative:char;mso-position-vertical-relative:line" coordorigin="0,0" coordsize="1035,508">
                  <v:group style="position:absolute;left:0;top:0;width:1035;height:156" coordorigin="0,0" coordsize="1035,156">
                    <v:shape style="position:absolute;left:0;top:0;width:1035;height:156" coordorigin="0,0" coordsize="1035,156" path="m0,156l1035,156,1035,0,0,0,0,156xe" filled="true" fillcolor="#ffffff" stroked="false">
                      <v:path arrowok="t"/>
                      <v:fill type="solid"/>
                    </v:shape>
                  </v:group>
                  <v:group style="position:absolute;left:23;top:156;width:990;height:352" coordorigin="23,156" coordsize="990,352">
                    <v:shape style="position:absolute;left:23;top:156;width:990;height:352" coordorigin="23,156" coordsize="990,352" path="m23,508l1012,508,1012,156,23,156,23,508xe" filled="true" fillcolor="#ffffff" stroked="false">
                      <v:path arrowok="t"/>
                      <v:fill type="solid"/>
                    </v:shape>
                  </v:group>
                </v:group>
              </w:pict>
            </w:r>
            <w:r>
              <w:rPr>
                <w:rFonts w:ascii="Times New Roman" w:hAnsi="Times New Roman" w:cs="Times New Roman" w:eastAsia="Times New Roman" w:hint="default"/>
                <w:position w:val="-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55,221,342.8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51,143,127.0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6,057,653.29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-11,286,889.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-10,892,078.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215.419983pt;width:84.95pt;height:210.65pt;mso-position-horizontal-relative:page;mso-position-vertical-relative:page;z-index:-1110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新能源、</w:t>
                  </w:r>
                </w:p>
              </w:txbxContent>
            </v:textbox>
            <w10:wrap type="none"/>
          </v:shape>
        </w:pict>
      </w:r>
      <w:r>
        <w:rPr/>
        <w:pict>
          <v:shape style="position:absolute;margin-left:197.537003pt;margin-top:461.259979pt;width:75.95pt;height:210.6pt;mso-position-horizontal-relative:page;mso-position-vertical-relative:page;z-index:-1110424" type="#_x0000_t202" filled="false" stroked="false">
            <v:textbox inset="0,0,0,0">
              <w:txbxContent>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调试、</w:t>
                  </w:r>
                </w:p>
              </w:txbxContent>
            </v:textbox>
            <w10:wrap type="none"/>
          </v:shape>
        </w:pict>
      </w:r>
      <w:r>
        <w:rPr/>
        <w:pict>
          <v:shape style="position:absolute;margin-left:197.537003pt;margin-top:672.339966pt;width:75.95pt;height:38pt;mso-position-horizontal-relative:page;mso-position-vertical-relative:page;z-index:-1110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燃气、</w:t>
                  </w:r>
                </w:p>
              </w:txbxContent>
            </v:textbox>
            <w10:wrap type="none"/>
          </v:shape>
        </w:pict>
      </w:r>
      <w:r>
        <w:rPr/>
        <w:pict>
          <v:group style="position:absolute;margin-left:221.720001pt;margin-top:443.619995pt;width:51.75pt;height:324.350pt;mso-position-horizontal-relative:page;mso-position-vertical-relative:page;z-index:-1110376" coordorigin="4434,8872" coordsize="1035,6487">
            <v:group style="position:absolute;left:4434;top:9225;width:1035;height:4212" coordorigin="4434,9225" coordsize="1035,4212">
              <v:shape style="position:absolute;left:4434;top:9225;width:1035;height:4212" coordorigin="4434,9225" coordsize="1035,4212" path="m4434,13437l5469,13437,5469,9225,4434,9225,4434,13437xe" filled="true" fillcolor="#ffffff" stroked="false">
                <v:path arrowok="t"/>
                <v:fill type="solid"/>
              </v:shape>
            </v:group>
            <v:group style="position:absolute;left:4457;top:8872;width:990;height:353" coordorigin="4457,8872" coordsize="990,353">
              <v:shape style="position:absolute;left:4457;top:8872;width:990;height:353" coordorigin="4457,8872" coordsize="990,353" path="m4457,9225l5446,9225,5446,8872,4457,8872,4457,9225xe" filled="true" fillcolor="#ffffff" stroked="false">
                <v:path arrowok="t"/>
                <v:fill type="solid"/>
              </v:shape>
            </v:group>
            <v:group style="position:absolute;left:4434;top:13447;width:1035;height:760" coordorigin="4434,13447" coordsize="1035,760">
              <v:shape style="position:absolute;left:4434;top:13447;width:1035;height:760" coordorigin="4434,13447" coordsize="1035,760" path="m4434,14207l5469,14207,5469,13447,4434,13447,4434,14207xe" filled="true" fillcolor="#ffffff" stroked="false">
                <v:path arrowok="t"/>
                <v:fill type="solid"/>
              </v:shape>
            </v:group>
            <v:group style="position:absolute;left:4446;top:14207;width:2;height:393" coordorigin="4446,14207" coordsize="2,393">
              <v:shape style="position:absolute;left:4446;top:14207;width:2;height:393" coordorigin="4446,14207" coordsize="0,393" path="m4446,14207l4446,14599e" filled="false" stroked="true" strokeweight="1.140pt" strokecolor="#ffffff">
                <v:path arrowok="t"/>
              </v:shape>
            </v:group>
            <v:group style="position:absolute;left:4434;top:14599;width:1035;height:760" coordorigin="4434,14599" coordsize="1035,760">
              <v:shape style="position:absolute;left:4434;top:14599;width:1035;height:760" coordorigin="4434,14599" coordsize="1035,760" path="m4434,15359l5469,15359,5469,14599,4434,14599,4434,15359xe" filled="true" fillcolor="#ffffff" stroked="false">
                <v:path arrowok="t"/>
                <v:fill type="solid"/>
              </v:shape>
            </v:group>
            <v:group style="position:absolute;left:4457;top:14207;width:990;height:393" coordorigin="4457,14207" coordsize="990,393">
              <v:shape style="position:absolute;left:4457;top:14207;width:990;height:393" coordorigin="4457,14207" coordsize="990,393" path="m4457,14599l5446,14599,5446,14207,4457,14207,4457,1459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285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控制技术系 列产品；将 先进的储能 和电源控制 技术系列产 品与其他技 术整合；产 品的开发、 维修与服务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19"/>
              <w:jc w:val="left"/>
              <w:rPr>
                <w:rFonts w:ascii="宋体" w:hAnsi="宋体" w:cs="宋体" w:eastAsia="宋体" w:hint="default"/>
                <w:sz w:val="18"/>
                <w:szCs w:val="18"/>
              </w:rPr>
            </w:pPr>
            <w:r>
              <w:rPr>
                <w:rFonts w:ascii="宋体" w:hAnsi="宋体" w:cs="宋体" w:eastAsia="宋体" w:hint="default"/>
                <w:sz w:val="18"/>
                <w:szCs w:val="18"/>
              </w:rPr>
              <w:t>亳州鑫龙电 气有限公司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电气机械及 器材制造、 工业过程控 制及监控系 统、计算机 应用服务与 综合信息网 络工程、电 子声像工 程、电力电 子、 各种智能化 系统和技术 防范工程设 计、制造、 施工、安装 维修、 销售及技术 服务；经营 本企业自产 产品及相关 技术的出口 和科研所需 的原辅材 料、仪器仪 表、机械设 备、零配件 及相关技术 的进出口</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4212" w:lineRule="exact"/>
              <w:ind w:left="-7"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3"/>
                <w:sz w:val="20"/>
                <w:szCs w:val="20"/>
              </w:rPr>
              <w:pict>
                <v:group style="width:51.75pt;height:210.65pt;mso-position-horizontal-relative:char;mso-position-vertical-relative:line" coordorigin="0,0" coordsize="1035,4213">
                  <v:group style="position:absolute;left:0;top:0;width:1035;height:4213" coordorigin="0,0" coordsize="1035,4213">
                    <v:shape style="position:absolute;left:0;top:0;width:1035;height:4213" coordorigin="0,0" coordsize="1035,4213" path="m0,4212l1035,4212,1035,0,0,0,0,4212xe" filled="true" fillcolor="#ffffff" stroked="false">
                      <v:path arrowok="t"/>
                      <v:fill type="solid"/>
                    </v:shape>
                  </v:group>
                </v:group>
              </w:pict>
            </w:r>
            <w:r>
              <w:rPr>
                <w:rFonts w:ascii="Times New Roman" w:hAnsi="Times New Roman" w:cs="Times New Roman" w:eastAsia="Times New Roman" w:hint="default"/>
                <w:position w:val="-83"/>
                <w:sz w:val="20"/>
                <w:szCs w:val="20"/>
              </w:rPr>
            </w:r>
          </w:p>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161" w:lineRule="exact" w:before="105"/>
              <w:ind w:left="16"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19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51,856,738.4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49,737,001.6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1" w:right="0"/>
              <w:jc w:val="left"/>
              <w:rPr>
                <w:rFonts w:ascii="Times New Roman" w:hAnsi="Times New Roman" w:cs="Times New Roman" w:eastAsia="Times New Roman" w:hint="default"/>
                <w:sz w:val="18"/>
                <w:szCs w:val="18"/>
              </w:rPr>
            </w:pPr>
            <w:r>
              <w:rPr>
                <w:rFonts w:ascii="Times New Roman"/>
                <w:sz w:val="18"/>
              </w:rPr>
              <w:t>-203,237.60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2" w:right="0"/>
              <w:jc w:val="left"/>
              <w:rPr>
                <w:rFonts w:ascii="Times New Roman" w:hAnsi="Times New Roman" w:cs="Times New Roman" w:eastAsia="Times New Roman" w:hint="default"/>
                <w:sz w:val="18"/>
                <w:szCs w:val="18"/>
              </w:rPr>
            </w:pPr>
            <w:r>
              <w:rPr>
                <w:rFonts w:ascii="Times New Roman"/>
                <w:sz w:val="18"/>
              </w:rPr>
              <w:t>-202,417.60</w:t>
            </w:r>
          </w:p>
        </w:tc>
      </w:tr>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天津市泰达 工程设计有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城市给水、 排水、 热力、电力 道路、桥隧 环境工程、 建筑、装饰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42" w:lineRule="exact"/>
              <w:ind w:left="22"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105,883,879.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86,828,869.1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82,397,085.5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28,178,905.9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21,291,609.2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41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工程设计； 土木工程建 筑承包；技 术咨询、服 务；计算机 软件开发； 工程造价咨 询、招投标 代理、工程 咨询。国家 有专营、专 项规定的按 专营专项规 定办理。</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安徽杰偌新 材料技术有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新材料技术 及相关产品 的研究、开 发及服务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19,953,646.3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19,936,473.2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-1,063,526.7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-1,063,526.7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业务范围进一步完善，有助于提高公司 的资产质量、盈利能力及综合竞争力。</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电网智能化改革的推进，进一步拓展公 司在电力市场的业务空间，提升公司在 江浙沪区域的影响力及竞争能力。</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安徽鑫龙电器成套有限公司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进一步规范公司组织治理结构，优化集 团化管理</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安徽杰偌新材料技术有限公司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安徽鑫龙模具科技有限公司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建设期</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4"/>
        <w:spacing w:line="240" w:lineRule="auto"/>
        <w:ind w:left="154" w:right="1034"/>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1034"/>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26"/>
          <w:szCs w:val="26"/>
        </w:rPr>
      </w:pPr>
    </w:p>
    <w:p>
      <w:pPr>
        <w:spacing w:line="316" w:lineRule="auto" w:before="0"/>
        <w:ind w:left="513" w:right="1034" w:firstLine="0"/>
        <w:jc w:val="left"/>
        <w:rPr>
          <w:rFonts w:ascii="宋体" w:hAnsi="宋体" w:cs="宋体" w:eastAsia="宋体" w:hint="default"/>
          <w:sz w:val="18"/>
          <w:szCs w:val="18"/>
        </w:rPr>
      </w:pPr>
      <w:r>
        <w:rPr>
          <w:rFonts w:ascii="宋体" w:hAnsi="宋体" w:cs="宋体" w:eastAsia="宋体" w:hint="default"/>
          <w:sz w:val="18"/>
          <w:szCs w:val="18"/>
        </w:rPr>
        <w:t>（一）公司行业面临的竞争格局 </w:t>
      </w:r>
      <w:r>
        <w:rPr>
          <w:rFonts w:ascii="宋体" w:hAnsi="宋体" w:cs="宋体" w:eastAsia="宋体" w:hint="default"/>
          <w:spacing w:val="-2"/>
          <w:sz w:val="18"/>
          <w:szCs w:val="18"/>
        </w:rPr>
        <w:t>公司所属公共安全与反恐、智慧城市、输配电及控制设备制造业行业。近年来，社会不稳定因素有所增加，国内恐怖活</w:t>
      </w:r>
    </w:p>
    <w:p>
      <w:pPr>
        <w:spacing w:line="316" w:lineRule="auto" w:before="19"/>
        <w:ind w:left="153" w:right="1034" w:firstLine="0"/>
        <w:jc w:val="left"/>
        <w:rPr>
          <w:rFonts w:ascii="宋体" w:hAnsi="宋体" w:cs="宋体" w:eastAsia="宋体" w:hint="default"/>
          <w:sz w:val="18"/>
          <w:szCs w:val="18"/>
        </w:rPr>
      </w:pPr>
      <w:r>
        <w:rPr>
          <w:rFonts w:ascii="宋体" w:hAnsi="宋体" w:cs="宋体" w:eastAsia="宋体" w:hint="default"/>
          <w:spacing w:val="-2"/>
          <w:sz w:val="18"/>
          <w:szCs w:val="18"/>
        </w:rPr>
        <w:t>动呈现出国际因素影响加大、特殊突发公共事件的安全防范压力愈来愈大，反恐形势不断复杂和严峻，公共安全与反恐需求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的升级对相关行业和企业提出更高的要求，随着所处的行业内竞争对手增多以及竞争对手技术水平的提高，未来市场竞争依</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1033" w:firstLine="0"/>
        <w:jc w:val="left"/>
        <w:rPr>
          <w:rFonts w:ascii="宋体" w:hAnsi="宋体" w:cs="宋体" w:eastAsia="宋体" w:hint="default"/>
          <w:sz w:val="18"/>
          <w:szCs w:val="18"/>
        </w:rPr>
      </w:pPr>
      <w:r>
        <w:rPr>
          <w:rFonts w:ascii="宋体" w:hAnsi="宋体" w:cs="宋体" w:eastAsia="宋体" w:hint="default"/>
          <w:sz w:val="18"/>
          <w:szCs w:val="18"/>
        </w:rPr>
        <w:t>然激烈。输配电及控制设备制造业行业已形成了国有企业、民营企业和外资企业并存的市场竞争格局，随着我国对高污染、 </w:t>
      </w:r>
      <w:r>
        <w:rPr>
          <w:rFonts w:ascii="宋体" w:hAnsi="宋体" w:cs="宋体" w:eastAsia="宋体" w:hint="default"/>
          <w:spacing w:val="-2"/>
          <w:sz w:val="18"/>
          <w:szCs w:val="18"/>
        </w:rPr>
        <w:t>高能耗行业，如钢铁、水泥、煤炭等传统行业的产业结构调整，使得其对输配电及控制设备的需求量有所降低，这将给国内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输配电及控制设备企业带来一定的经营压力。</w:t>
      </w:r>
    </w:p>
    <w:p>
      <w:pPr>
        <w:spacing w:line="319" w:lineRule="auto" w:before="19"/>
        <w:ind w:left="513" w:right="1133" w:firstLine="0"/>
        <w:jc w:val="left"/>
        <w:rPr>
          <w:rFonts w:ascii="宋体" w:hAnsi="宋体" w:cs="宋体" w:eastAsia="宋体" w:hint="default"/>
          <w:sz w:val="18"/>
          <w:szCs w:val="18"/>
        </w:rPr>
      </w:pPr>
      <w:r>
        <w:rPr>
          <w:rFonts w:ascii="宋体" w:hAnsi="宋体" w:cs="宋体" w:eastAsia="宋体" w:hint="default"/>
          <w:sz w:val="18"/>
          <w:szCs w:val="18"/>
        </w:rPr>
        <w:t>（二）公司经营发展战略 公司坚持</w:t>
      </w:r>
      <w:r>
        <w:rPr>
          <w:rFonts w:ascii="Times New Roman" w:hAnsi="Times New Roman" w:cs="Times New Roman" w:eastAsia="Times New Roman" w:hint="default"/>
          <w:sz w:val="18"/>
          <w:szCs w:val="18"/>
        </w:rPr>
        <w:t>“</w:t>
      </w:r>
      <w:r>
        <w:rPr>
          <w:rFonts w:ascii="宋体" w:hAnsi="宋体" w:cs="宋体" w:eastAsia="宋体" w:hint="default"/>
          <w:sz w:val="18"/>
          <w:szCs w:val="18"/>
        </w:rPr>
        <w:t>以反恐、公共安全及智慧城市为重点，稳步推进由原有智能输配电设备制造商发展成为提供智慧新能源、智</w:t>
      </w:r>
    </w:p>
    <w:p>
      <w:pPr>
        <w:spacing w:line="246"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能输配电设备和元件、电力设计及电力服务一揽子解决方案的服务商</w:t>
      </w:r>
      <w:r>
        <w:rPr>
          <w:rFonts w:ascii="Times New Roman" w:hAnsi="Times New Roman" w:cs="Times New Roman" w:eastAsia="Times New Roman" w:hint="default"/>
          <w:sz w:val="18"/>
          <w:szCs w:val="18"/>
        </w:rPr>
        <w:t>”</w:t>
      </w:r>
      <w:r>
        <w:rPr>
          <w:rFonts w:ascii="宋体" w:hAnsi="宋体" w:cs="宋体" w:eastAsia="宋体" w:hint="default"/>
          <w:sz w:val="18"/>
          <w:szCs w:val="18"/>
        </w:rPr>
        <w:t>的发展战略。</w:t>
      </w:r>
    </w:p>
    <w:p>
      <w:pPr>
        <w:spacing w:before="63"/>
        <w:ind w:left="513" w:right="1034" w:firstLine="0"/>
        <w:jc w:val="left"/>
        <w:rPr>
          <w:rFonts w:ascii="宋体" w:hAnsi="宋体" w:cs="宋体" w:eastAsia="宋体" w:hint="default"/>
          <w:sz w:val="18"/>
          <w:szCs w:val="18"/>
        </w:rPr>
      </w:pPr>
      <w:r>
        <w:rPr>
          <w:rFonts w:ascii="宋体" w:hAnsi="宋体" w:cs="宋体" w:eastAsia="宋体" w:hint="default"/>
          <w:sz w:val="18"/>
          <w:szCs w:val="18"/>
        </w:rPr>
        <w:t>（三）</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年公司经营计划</w:t>
      </w:r>
    </w:p>
    <w:p>
      <w:pPr>
        <w:spacing w:line="300" w:lineRule="auto" w:before="63"/>
        <w:ind w:left="587"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、实行集团化管理，加强内控建设管理。 随着公司兼并重组的不发不断加快，控股及全资子公司会不断增多，公司将实行集团化管理模式，充分发挥集团公司</w:t>
      </w:r>
    </w:p>
    <w:p>
      <w:pPr>
        <w:spacing w:line="316" w:lineRule="auto" w:before="31"/>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管理职能，提高公司规范运作水平；同时公司继续完善治理结构和内控管理体系，加强对集团下属各子公司的生产经营、财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务、人力资源等多方面有效的内部控制监督管理。</w:t>
      </w:r>
    </w:p>
    <w:p>
      <w:pPr>
        <w:spacing w:line="300" w:lineRule="auto" w:before="19"/>
        <w:ind w:left="444" w:right="1102" w:firstLine="1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、充分利用上市公司融资平台，发挥并购资产的协同效应。 通过并购标的企业，在扩大公司经营领域的同时，为公司的发展提供更大的竞争优势。被并购企业通常经营水平较高、</w:t>
      </w:r>
    </w:p>
    <w:p>
      <w:pPr>
        <w:spacing w:line="316" w:lineRule="auto" w:before="31"/>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专业技术资质较强、客户及资源相对丰富、区域影响力、行业竞争力较大，利用上市公司的良好平台，助力其做大做强，从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而促进整个集团公司的蓬勃发展，更好地维护公司全体股东的利益。</w:t>
      </w:r>
    </w:p>
    <w:p>
      <w:pPr>
        <w:spacing w:line="309" w:lineRule="auto" w:before="19"/>
        <w:ind w:left="154" w:right="1034" w:firstLine="2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、以企业价值最大化作为财务管理的目标。 </w:t>
      </w:r>
      <w:r>
        <w:rPr>
          <w:rFonts w:ascii="宋体" w:hAnsi="宋体" w:cs="宋体" w:eastAsia="宋体" w:hint="default"/>
          <w:spacing w:val="-2"/>
          <w:sz w:val="18"/>
          <w:szCs w:val="18"/>
        </w:rPr>
        <w:t>探索公司资产保值增值的有效方法，实现公司资源的合理配置，推进财务管理创新，加强公司内部财务风险控制，从而促进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公司持续、稳定、快速、健康的发展。</w:t>
      </w:r>
    </w:p>
    <w:p>
      <w:pPr>
        <w:spacing w:line="300" w:lineRule="auto" w:before="24"/>
        <w:ind w:left="51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、加强兼并重组的步伐。 </w:t>
      </w:r>
      <w:r>
        <w:rPr>
          <w:rFonts w:ascii="宋体" w:hAnsi="宋体" w:cs="宋体" w:eastAsia="宋体" w:hint="default"/>
          <w:spacing w:val="-2"/>
          <w:sz w:val="18"/>
          <w:szCs w:val="18"/>
        </w:rPr>
        <w:t>公司将根据战略发展需要，未来公司将继续围绕现在所居行业的上下游，或其他新兴行业、信息软件等，通过收购或参</w:t>
      </w:r>
    </w:p>
    <w:p>
      <w:pPr>
        <w:spacing w:line="316" w:lineRule="auto" w:before="31"/>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股以及其他合作方式，继续扩大公司在行业的地位及产业链的延伸，进一步拓宽公司产业链，增强公司的核心竞争力，带动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整体腾飞，实现企业跨越式发展。</w:t>
      </w:r>
    </w:p>
    <w:p>
      <w:pPr>
        <w:spacing w:line="300" w:lineRule="auto" w:before="19"/>
        <w:ind w:left="51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、进一步发挥产业链上下游优势。 </w:t>
      </w:r>
      <w:r>
        <w:rPr>
          <w:rFonts w:ascii="宋体" w:hAnsi="宋体" w:cs="宋体" w:eastAsia="宋体" w:hint="default"/>
          <w:spacing w:val="-4"/>
          <w:sz w:val="18"/>
          <w:szCs w:val="18"/>
        </w:rPr>
        <w:t>公司立足于反恐与公共安全、智慧城市领域、高低压成套开关设备、元器件和自动化产品、电力电子、电力设计、安装、</w:t>
      </w:r>
    </w:p>
    <w:p>
      <w:pPr>
        <w:spacing w:line="309" w:lineRule="auto" w:before="31"/>
        <w:ind w:left="153" w:right="1130" w:firstLine="0"/>
        <w:jc w:val="both"/>
        <w:rPr>
          <w:rFonts w:ascii="宋体" w:hAnsi="宋体" w:cs="宋体" w:eastAsia="宋体" w:hint="default"/>
          <w:sz w:val="18"/>
          <w:szCs w:val="18"/>
        </w:rPr>
      </w:pPr>
      <w:r>
        <w:rPr>
          <w:rFonts w:ascii="宋体" w:hAnsi="宋体" w:cs="宋体" w:eastAsia="宋体" w:hint="default"/>
          <w:spacing w:val="-1"/>
          <w:sz w:val="18"/>
          <w:szCs w:val="18"/>
        </w:rPr>
        <w:t>新能源等的生产和销售，实现公共安全与反恐、智慧城市业务与智能电网业务的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强弱电</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协同发展，紧抓</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平安城市</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大联网</w:t>
      </w:r>
      <w:r>
        <w:rPr>
          <w:rFonts w:ascii="宋体" w:hAnsi="宋体" w:cs="宋体" w:eastAsia="宋体" w:hint="default"/>
          <w:spacing w:val="-79"/>
          <w:sz w:val="18"/>
          <w:szCs w:val="18"/>
        </w:rPr>
        <w:t> </w:t>
      </w:r>
      <w:r>
        <w:rPr>
          <w:rFonts w:ascii="宋体" w:hAnsi="宋体" w:cs="宋体" w:eastAsia="宋体" w:hint="default"/>
          <w:spacing w:val="-2"/>
          <w:sz w:val="18"/>
          <w:szCs w:val="18"/>
        </w:rPr>
        <w:t>平台的建设、安防市场的民用化、智慧城市建设等发展机遇，提高公司整体经营资源的利用效率，拓展发展空间，增强公司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的抗风险能力和持续盈利能力。</w:t>
      </w:r>
    </w:p>
    <w:p>
      <w:pPr>
        <w:spacing w:line="300" w:lineRule="auto" w:before="24"/>
        <w:ind w:left="51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、继续加大研发投入，提升公司研发创新水平。 </w:t>
      </w:r>
      <w:r>
        <w:rPr>
          <w:rFonts w:ascii="宋体" w:hAnsi="宋体" w:cs="宋体" w:eastAsia="宋体" w:hint="default"/>
          <w:spacing w:val="-2"/>
          <w:sz w:val="18"/>
          <w:szCs w:val="18"/>
        </w:rPr>
        <w:t>公司将进一步加强国家级企业技术中心建设，以技术持续创新为基础，以技术适宜应用为重点，进一步实行资源管理制</w:t>
      </w:r>
    </w:p>
    <w:p>
      <w:pPr>
        <w:spacing w:line="316" w:lineRule="auto" w:before="31"/>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与项目管理制相结合的管理模式，建立完善的技术创新体系和激励约束制度，继续加强与高校、科研院所的合作，成立联合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研发中心、培养技术人才，以保持公司技术上持续的领先优势。坚持以市场需求为导向，加强产品创新和升级，在公共安全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与反恐、智慧城市业务领域和输配电及控制设备制造及服务业务领域提升项目储备和产品储备。</w:t>
      </w:r>
    </w:p>
    <w:p>
      <w:pPr>
        <w:spacing w:line="300" w:lineRule="auto" w:before="19"/>
        <w:ind w:left="444" w:right="1034" w:firstLine="6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、人力资源发展计划 </w:t>
      </w:r>
      <w:r>
        <w:rPr>
          <w:rFonts w:ascii="宋体" w:hAnsi="宋体" w:cs="宋体" w:eastAsia="宋体" w:hint="default"/>
          <w:spacing w:val="-1"/>
          <w:sz w:val="18"/>
          <w:szCs w:val="18"/>
        </w:rPr>
        <w:t>公司在人力资源方面，将进一步优化招聘渠道，加强与高校合作，完善考核机制，加强员工培训工作、完善人事管理制</w:t>
      </w:r>
    </w:p>
    <w:p>
      <w:pPr>
        <w:spacing w:before="31"/>
        <w:ind w:left="154" w:right="0" w:firstLine="0"/>
        <w:jc w:val="both"/>
        <w:rPr>
          <w:rFonts w:ascii="宋体" w:hAnsi="宋体" w:cs="宋体" w:eastAsia="宋体" w:hint="default"/>
          <w:sz w:val="18"/>
          <w:szCs w:val="18"/>
        </w:rPr>
      </w:pPr>
      <w:r>
        <w:rPr>
          <w:rFonts w:ascii="宋体" w:hAnsi="宋体" w:cs="宋体" w:eastAsia="宋体" w:hint="default"/>
          <w:sz w:val="18"/>
          <w:szCs w:val="18"/>
        </w:rPr>
        <w:t>度，构建和谐劳动关系；加强公司企业文化建设、党务建设、工会建设，努力构建公司和谐劳动关系。</w:t>
      </w:r>
    </w:p>
    <w:p>
      <w:pPr>
        <w:spacing w:before="76"/>
        <w:ind w:left="444" w:right="1034" w:firstLine="0"/>
        <w:jc w:val="left"/>
        <w:rPr>
          <w:rFonts w:ascii="宋体" w:hAnsi="宋体" w:cs="宋体" w:eastAsia="宋体" w:hint="default"/>
          <w:sz w:val="18"/>
          <w:szCs w:val="18"/>
        </w:rPr>
      </w:pPr>
      <w:r>
        <w:rPr>
          <w:rFonts w:ascii="宋体" w:hAnsi="宋体" w:cs="宋体" w:eastAsia="宋体" w:hint="default"/>
          <w:sz w:val="18"/>
          <w:szCs w:val="18"/>
        </w:rPr>
        <w:t>（四）可能面对的风险因素</w:t>
      </w:r>
    </w:p>
    <w:p>
      <w:pPr>
        <w:spacing w:line="300" w:lineRule="auto" w:before="76"/>
        <w:ind w:left="587" w:right="1034" w:hanging="7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、市场竞争风险 公司致力于公共安全与反恐、智慧城市、输配电及控制设备制造业、电力设计及新能源等行业，但随着所处的行业内</w:t>
      </w:r>
    </w:p>
    <w:p>
      <w:pPr>
        <w:spacing w:line="316" w:lineRule="auto" w:before="31"/>
        <w:ind w:left="154" w:right="1042" w:firstLine="0"/>
        <w:jc w:val="both"/>
        <w:rPr>
          <w:rFonts w:ascii="宋体" w:hAnsi="宋体" w:cs="宋体" w:eastAsia="宋体" w:hint="default"/>
          <w:sz w:val="18"/>
          <w:szCs w:val="18"/>
        </w:rPr>
      </w:pPr>
      <w:r>
        <w:rPr>
          <w:rFonts w:ascii="宋体" w:hAnsi="宋体" w:cs="宋体" w:eastAsia="宋体" w:hint="default"/>
          <w:spacing w:val="-4"/>
          <w:sz w:val="18"/>
          <w:szCs w:val="18"/>
        </w:rPr>
        <w:t>竞争对手增多以及竞争对手技术水平的提高，面临企业并存的市场竞争格局，公司的产品与服务将面临趋于激烈的市场竞争，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仍将面临一定的市场竞争压力。</w:t>
      </w:r>
    </w:p>
    <w:p>
      <w:pPr>
        <w:spacing w:line="300" w:lineRule="auto" w:before="19"/>
        <w:ind w:left="51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、业务扩张带来的管理风险 </w:t>
      </w:r>
      <w:r>
        <w:rPr>
          <w:rFonts w:ascii="宋体" w:hAnsi="宋体" w:cs="宋体" w:eastAsia="宋体" w:hint="default"/>
          <w:spacing w:val="-2"/>
          <w:sz w:val="18"/>
          <w:szCs w:val="18"/>
        </w:rPr>
        <w:t>公司随着兼并重组的步伐加快，经营规模不断扩张，资产规模、营业收入有较大幅度的增长，规模的扩张将对公司未来</w:t>
      </w:r>
    </w:p>
    <w:p>
      <w:pPr>
        <w:spacing w:line="316" w:lineRule="auto" w:before="31"/>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的经营管理、项目组织、人力资源建设、资金筹措等环节的运作能力提出更高的要求，需要在业务体系、组织机构、管理制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度、企业文化等方面进行整合，能否在预期时间内完成整合工作、实现整合目标存在不确定性甚至难以达到预期，若公司管</w:t>
      </w:r>
    </w:p>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9" w:lineRule="auto" w:before="44"/>
        <w:ind w:left="513" w:right="1034" w:hanging="360"/>
        <w:jc w:val="left"/>
        <w:rPr>
          <w:rFonts w:ascii="宋体" w:hAnsi="宋体" w:cs="宋体" w:eastAsia="宋体" w:hint="default"/>
          <w:sz w:val="18"/>
          <w:szCs w:val="18"/>
        </w:rPr>
      </w:pPr>
      <w:r>
        <w:rPr>
          <w:rFonts w:ascii="宋体" w:hAnsi="宋体" w:cs="宋体" w:eastAsia="宋体" w:hint="default"/>
          <w:sz w:val="18"/>
          <w:szCs w:val="18"/>
        </w:rPr>
        <w:t>理体制和配套措施无法进行相应的调整和支持，业务规模的扩张将会为公司的经营管理带来一定的风险。 </w:t>
      </w: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、募集资金投资项目无法产生预期收益的风险及其对策 </w:t>
      </w:r>
      <w:r>
        <w:rPr>
          <w:rFonts w:ascii="宋体" w:hAnsi="宋体" w:cs="宋体" w:eastAsia="宋体" w:hint="default"/>
          <w:spacing w:val="-4"/>
          <w:sz w:val="18"/>
          <w:szCs w:val="18"/>
        </w:rPr>
        <w:t>公司发行募集资金投资项目的可行性分析是基于当时市场环境、技术发展趋势等因素做出的，投资项目虽然经过了慎重、</w:t>
      </w:r>
    </w:p>
    <w:p>
      <w:pPr>
        <w:spacing w:line="319" w:lineRule="auto" w:before="24"/>
        <w:ind w:left="154" w:right="1034" w:firstLine="0"/>
        <w:jc w:val="left"/>
        <w:rPr>
          <w:rFonts w:ascii="宋体" w:hAnsi="宋体" w:cs="宋体" w:eastAsia="宋体" w:hint="default"/>
          <w:sz w:val="18"/>
          <w:szCs w:val="18"/>
        </w:rPr>
      </w:pPr>
      <w:r>
        <w:rPr>
          <w:rFonts w:ascii="宋体" w:hAnsi="宋体" w:cs="宋体" w:eastAsia="宋体" w:hint="default"/>
          <w:spacing w:val="-4"/>
          <w:sz w:val="18"/>
          <w:szCs w:val="18"/>
        </w:rPr>
        <w:t>充分的可行性研究论证，但仍存在因市场环境发生较大变化、项目实施过程中发生不可预见因素等导致项目延期或无法实施，</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或者导致投资项目不能产生预期收益的可能性。</w:t>
      </w:r>
    </w:p>
    <w:p>
      <w:pPr>
        <w:spacing w:line="300" w:lineRule="auto" w:before="17"/>
        <w:ind w:left="51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、不可控因素带来的其他风险 </w:t>
      </w:r>
      <w:r>
        <w:rPr>
          <w:rFonts w:ascii="宋体" w:hAnsi="宋体" w:cs="宋体" w:eastAsia="宋体" w:hint="default"/>
          <w:spacing w:val="-2"/>
          <w:sz w:val="18"/>
          <w:szCs w:val="18"/>
        </w:rPr>
        <w:t>股票市场价格波动不仅取决于上市公司的发展战略和经营业绩，还受宏观经济周期、利率、资金供求关系等众多因素的</w:t>
      </w:r>
    </w:p>
    <w:p>
      <w:pPr>
        <w:spacing w:before="31"/>
        <w:ind w:left="154" w:right="1034" w:firstLine="0"/>
        <w:jc w:val="left"/>
        <w:rPr>
          <w:rFonts w:ascii="宋体" w:hAnsi="宋体" w:cs="宋体" w:eastAsia="宋体" w:hint="default"/>
          <w:sz w:val="18"/>
          <w:szCs w:val="18"/>
        </w:rPr>
      </w:pPr>
      <w:r>
        <w:rPr>
          <w:rFonts w:ascii="宋体" w:hAnsi="宋体" w:cs="宋体" w:eastAsia="宋体" w:hint="default"/>
          <w:sz w:val="18"/>
          <w:szCs w:val="18"/>
        </w:rPr>
        <w:t>影响，同时也会因国际、国内政治经济形势及投资者心理因素的变化而产生波动。</w:t>
      </w:r>
    </w:p>
    <w:p>
      <w:pPr>
        <w:spacing w:line="240" w:lineRule="auto" w:before="2"/>
        <w:rPr>
          <w:rFonts w:ascii="宋体" w:hAnsi="宋体" w:cs="宋体" w:eastAsia="宋体" w:hint="default"/>
          <w:sz w:val="25"/>
          <w:szCs w:val="25"/>
        </w:rPr>
      </w:pPr>
    </w:p>
    <w:p>
      <w:pPr>
        <w:pStyle w:val="Heading4"/>
        <w:spacing w:line="240" w:lineRule="auto"/>
        <w:ind w:right="1034"/>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0" w:right="1149" w:firstLine="0"/>
        <w:jc w:val="right"/>
        <w:rPr>
          <w:rFonts w:ascii="宋体" w:hAnsi="宋体" w:cs="宋体" w:eastAsia="宋体" w:hint="default"/>
          <w:sz w:val="18"/>
          <w:szCs w:val="18"/>
        </w:rPr>
      </w:pPr>
      <w:r>
        <w:rPr/>
        <w:pict>
          <v:shape style="position:absolute;margin-left:56.459999pt;margin-top:-112.478271pt;width:479.25pt;height:163.450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01"/>
                          <w:jc w:val="righ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5"/>
                            <w:sz w:val="18"/>
                            <w:szCs w:val="18"/>
                          </w:rPr>
                          <w:t>一公司基本介绍及控股子公司介绍、中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电兴发的基本情况以及公司未来发展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3"/>
                          <w:jc w:val="left"/>
                          <w:rPr>
                            <w:rFonts w:ascii="宋体" w:hAnsi="宋体" w:cs="宋体" w:eastAsia="宋体" w:hint="default"/>
                            <w:sz w:val="18"/>
                            <w:szCs w:val="18"/>
                          </w:rPr>
                        </w:pPr>
                        <w:r>
                          <w:rPr>
                            <w:rFonts w:ascii="宋体" w:hAnsi="宋体" w:cs="宋体" w:eastAsia="宋体" w:hint="default"/>
                            <w:sz w:val="18"/>
                            <w:szCs w:val="18"/>
                          </w:rPr>
                          <w:t>参观中电兴发公司以及产品体验中心 以及了解中电兴发基本情况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3"/>
                          <w:jc w:val="right"/>
                          <w:rPr>
                            <w:rFonts w:ascii="宋体" w:hAnsi="宋体" w:cs="宋体" w:eastAsia="宋体" w:hint="default"/>
                            <w:sz w:val="18"/>
                            <w:szCs w:val="18"/>
                          </w:rPr>
                        </w:pPr>
                        <w:r>
                          <w:rPr>
                            <w:rFonts w:ascii="宋体" w:hAnsi="宋体" w:cs="宋体" w:eastAsia="宋体" w:hint="default"/>
                            <w:sz w:val="18"/>
                            <w:szCs w:val="18"/>
                          </w:rPr>
                          <w:t>介绍了产品、发展等基本情况</w:t>
                        </w:r>
                      </w:p>
                    </w:tc>
                  </w:tr>
                  <w:tr>
                    <w:trPr>
                      <w:trHeight w:val="102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123"/>
                          <w:jc w:val="both"/>
                          <w:rPr>
                            <w:rFonts w:ascii="宋体" w:hAnsi="宋体" w:cs="宋体" w:eastAsia="宋体" w:hint="default"/>
                            <w:sz w:val="18"/>
                            <w:szCs w:val="18"/>
                          </w:rPr>
                        </w:pPr>
                        <w:r>
                          <w:rPr>
                            <w:rFonts w:ascii="宋体" w:hAnsi="宋体" w:cs="宋体" w:eastAsia="宋体" w:hint="default"/>
                            <w:sz w:val="18"/>
                            <w:szCs w:val="18"/>
                          </w:rPr>
                          <w:t>介绍公司产品、历史沿革等基本情况 讲述公司的业务分类以及非公开项目 的介绍等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6"/>
        <w:spacing w:line="240" w:lineRule="auto" w:before="35"/>
        <w:ind w:left="154" w:right="1034"/>
        <w:jc w:val="left"/>
        <w:rPr>
          <w:b w:val="0"/>
          <w:bCs w:val="0"/>
        </w:rPr>
      </w:pPr>
      <w:bookmarkStart w:name="2、报告期末至披露日期间接待调研、沟通、采访等活动登记表" w:id="61"/>
      <w:bookmarkEnd w:id="61"/>
      <w:r>
        <w:rPr>
          <w:b w:val="0"/>
          <w:bCs w:val="0"/>
        </w:rPr>
      </w: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before="0"/>
        <w:ind w:left="0" w:right="1149" w:firstLine="0"/>
        <w:jc w:val="right"/>
        <w:rPr>
          <w:rFonts w:ascii="宋体" w:hAnsi="宋体" w:cs="宋体" w:eastAsia="宋体" w:hint="default"/>
          <w:sz w:val="18"/>
          <w:szCs w:val="18"/>
        </w:rPr>
      </w:pPr>
      <w:r>
        <w:rPr/>
        <w:pict>
          <v:shape style="position:absolute;margin-left:56.459999pt;margin-top:-161.418289pt;width:479.25pt;height:243.9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5"/>
                            <w:sz w:val="18"/>
                            <w:szCs w:val="18"/>
                          </w:rPr>
                          <w:t>非公开项目的介绍、介绍公司及上市后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发展情况等</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3"/>
                          <w:jc w:val="left"/>
                          <w:rPr>
                            <w:rFonts w:ascii="宋体" w:hAnsi="宋体" w:cs="宋体" w:eastAsia="宋体" w:hint="default"/>
                            <w:sz w:val="18"/>
                            <w:szCs w:val="18"/>
                          </w:rPr>
                        </w:pPr>
                        <w:r>
                          <w:rPr>
                            <w:rFonts w:ascii="宋体" w:hAnsi="宋体" w:cs="宋体" w:eastAsia="宋体" w:hint="default"/>
                            <w:sz w:val="18"/>
                            <w:szCs w:val="18"/>
                          </w:rPr>
                          <w:t>介绍公司基本情况、非公开项目的介 绍。</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5"/>
                            <w:sz w:val="18"/>
                            <w:szCs w:val="18"/>
                          </w:rPr>
                          <w:t>介绍公司基本情况、非公开项目的介绍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以及公司的业务分类介绍</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参观公司产品体验中心、通过公司 </w:t>
                        </w:r>
                        <w:r>
                          <w:rPr>
                            <w:rFonts w:ascii="Times New Roman" w:hAnsi="Times New Roman" w:cs="Times New Roman" w:eastAsia="Times New Roman" w:hint="default"/>
                            <w:spacing w:val="-2"/>
                            <w:sz w:val="18"/>
                            <w:szCs w:val="18"/>
                          </w:rPr>
                          <w:t>PPT</w:t>
                        </w:r>
                        <w:r>
                          <w:rPr>
                            <w:rFonts w:ascii="宋体" w:hAnsi="宋体" w:cs="宋体" w:eastAsia="宋体" w:hint="default"/>
                            <w:spacing w:val="-2"/>
                            <w:sz w:val="18"/>
                            <w:szCs w:val="18"/>
                          </w:rPr>
                          <w:t>，对公司基本情况做了介绍、互动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问答环节，对中电兴发未来发展战略 技术研发方向、市场营销等方面交流</w:t>
                        </w:r>
                      </w:p>
                    </w:tc>
                  </w:tr>
                  <w:tr>
                    <w:trPr>
                      <w:trHeight w:val="98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参观公司产品体验中心、通过公司 </w:t>
                        </w:r>
                        <w:r>
                          <w:rPr>
                            <w:rFonts w:ascii="Times New Roman" w:hAnsi="Times New Roman" w:cs="Times New Roman" w:eastAsia="Times New Roman" w:hint="default"/>
                            <w:spacing w:val="-2"/>
                            <w:sz w:val="18"/>
                            <w:szCs w:val="18"/>
                          </w:rPr>
                          <w:t>PPT</w:t>
                        </w:r>
                        <w:r>
                          <w:rPr>
                            <w:rFonts w:ascii="宋体" w:hAnsi="宋体" w:cs="宋体" w:eastAsia="宋体" w:hint="default"/>
                            <w:spacing w:val="-2"/>
                            <w:sz w:val="18"/>
                            <w:szCs w:val="18"/>
                          </w:rPr>
                          <w:t>，对公司基本情况做了介绍、互动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问答环节，对中电兴发未来发展战略</w:t>
                        </w:r>
                      </w:p>
                    </w:tc>
                  </w:tr>
                </w:tbl>
                <w:p>
                  <w:pPr/>
                </w:p>
              </w:txbxContent>
            </v:textbox>
            <w10:wrap type="none"/>
          </v:shape>
        </w:pict>
      </w:r>
      <w:r>
        <w:rPr>
          <w:rFonts w:ascii="宋体" w:hAnsi="宋体" w:cs="宋体" w:eastAsia="宋体" w:hint="default"/>
          <w:sz w:val="18"/>
          <w:szCs w:val="18"/>
        </w:rPr>
        <w:t>、</w:t>
      </w:r>
    </w:p>
    <w:p>
      <w:pPr>
        <w:spacing w:before="78"/>
        <w:ind w:left="0" w:right="114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114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6"/>
          <w:szCs w:val="26"/>
        </w:rPr>
      </w:pPr>
    </w:p>
    <w:p>
      <w:pPr>
        <w:spacing w:before="44"/>
        <w:ind w:left="0" w:right="1149" w:firstLine="0"/>
        <w:jc w:val="right"/>
        <w:rPr>
          <w:rFonts w:ascii="宋体" w:hAnsi="宋体" w:cs="宋体" w:eastAsia="宋体" w:hint="default"/>
          <w:sz w:val="18"/>
          <w:szCs w:val="18"/>
        </w:rPr>
      </w:pPr>
      <w:r>
        <w:rPr/>
        <w:pict>
          <v:shape style="position:absolute;margin-left:56.459999pt;margin-top:1.131746pt;width:479.25pt;height:85.5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技术研发方向、市场营销等方面交流</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参观公司产品体验中心、通过公司 </w:t>
                        </w:r>
                        <w:r>
                          <w:rPr>
                            <w:rFonts w:ascii="Times New Roman" w:hAnsi="Times New Roman" w:cs="Times New Roman" w:eastAsia="Times New Roman" w:hint="default"/>
                            <w:spacing w:val="-2"/>
                            <w:sz w:val="18"/>
                            <w:szCs w:val="18"/>
                          </w:rPr>
                          <w:t>PPT</w:t>
                        </w:r>
                        <w:r>
                          <w:rPr>
                            <w:rFonts w:ascii="宋体" w:hAnsi="宋体" w:cs="宋体" w:eastAsia="宋体" w:hint="default"/>
                            <w:spacing w:val="-2"/>
                            <w:sz w:val="18"/>
                            <w:szCs w:val="18"/>
                          </w:rPr>
                          <w:t>，对公司基本情况做了介绍、互动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问答环节，对中电兴发未来发展战略 技术研发方向、市场营销等方面交流</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1149"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8"/>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6" w:id="62"/>
      <w:bookmarkStart w:name="第五节 重要事项" w:id="63"/>
      <w:r>
        <w:rPr>
          <w:b w:val="0"/>
          <w:bCs w:val="0"/>
        </w:rPr>
      </w:r>
      <w:r>
        <w:rPr/>
        <w:t>第五节</w:t>
      </w:r>
      <w:r>
        <w:rPr>
          <w:spacing w:val="-5"/>
        </w:rPr>
        <w:t> </w:t>
      </w:r>
      <w:r>
        <w:rPr/>
        <w:t>重要事项</w:t>
      </w:r>
      <w:bookmarkEnd w:id="62"/>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both"/>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38" w:lineRule="auto" w:before="117"/>
        <w:ind w:left="444" w:right="1034"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公司自上市以来，在兼顾公司可持续发展的前提下，历来重视投资者回报。公司己制定了《公司未来三年股东回报规划</w:t>
      </w:r>
    </w:p>
    <w:p>
      <w:pPr>
        <w:spacing w:line="309" w:lineRule="auto" w:before="2"/>
        <w:ind w:left="153" w:right="113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2015-2017</w:t>
      </w:r>
      <w:r>
        <w:rPr>
          <w:rFonts w:ascii="宋体" w:hAnsi="宋体" w:cs="宋体" w:eastAsia="宋体" w:hint="default"/>
          <w:sz w:val="18"/>
          <w:szCs w:val="18"/>
        </w:rPr>
        <w:t>）》，明确了利润分配原则、利润分配方式、现金分红的条件、现金分红的比例、分配股票股利的条件、分配 </w:t>
      </w:r>
      <w:r>
        <w:rPr>
          <w:rFonts w:ascii="宋体" w:hAnsi="宋体" w:cs="宋体" w:eastAsia="宋体" w:hint="default"/>
          <w:spacing w:val="-2"/>
          <w:sz w:val="18"/>
          <w:szCs w:val="18"/>
        </w:rPr>
        <w:t>股票股利的最低比例、利润分配的决策程序、有关利润分配的信息披露事项等。公司将严格按照《公司章程》的规定，实施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利润分配政策，强化回报股东意识，满足股东的合理投资回报和公司长远发展的要求。</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65"/>
        <w:ind w:left="154" w:right="1034"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300" w:lineRule="auto" w:before="102"/>
        <w:ind w:left="153" w:right="1130" w:firstLine="29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年度利润分配及公积金转增股本方案：经大华会计师事务所（特殊普通合伙）审计，公司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年度实现归属 于母公司股东的净利润</w:t>
      </w:r>
      <w:r>
        <w:rPr>
          <w:rFonts w:ascii="Times New Roman" w:hAnsi="Times New Roman" w:cs="Times New Roman" w:eastAsia="Times New Roman" w:hint="default"/>
          <w:sz w:val="18"/>
          <w:szCs w:val="18"/>
        </w:rPr>
        <w:t>87,486,738.75</w:t>
      </w:r>
      <w:r>
        <w:rPr>
          <w:rFonts w:ascii="宋体" w:hAnsi="宋体" w:cs="宋体" w:eastAsia="宋体" w:hint="default"/>
          <w:sz w:val="18"/>
          <w:szCs w:val="18"/>
        </w:rPr>
        <w:t>元，根据《公司章程》的有关规定，按母公司实现的净利润</w:t>
      </w:r>
      <w:r>
        <w:rPr>
          <w:rFonts w:ascii="Times New Roman" w:hAnsi="Times New Roman" w:cs="Times New Roman" w:eastAsia="Times New Roman" w:hint="default"/>
          <w:sz w:val="18"/>
          <w:szCs w:val="18"/>
        </w:rPr>
        <w:t>77,212,669.74</w:t>
      </w:r>
      <w:r>
        <w:rPr>
          <w:rFonts w:ascii="宋体" w:hAnsi="宋体" w:cs="宋体" w:eastAsia="宋体" w:hint="default"/>
          <w:sz w:val="18"/>
          <w:szCs w:val="18"/>
        </w:rPr>
        <w:t>元提取</w:t>
      </w:r>
      <w:r>
        <w:rPr>
          <w:rFonts w:ascii="Times New Roman" w:hAnsi="Times New Roman" w:cs="Times New Roman" w:eastAsia="Times New Roman" w:hint="default"/>
          <w:sz w:val="18"/>
          <w:szCs w:val="18"/>
        </w:rPr>
        <w:t>10%</w:t>
      </w:r>
      <w:r>
        <w:rPr>
          <w:rFonts w:ascii="宋体" w:hAnsi="宋体" w:cs="宋体" w:eastAsia="宋体" w:hint="default"/>
          <w:sz w:val="18"/>
          <w:szCs w:val="18"/>
        </w:rPr>
        <w:t>法</w:t>
      </w:r>
      <w:r>
        <w:rPr>
          <w:rFonts w:ascii="宋体" w:hAnsi="宋体" w:cs="宋体" w:eastAsia="宋体" w:hint="default"/>
          <w:spacing w:val="-62"/>
          <w:sz w:val="18"/>
          <w:szCs w:val="18"/>
        </w:rPr>
        <w:t> </w:t>
      </w:r>
      <w:r>
        <w:rPr>
          <w:rFonts w:ascii="宋体" w:hAnsi="宋体" w:cs="宋体" w:eastAsia="宋体" w:hint="default"/>
          <w:spacing w:val="-1"/>
          <w:sz w:val="18"/>
          <w:szCs w:val="18"/>
        </w:rPr>
        <w:t>定盈余公积</w:t>
      </w:r>
      <w:r>
        <w:rPr>
          <w:rFonts w:ascii="Times New Roman" w:hAnsi="Times New Roman" w:cs="Times New Roman" w:eastAsia="Times New Roman" w:hint="default"/>
          <w:spacing w:val="-1"/>
          <w:sz w:val="18"/>
          <w:szCs w:val="18"/>
        </w:rPr>
        <w:t>7,721,266.97</w:t>
      </w:r>
      <w:r>
        <w:rPr>
          <w:rFonts w:ascii="宋体" w:hAnsi="宋体" w:cs="宋体" w:eastAsia="宋体" w:hint="default"/>
          <w:spacing w:val="-1"/>
          <w:sz w:val="18"/>
          <w:szCs w:val="18"/>
        </w:rPr>
        <w:t>元，加上年初未分配利润</w:t>
      </w:r>
      <w:r>
        <w:rPr>
          <w:rFonts w:ascii="Times New Roman" w:hAnsi="Times New Roman" w:cs="Times New Roman" w:eastAsia="Times New Roman" w:hint="default"/>
          <w:spacing w:val="-1"/>
          <w:sz w:val="18"/>
          <w:szCs w:val="18"/>
        </w:rPr>
        <w:t>235,051,872.69</w:t>
      </w:r>
      <w:r>
        <w:rPr>
          <w:rFonts w:ascii="宋体" w:hAnsi="宋体" w:cs="宋体" w:eastAsia="宋体" w:hint="default"/>
          <w:spacing w:val="-1"/>
          <w:sz w:val="18"/>
          <w:szCs w:val="18"/>
        </w:rPr>
        <w:t>元，扣除</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年度现金股利分配</w:t>
      </w:r>
      <w:r>
        <w:rPr>
          <w:rFonts w:ascii="Times New Roman" w:hAnsi="Times New Roman" w:cs="Times New Roman" w:eastAsia="Times New Roman" w:hint="default"/>
          <w:spacing w:val="-1"/>
          <w:sz w:val="18"/>
          <w:szCs w:val="18"/>
        </w:rPr>
        <w:t>8,177,380.00</w:t>
      </w:r>
      <w:r>
        <w:rPr>
          <w:rFonts w:ascii="宋体" w:hAnsi="宋体" w:cs="宋体" w:eastAsia="宋体" w:hint="default"/>
          <w:spacing w:val="-1"/>
          <w:sz w:val="18"/>
          <w:szCs w:val="18"/>
        </w:rPr>
        <w:t>元，截止</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年度实现可供股东分配利润为</w:t>
      </w:r>
      <w:r>
        <w:rPr>
          <w:rFonts w:ascii="Times New Roman" w:hAnsi="Times New Roman" w:cs="Times New Roman" w:eastAsia="Times New Roman" w:hint="default"/>
          <w:sz w:val="18"/>
          <w:szCs w:val="18"/>
        </w:rPr>
        <w:t>306,639,964.47</w:t>
      </w:r>
      <w:r>
        <w:rPr>
          <w:rFonts w:ascii="宋体" w:hAnsi="宋体" w:cs="宋体" w:eastAsia="宋体" w:hint="default"/>
          <w:sz w:val="18"/>
          <w:szCs w:val="18"/>
        </w:rPr>
        <w:t>元。</w:t>
      </w:r>
    </w:p>
    <w:p>
      <w:pPr>
        <w:spacing w:line="300" w:lineRule="auto" w:before="13"/>
        <w:ind w:left="153" w:right="1041" w:firstLine="29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年度分配预案为：以</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日总股本</w:t>
      </w:r>
      <w:r>
        <w:rPr>
          <w:rFonts w:ascii="Times New Roman" w:hAnsi="Times New Roman" w:cs="Times New Roman" w:eastAsia="Times New Roman" w:hint="default"/>
          <w:spacing w:val="-1"/>
          <w:sz w:val="18"/>
          <w:szCs w:val="18"/>
        </w:rPr>
        <w:t>413,848,300</w:t>
      </w:r>
      <w:r>
        <w:rPr>
          <w:rFonts w:ascii="宋体" w:hAnsi="宋体" w:cs="宋体" w:eastAsia="宋体" w:hint="default"/>
          <w:spacing w:val="-1"/>
          <w:sz w:val="18"/>
          <w:szCs w:val="18"/>
        </w:rPr>
        <w:t>股为基数，向全体股东每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股派送现金股利</w:t>
      </w:r>
      <w:r>
        <w:rPr>
          <w:rFonts w:ascii="Times New Roman" w:hAnsi="Times New Roman" w:cs="Times New Roman" w:eastAsia="Times New Roman" w:hint="default"/>
          <w:spacing w:val="-1"/>
          <w:sz w:val="18"/>
          <w:szCs w:val="18"/>
        </w:rPr>
        <w:t>0.35</w:t>
      </w:r>
      <w:r>
        <w:rPr>
          <w:rFonts w:ascii="宋体" w:hAnsi="宋体" w:cs="宋体" w:eastAsia="宋体" w:hint="default"/>
          <w:spacing w:val="-1"/>
          <w:sz w:val="18"/>
          <w:szCs w:val="18"/>
        </w:rPr>
        <w:t>元（含税），</w:t>
      </w:r>
      <w:r>
        <w:rPr>
          <w:rFonts w:ascii="宋体" w:hAnsi="宋体" w:cs="宋体" w:eastAsia="宋体" w:hint="default"/>
          <w:sz w:val="18"/>
          <w:szCs w:val="18"/>
        </w:rPr>
        <w:t> 送红股</w:t>
      </w:r>
      <w:r>
        <w:rPr>
          <w:rFonts w:ascii="Times New Roman" w:hAnsi="Times New Roman" w:cs="Times New Roman" w:eastAsia="Times New Roman" w:hint="default"/>
          <w:sz w:val="18"/>
          <w:szCs w:val="18"/>
        </w:rPr>
        <w:t>0</w:t>
      </w:r>
      <w:r>
        <w:rPr>
          <w:rFonts w:ascii="宋体" w:hAnsi="宋体" w:cs="宋体" w:eastAsia="宋体" w:hint="default"/>
          <w:sz w:val="18"/>
          <w:szCs w:val="18"/>
        </w:rPr>
        <w:t>股，不以公积金转增股本，合计派发现金股利</w:t>
      </w:r>
      <w:r>
        <w:rPr>
          <w:rFonts w:ascii="Times New Roman" w:hAnsi="Times New Roman" w:cs="Times New Roman" w:eastAsia="Times New Roman" w:hint="default"/>
          <w:sz w:val="18"/>
          <w:szCs w:val="18"/>
        </w:rPr>
        <w:t>14,484,690.5</w:t>
      </w:r>
      <w:r>
        <w:rPr>
          <w:rFonts w:ascii="宋体" w:hAnsi="宋体" w:cs="宋体" w:eastAsia="宋体" w:hint="default"/>
          <w:sz w:val="18"/>
          <w:szCs w:val="18"/>
        </w:rPr>
        <w:t>元。不送红股，不以公积金转增股本。</w:t>
      </w:r>
    </w:p>
    <w:p>
      <w:pPr>
        <w:spacing w:line="300" w:lineRule="auto" w:before="13"/>
        <w:ind w:left="153" w:right="1042" w:firstLine="29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年度利润分配及公积金转增股本方案：经大华会计师事务所（特殊普通合伙）审计，实现归属于母公司股东 </w:t>
      </w:r>
      <w:r>
        <w:rPr>
          <w:rFonts w:ascii="宋体" w:hAnsi="宋体" w:cs="宋体" w:eastAsia="宋体" w:hint="default"/>
          <w:spacing w:val="2"/>
          <w:sz w:val="18"/>
          <w:szCs w:val="18"/>
        </w:rPr>
        <w:t>的净利润</w:t>
      </w:r>
      <w:r>
        <w:rPr>
          <w:rFonts w:ascii="Times New Roman" w:hAnsi="Times New Roman" w:cs="Times New Roman" w:eastAsia="Times New Roman" w:hint="default"/>
          <w:spacing w:val="2"/>
          <w:sz w:val="18"/>
          <w:szCs w:val="18"/>
        </w:rPr>
        <w:t>14,998,539.05</w:t>
      </w:r>
      <w:r>
        <w:rPr>
          <w:rFonts w:ascii="宋体" w:hAnsi="宋体" w:cs="宋体" w:eastAsia="宋体" w:hint="default"/>
          <w:spacing w:val="2"/>
          <w:sz w:val="18"/>
          <w:szCs w:val="18"/>
        </w:rPr>
        <w:t>元，根据《公司章程》的有关规定，按母公司实现的净利润</w:t>
      </w:r>
      <w:r>
        <w:rPr>
          <w:rFonts w:ascii="Times New Roman" w:hAnsi="Times New Roman" w:cs="Times New Roman" w:eastAsia="Times New Roman" w:hint="default"/>
          <w:spacing w:val="2"/>
          <w:sz w:val="18"/>
          <w:szCs w:val="18"/>
        </w:rPr>
        <w:t>11,023,239.10</w:t>
      </w:r>
      <w:r>
        <w:rPr>
          <w:rFonts w:ascii="宋体" w:hAnsi="宋体" w:cs="宋体" w:eastAsia="宋体" w:hint="default"/>
          <w:spacing w:val="2"/>
          <w:sz w:val="18"/>
          <w:szCs w:val="18"/>
        </w:rPr>
        <w:t>元提取</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法定盈余公积</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Times New Roman" w:hAnsi="Times New Roman" w:cs="Times New Roman" w:eastAsia="Times New Roman" w:hint="default"/>
          <w:spacing w:val="-1"/>
          <w:sz w:val="18"/>
          <w:szCs w:val="18"/>
        </w:rPr>
        <w:t>1,102,323.91</w:t>
      </w:r>
      <w:r>
        <w:rPr>
          <w:rFonts w:ascii="宋体" w:hAnsi="宋体" w:cs="宋体" w:eastAsia="宋体" w:hint="default"/>
          <w:spacing w:val="-1"/>
          <w:sz w:val="18"/>
          <w:szCs w:val="18"/>
        </w:rPr>
        <w:t>元，加上年初未分配利润</w:t>
      </w:r>
      <w:r>
        <w:rPr>
          <w:rFonts w:ascii="Times New Roman" w:hAnsi="Times New Roman" w:cs="Times New Roman" w:eastAsia="Times New Roman" w:hint="default"/>
          <w:spacing w:val="-1"/>
          <w:sz w:val="18"/>
          <w:szCs w:val="18"/>
        </w:rPr>
        <w:t>306,639,964.47</w:t>
      </w:r>
      <w:r>
        <w:rPr>
          <w:rFonts w:ascii="宋体" w:hAnsi="宋体" w:cs="宋体" w:eastAsia="宋体" w:hint="default"/>
          <w:spacing w:val="-1"/>
          <w:sz w:val="18"/>
          <w:szCs w:val="18"/>
        </w:rPr>
        <w:t>元，扣除</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年度现金股利分配</w:t>
      </w:r>
      <w:r>
        <w:rPr>
          <w:rFonts w:ascii="Times New Roman" w:hAnsi="Times New Roman" w:cs="Times New Roman" w:eastAsia="Times New Roman" w:hint="default"/>
          <w:spacing w:val="-1"/>
          <w:sz w:val="18"/>
          <w:szCs w:val="18"/>
        </w:rPr>
        <w:t>14,484,690.50</w:t>
      </w:r>
      <w:r>
        <w:rPr>
          <w:rFonts w:ascii="宋体" w:hAnsi="宋体" w:cs="宋体" w:eastAsia="宋体" w:hint="default"/>
          <w:spacing w:val="-1"/>
          <w:sz w:val="18"/>
          <w:szCs w:val="18"/>
        </w:rPr>
        <w:t>元，截止</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p>
      <w:pPr>
        <w:spacing w:before="13"/>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年度实现可供股东分配利润为</w:t>
      </w:r>
      <w:r>
        <w:rPr>
          <w:rFonts w:ascii="Times New Roman" w:hAnsi="Times New Roman" w:cs="Times New Roman" w:eastAsia="Times New Roman" w:hint="default"/>
          <w:sz w:val="18"/>
          <w:szCs w:val="18"/>
        </w:rPr>
        <w:t>306,051,489.11</w:t>
      </w:r>
      <w:r>
        <w:rPr>
          <w:rFonts w:ascii="宋体" w:hAnsi="宋体" w:cs="宋体" w:eastAsia="宋体" w:hint="default"/>
          <w:sz w:val="18"/>
          <w:szCs w:val="18"/>
        </w:rPr>
        <w:t>元。</w:t>
      </w:r>
    </w:p>
    <w:p>
      <w:pPr>
        <w:spacing w:before="63"/>
        <w:ind w:left="51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年度分配预案为：公司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年度计划不派发现金红利，不送红股，不以公积金转增股本。</w:t>
      </w:r>
    </w:p>
    <w:p>
      <w:pPr>
        <w:spacing w:line="300" w:lineRule="auto" w:before="63"/>
        <w:ind w:left="153" w:right="114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）经大华会计师事务所（特殊普通合伙）审计，公司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年度实现归属于母公司股东的净利润</w:t>
      </w:r>
      <w:r>
        <w:rPr>
          <w:rFonts w:ascii="Times New Roman" w:hAnsi="Times New Roman" w:cs="Times New Roman" w:eastAsia="Times New Roman" w:hint="default"/>
          <w:sz w:val="18"/>
          <w:szCs w:val="18"/>
        </w:rPr>
        <w:t>66,348,794.93</w:t>
      </w:r>
      <w:r>
        <w:rPr>
          <w:rFonts w:ascii="宋体" w:hAnsi="宋体" w:cs="宋体" w:eastAsia="宋体" w:hint="default"/>
          <w:sz w:val="18"/>
          <w:szCs w:val="18"/>
        </w:rPr>
        <w:t>元，加 上年初未分配利润</w:t>
      </w:r>
      <w:r>
        <w:rPr>
          <w:rFonts w:ascii="Times New Roman" w:hAnsi="Times New Roman" w:cs="Times New Roman" w:eastAsia="Times New Roman" w:hint="default"/>
          <w:sz w:val="18"/>
          <w:szCs w:val="18"/>
        </w:rPr>
        <w:t>306,051,489.11</w:t>
      </w:r>
      <w:r>
        <w:rPr>
          <w:rFonts w:ascii="宋体" w:hAnsi="宋体" w:cs="宋体" w:eastAsia="宋体" w:hint="default"/>
          <w:sz w:val="18"/>
          <w:szCs w:val="18"/>
        </w:rPr>
        <w:t>元，截至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日可供股东分配的利润为</w:t>
      </w:r>
      <w:r>
        <w:rPr>
          <w:rFonts w:ascii="Times New Roman" w:hAnsi="Times New Roman" w:cs="Times New Roman" w:eastAsia="Times New Roman" w:hint="default"/>
          <w:sz w:val="18"/>
          <w:szCs w:val="18"/>
        </w:rPr>
        <w:t>372,400,284.04</w:t>
      </w:r>
      <w:r>
        <w:rPr>
          <w:rFonts w:ascii="宋体" w:hAnsi="宋体" w:cs="宋体" w:eastAsia="宋体" w:hint="default"/>
          <w:sz w:val="18"/>
          <w:szCs w:val="18"/>
        </w:rPr>
        <w:t>元，其中母公司可供股东分 配的利润为</w:t>
      </w:r>
      <w:r>
        <w:rPr>
          <w:rFonts w:ascii="Times New Roman" w:hAnsi="Times New Roman" w:cs="Times New Roman" w:eastAsia="Times New Roman" w:hint="default"/>
          <w:sz w:val="18"/>
          <w:szCs w:val="18"/>
        </w:rPr>
        <w:t>217,581,402.73</w:t>
      </w:r>
      <w:r>
        <w:rPr>
          <w:rFonts w:ascii="宋体" w:hAnsi="宋体" w:cs="宋体" w:eastAsia="宋体" w:hint="default"/>
          <w:sz w:val="18"/>
          <w:szCs w:val="18"/>
        </w:rPr>
        <w:t>元。</w:t>
      </w:r>
    </w:p>
    <w:p>
      <w:pPr>
        <w:spacing w:line="300" w:lineRule="auto" w:before="13"/>
        <w:ind w:left="153" w:right="1077" w:firstLine="18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年度分配预案为：以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日总股本</w:t>
      </w:r>
      <w:r>
        <w:rPr>
          <w:rFonts w:ascii="Times New Roman" w:hAnsi="Times New Roman" w:cs="Times New Roman" w:eastAsia="Times New Roman" w:hint="default"/>
          <w:sz w:val="18"/>
          <w:szCs w:val="18"/>
        </w:rPr>
        <w:t>632,918,760</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股派送现金股利</w:t>
      </w:r>
      <w:r>
        <w:rPr>
          <w:rFonts w:ascii="Times New Roman" w:hAnsi="Times New Roman" w:cs="Times New Roman" w:eastAsia="Times New Roman" w:hint="default"/>
          <w:sz w:val="18"/>
          <w:szCs w:val="18"/>
        </w:rPr>
        <w:t>0.32</w:t>
      </w:r>
      <w:r>
        <w:rPr>
          <w:rFonts w:ascii="宋体" w:hAnsi="宋体" w:cs="宋体" w:eastAsia="宋体" w:hint="default"/>
          <w:sz w:val="18"/>
          <w:szCs w:val="18"/>
        </w:rPr>
        <w:t>元（含税）， 不送红股，不以公积金转增股本，合计派发现金股利</w:t>
      </w:r>
      <w:r>
        <w:rPr>
          <w:rFonts w:ascii="Times New Roman" w:hAnsi="Times New Roman" w:cs="Times New Roman" w:eastAsia="Times New Roman" w:hint="default"/>
          <w:sz w:val="18"/>
          <w:szCs w:val="18"/>
        </w:rPr>
        <w:t>20,253,400.32</w:t>
      </w:r>
      <w:r>
        <w:rPr>
          <w:rFonts w:ascii="宋体" w:hAnsi="宋体" w:cs="宋体" w:eastAsia="宋体" w:hint="default"/>
          <w:sz w:val="18"/>
          <w:szCs w:val="18"/>
        </w:rPr>
        <w:t>元。剩余未分配利润留待以后年度分配。</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20,253,400.32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66,348,794.93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14,998,539.05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14,484,690.50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87,486,738.75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1034"/>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632,918,760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20,253,400.32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372,400,284.04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年度分配预案为：以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632,918,760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股派送现金股利</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tabs>
                <w:tab w:pos="6806" w:val="left" w:leader="none"/>
              </w:tabs>
              <w:spacing w:line="302" w:lineRule="auto" w:before="61"/>
              <w:ind w:left="11" w:right="84"/>
              <w:jc w:val="left"/>
              <w:rPr>
                <w:rFonts w:ascii="宋体" w:hAnsi="宋体" w:cs="宋体" w:eastAsia="宋体" w:hint="default"/>
                <w:sz w:val="18"/>
                <w:szCs w:val="18"/>
              </w:rPr>
            </w:pPr>
            <w:r>
              <w:rPr>
                <w:rFonts w:ascii="宋体" w:hAnsi="宋体" w:cs="宋体" w:eastAsia="宋体" w:hint="default"/>
                <w:spacing w:val="-4"/>
                <w:sz w:val="18"/>
                <w:szCs w:val="18"/>
              </w:rPr>
              <w:t>（含税），不送红股，不以公积金转增股本，合计派发现金股利</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20,253,400.32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tab/>
              <w:t>本预案需提交公司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东大会审议批准后方可实施。</w:t>
            </w:r>
          </w:p>
        </w:tc>
      </w:tr>
    </w:tbl>
    <w:p>
      <w:pPr>
        <w:spacing w:line="240" w:lineRule="auto" w:before="2"/>
        <w:rPr>
          <w:rFonts w:ascii="宋体" w:hAnsi="宋体" w:cs="宋体" w:eastAsia="宋体" w:hint="default"/>
          <w:sz w:val="18"/>
          <w:szCs w:val="18"/>
        </w:rPr>
      </w:pPr>
    </w:p>
    <w:p>
      <w:pPr>
        <w:pStyle w:val="Heading4"/>
        <w:spacing w:line="240" w:lineRule="auto" w:before="26"/>
        <w:ind w:left="154" w:right="1034"/>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6"/>
        <w:spacing w:line="259" w:lineRule="auto"/>
        <w:ind w:right="1034"/>
        <w:jc w:val="left"/>
        <w:rPr>
          <w:b w:val="0"/>
          <w:bCs w:val="0"/>
        </w:rPr>
      </w:pPr>
      <w:bookmarkStart w:name="1、公司、股东、实际控制人、收购人、董事、监事、高级管理人员或其他关联方在报告期" w:id="67"/>
      <w:bookmarkEnd w:id="67"/>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１、公司本次 资产重组发 行取得的新 增股份的锁 定期为自本 次交易新增 股份上市之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内不得转让。 ２、本次交易 前束龙胜、芜 湖市鑫诚科 技投资有限 公司持有的 上市公司股 份自本次交 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 让；３、本次 交易完成后， 束龙胜暂无 减持所持上 市公司股份 的计划，但不 排除未来三 年内减持其 所持上市公 司股份的可 能性；４、本 次交易完成 后，束龙胜没 有放弃上市 公司控制权 的计划；５、 在本次交易 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月内，束龙胜 及其一致行 动人芜湖市 鑫诚科技投 资有限公司 若减持上市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公司股份，保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证减持后合 计持有的上 市公司有表 决权的股份 比例与瞿洪 桂所持的上 市公司有表 决权的股份 比例的差额 不低于本次 交易完成时 双方的比例 差额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11.92%</w:t>
            </w:r>
          </w:p>
          <w:p>
            <w:pPr>
              <w:pStyle w:val="TableParagraph"/>
              <w:spacing w:line="312" w:lineRule="auto"/>
              <w:ind w:left="22" w:right="192"/>
              <w:jc w:val="left"/>
              <w:rPr>
                <w:rFonts w:ascii="宋体" w:hAnsi="宋体" w:cs="宋体" w:eastAsia="宋体" w:hint="default"/>
                <w:sz w:val="18"/>
                <w:szCs w:val="18"/>
              </w:rPr>
            </w:pPr>
            <w:r>
              <w:rPr>
                <w:rFonts w:ascii="宋体" w:hAnsi="宋体" w:cs="宋体" w:eastAsia="宋体" w:hint="default"/>
                <w:sz w:val="18"/>
                <w:szCs w:val="18"/>
              </w:rPr>
              <w:t>（含瞿洪桂 放弃表决权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比 </w:t>
            </w:r>
            <w:r>
              <w:rPr>
                <w:rFonts w:ascii="宋体" w:hAnsi="宋体" w:cs="宋体" w:eastAsia="宋体" w:hint="default"/>
                <w:spacing w:val="-30"/>
                <w:sz w:val="18"/>
                <w:szCs w:val="18"/>
              </w:rPr>
              <w:t>例）。</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本方及本方 控制（包括直 接控制和间 接控制）的企 业目前没有， 将来也不以 任何方式直 接或间接从 事与上市公 司及其控股 子公司现有 及将来从事 的业务构成 同业竞争的 任何活动。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、就本方及 本方控制的 企业（如有） 与上市公司 及其控股子 公司之间已 存在及将来 不可避免发 生的关联交 易事项，保证 遵循市场交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73.880005pt;margin-top:609.940002pt;width:61pt;height:69.2pt;mso-position-horizontal-relative:page;mso-position-vertical-relative:page;z-index:-1110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易的公平原 则即正常的 商业条款与 上市公司及 其控股子公 司发生交易。 如未按市场 交易的公平 原则与上市 公司及其控 股子公司发 生交易，而给 上市公司及 其控股子公 司造成损失 或已经造成 损失，由本方 承担赔偿责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关于放弃表 决权等权利 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新增股票上 市之日起三 </w:t>
            </w:r>
            <w:r>
              <w:rPr>
                <w:rFonts w:ascii="宋体" w:hAnsi="宋体" w:cs="宋体" w:eastAsia="宋体" w:hint="default"/>
                <w:spacing w:val="-2"/>
                <w:sz w:val="18"/>
                <w:szCs w:val="18"/>
              </w:rPr>
              <w:t>年内，放弃其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所持有的占 鑫龙总股本 </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的股份所 对应的股东 大会上的全 </w:t>
            </w:r>
            <w:r>
              <w:rPr>
                <w:rFonts w:ascii="宋体" w:hAnsi="宋体" w:cs="宋体" w:eastAsia="宋体" w:hint="default"/>
                <w:spacing w:val="-2"/>
                <w:sz w:val="18"/>
                <w:szCs w:val="18"/>
              </w:rPr>
              <w:t>部表决权、提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名权、提案 </w:t>
            </w:r>
            <w:r>
              <w:rPr>
                <w:rFonts w:ascii="宋体" w:hAnsi="宋体" w:cs="宋体" w:eastAsia="宋体" w:hint="default"/>
                <w:spacing w:val="-2"/>
                <w:sz w:val="18"/>
                <w:szCs w:val="18"/>
              </w:rPr>
              <w:t>权，亦不以任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何形式直接 或间接增持 鑫龙电器股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第一期：解锁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不超过本次 认购的全部 上市公司股 份的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24%</w:t>
            </w:r>
            <w:r>
              <w:rPr>
                <w:rFonts w:ascii="宋体" w:hAnsi="宋体" w:cs="宋体" w:eastAsia="宋体" w:hint="default"/>
                <w:spacing w:val="-11"/>
                <w:sz w:val="18"/>
                <w:szCs w:val="18"/>
              </w:rPr>
              <w:t>；第</w:t>
            </w:r>
            <w:r>
              <w:rPr>
                <w:rFonts w:ascii="宋体" w:hAnsi="宋体" w:cs="宋体" w:eastAsia="宋体" w:hint="default"/>
                <w:spacing w:val="-26"/>
                <w:sz w:val="18"/>
                <w:szCs w:val="18"/>
              </w:rPr>
              <w:t> </w:t>
            </w:r>
            <w:r>
              <w:rPr>
                <w:rFonts w:ascii="宋体" w:hAnsi="宋体" w:cs="宋体" w:eastAsia="宋体" w:hint="default"/>
                <w:spacing w:val="-2"/>
                <w:sz w:val="18"/>
                <w:szCs w:val="18"/>
              </w:rPr>
              <w:t>二期：解锁不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超过本次认 购的全部上 市公司股份 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35%</w:t>
            </w:r>
            <w:r>
              <w:rPr>
                <w:rFonts w:ascii="宋体" w:hAnsi="宋体" w:cs="宋体" w:eastAsia="宋体" w:hint="default"/>
                <w:spacing w:val="-5"/>
                <w:sz w:val="18"/>
                <w:szCs w:val="18"/>
              </w:rPr>
              <w:t>；第三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r>
              <w:rPr>
                <w:rFonts w:ascii="宋体" w:hAnsi="宋体" w:cs="宋体" w:eastAsia="宋体" w:hint="default"/>
                <w:spacing w:val="-18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1383"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54.85pt;height:69.2pt;mso-position-horizontal-relative:char;mso-position-vertical-relative:line" coordorigin="0,0" coordsize="1097,1384">
                  <v:group style="position:absolute;left:0;top:0;width:1097;height:1384" coordorigin="0,0" coordsize="1097,1384">
                    <v:shape style="position:absolute;left:0;top:0;width:1097;height:1384" coordorigin="0,0" coordsize="1097,1384" path="m0,1384l1097,1384,1097,0,0,0,0,1384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bl>
    <w:p>
      <w:pPr>
        <w:spacing w:after="0" w:line="240" w:lineRule="auto"/>
        <w:jc w:val="lef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期：解锁本次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认购的全部 上市公司股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关于标的公 司未来业绩 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中电兴发</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09" w:lineRule="auto" w:before="63"/>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 现的扣除非 经常性损益 后的净利润 数（以下简称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承诺净利润 数</w:t>
            </w:r>
            <w:r>
              <w:rPr>
                <w:rFonts w:ascii="Times New Roman" w:hAnsi="Times New Roman" w:cs="Times New Roman" w:eastAsia="Times New Roman" w:hint="default"/>
                <w:sz w:val="18"/>
                <w:szCs w:val="18"/>
              </w:rPr>
              <w:t>"</w:t>
            </w:r>
            <w:r>
              <w:rPr>
                <w:rFonts w:ascii="宋体" w:hAnsi="宋体" w:cs="宋体" w:eastAsia="宋体" w:hint="default"/>
                <w:sz w:val="18"/>
                <w:szCs w:val="18"/>
              </w:rPr>
              <w:t>）不低于 </w:t>
            </w:r>
            <w:r>
              <w:rPr>
                <w:rFonts w:ascii="Times New Roman" w:hAnsi="Times New Roman" w:cs="Times New Roman" w:eastAsia="Times New Roman" w:hint="default"/>
                <w:sz w:val="18"/>
                <w:szCs w:val="18"/>
              </w:rPr>
              <w:t>11,500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pStyle w:val="TableParagraph"/>
              <w:spacing w:line="300" w:lineRule="auto" w:before="5"/>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即不低于</w:t>
            </w:r>
          </w:p>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09" w:lineRule="auto" w:before="63"/>
              <w:ind w:left="22"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 预测净利润 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53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91"/>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、本方及本 方控制（包括 直接控制和 间接控制）的 企业目前没 有，将来也不 以任何方式 直接或间接 从事与上市 公司及其控 股子公司现 有及将来从 事的业务构 成同业竞争 的任何活动。 </w:t>
            </w:r>
            <w:r>
              <w:rPr>
                <w:rFonts w:ascii="Times New Roman" w:hAnsi="Times New Roman" w:cs="Times New Roman" w:eastAsia="Times New Roman" w:hint="default"/>
                <w:sz w:val="18"/>
                <w:szCs w:val="18"/>
              </w:rPr>
              <w:t>2</w:t>
            </w:r>
            <w:r>
              <w:rPr>
                <w:rFonts w:ascii="宋体" w:hAnsi="宋体" w:cs="宋体" w:eastAsia="宋体" w:hint="default"/>
                <w:sz w:val="18"/>
                <w:szCs w:val="18"/>
              </w:rPr>
              <w:t>、对本方下 属全资企业、 直接或间接 控股的企业， 本方将通过 派出机构和 人员（包括但 不限于董事、 经理）以及控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股地位使该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等企业履行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本承诺函中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与本方相同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的义务，保证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司发生同业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一步拓展其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业务范围，本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方及本方拥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有控制权的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展后的业务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相竞争；如可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司拓展后的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业务产生竞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争的，本方及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本方拥有控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制权的企业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将按照如下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方式退出与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）停</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止与上市公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）将相竞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争的业务纳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入到上市公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将相竞争的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业务转让给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无关联的第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三方</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）其</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他有利于维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护上市公司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、如本方及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本方拥有控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制权的企业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有任何商业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机会可从事、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参与任何可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则立即将上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述商业机会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司，在通知中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所指定的合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理期间内，上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愿意利用该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肯定答复的，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则尽力将该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、本方确认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本承诺函所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载的每一项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承诺均为可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独立执行之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承诺，任何一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项承诺若被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视为无效或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终止将不影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响其他各项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承诺的有效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性；如违反上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述任何一项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承诺，本方愿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意承担由此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造成的直接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损失、索赔责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任及与此相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关的费用支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w:t>
            </w:r>
            <w:r>
              <w:rPr>
                <w:rFonts w:ascii="Times New Roman" w:hAnsi="Times New Roman" w:cs="Times New Roman" w:eastAsia="Times New Roman" w:hint="default"/>
                <w:sz w:val="18"/>
                <w:szCs w:val="18"/>
              </w:rPr>
              <w:t>6</w:t>
            </w:r>
            <w:r>
              <w:rPr>
                <w:rFonts w:ascii="宋体" w:hAnsi="宋体" w:cs="宋体" w:eastAsia="宋体" w:hint="default"/>
                <w:sz w:val="18"/>
                <w:szCs w:val="18"/>
              </w:rPr>
              <w:t>、本承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诺函在本方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作为持有上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上股份的主 要股东期间 内持续有效 且不可变更 或撤销。</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、就本方及 本方控制的 企业（如有） 与上市公司 及其控股子 公司之间已 存在及将来 不可避免发 生的关联交 易事项，保证 遵循市场交 易的公平原 则即正常的 商业条款与 上市公司及 其控股子公 司发生交易。 如未按市场 交易的公平 原则与上市 公司及其控 股子公司发 生交易，而给 上市公司及 其控股子公 司造成损失 或已经造成 损失，由本方 承担赔偿责 任。</w:t>
            </w:r>
            <w:r>
              <w:rPr>
                <w:rFonts w:ascii="Times New Roman" w:hAnsi="Times New Roman" w:cs="Times New Roman" w:eastAsia="Times New Roman" w:hint="default"/>
                <w:sz w:val="18"/>
                <w:szCs w:val="18"/>
              </w:rPr>
              <w:t>2</w:t>
            </w:r>
            <w:r>
              <w:rPr>
                <w:rFonts w:ascii="宋体" w:hAnsi="宋体" w:cs="宋体" w:eastAsia="宋体" w:hint="default"/>
                <w:sz w:val="18"/>
                <w:szCs w:val="18"/>
              </w:rPr>
              <w:t>、本方 将善意履行 作为上市公 司股东的义 务，充分尊重 上市公司的 独立法人地 位，保障上市 公司独立经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16992pt;margin-top:72.47998pt;width:62.1pt;height:686.5pt;mso-position-horizontal-relative:page;mso-position-vertical-relative:page;z-index:-1110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6"/>
                      <w:szCs w:val="26"/>
                    </w:rPr>
                  </w:pPr>
                </w:p>
                <w:p>
                  <w:pPr>
                    <w:spacing w:before="0"/>
                    <w:ind w:left="1"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营、自主决</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策。本方将严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格按照中国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《公司法》以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经本方提名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依法履行其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应尽的诚信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和勤勉责任。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、本方以及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本方控股或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（以下统称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本方的关联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将来尽可能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公司发生关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本方及本方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承诺不以借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款、代偿债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务、代垫款项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式占用上市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公司资金，也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不要求上市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公司为本方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及本方的关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违规担保。</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如果上市公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司在今后的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必须与本方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或本方的关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联企业发生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不可避免的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方将促使此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等交易严格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按照国家有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程和上市公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定履行有关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会对关联交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易进行表决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时，本方严格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履行回避表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决的义务；与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法签订协议，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及时进行信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按照正常的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商业条件进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行，且本方及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本方的关联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要求或接受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予比在任何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一项市场公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平交易中第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三者更优惠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不通过关联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交易损害上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他股东的合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法权益。</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本方及本方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将严格和善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意地履行其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251.7pt;mso-position-horizontal-relative:page;mso-position-vertical-relative:page;z-index:-1110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61.480011pt;margin-top:562.659973pt;width:62pt;height:202.85pt;mso-position-horizontal-relative:page;mso-position-vertical-relative:page;z-index:-1110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60004pt;margin-top:562.659973pt;width:55.85pt;height:202.85pt;mso-position-horizontal-relative:page;mso-position-vertical-relative:page;z-index:-1110112" coordorigin="7353,11253" coordsize="1117,4057">
            <v:shape style="position:absolute;left:7353;top:11253;width:1117;height:4057" coordorigin="7353,11253" coordsize="1117,4057" path="m7353,15310l8470,15310,8470,11253,7353,11253,7353,1531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签订的各种</w:t>
            </w:r>
          </w:p>
        </w:tc>
        <w:tc>
          <w:tcPr>
            <w:tcW w:w="1126" w:type="dxa"/>
            <w:vMerge w:val="restart"/>
            <w:tcBorders>
              <w:top w:val="single" w:sz="4" w:space="0" w:color="000000"/>
              <w:left w:val="single" w:sz="4" w:space="0" w:color="000000"/>
              <w:right w:val="single" w:sz="4" w:space="0" w:color="000000"/>
            </w:tcBorders>
          </w:tcPr>
          <w:p>
            <w:pPr>
              <w:pStyle w:val="TableParagraph"/>
              <w:spacing w:line="503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55.85pt;height:251.7pt;mso-position-horizontal-relative:char;mso-position-vertical-relative:line" coordorigin="0,0" coordsize="1117,5034">
                  <v:group style="position:absolute;left:0;top:0;width:1117;height:5034" coordorigin="0,0" coordsize="1117,5034">
                    <v:shape style="position:absolute;left:0;top:0;width:1117;height:5034" coordorigin="0,0" coordsize="1117,5034" path="m0,5033l1116,5033,1116,0,0,0,0,5033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议。本方及本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方的关联企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业将不会向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求任何超出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上述协议规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定以外的利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益或收益。</w:t>
            </w:r>
            <w:r>
              <w:rPr>
                <w:rFonts w:ascii="Times New Roman" w:hAnsi="Times New Roman" w:cs="Times New Roman" w:eastAsia="Times New Roman" w:hint="default"/>
                <w:sz w:val="18"/>
                <w:szCs w:val="18"/>
              </w:rPr>
              <w:t>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承诺给上市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失，本方将向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出赔偿。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、在任职董</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事期间每年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其所持有股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分之二十五；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在离职后半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份。还承诺：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在任职鑫诚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科技董事期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间每年转让 的鑫诚科技</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0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其所持有鑫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诚科技股权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总数的百分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之二十五；在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离职后半年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持有的鑫诚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科技股权。</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争、规范和减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少关联交易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274"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在任职高管 期间每年转 让的公司股 份不超过其 所持有股份 总数的百分 之二十五。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在任职高管 期间每年转 让的公司股 份不超过其 所持有股份 总数的百分 之二十五。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在任职董事 期间每年转 让的公司股 份不超过其 所持有股份 总数的百分 之二十五。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在任职董事 期间每年转 让的公司股 份不超过其 所持有股份 总数的百分 之二十五。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在任职高管 期间每年转 让的公司股 份不超过其 所持有股份 总数的百分 之二十五。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2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在任职高管 期间每年转 让的公司股 份不超过其 所持有股份 总数的百分 之二十五。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5.483002pt;margin-top:72.47998pt;width:98pt;height:187.25pt;mso-position-horizontal-relative:page;mso-position-vertical-relative:page;z-index:-111004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公司承诺：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0" w:right="338" w:firstLine="0"/>
                    <w:jc w:val="center"/>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82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安徽中电兴 发与鑫龙科 技股份有限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 不为激励对 象依据股票 期权激励计 划获取有关 股票期权贷 款以及其他 任何形式的 </w:t>
            </w:r>
            <w:r>
              <w:rPr>
                <w:rFonts w:ascii="宋体" w:hAnsi="宋体" w:cs="宋体" w:eastAsia="宋体" w:hint="default"/>
                <w:spacing w:val="-2"/>
                <w:sz w:val="18"/>
                <w:szCs w:val="18"/>
              </w:rPr>
              <w:t>财务资助，包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括为其贷款 提供担保。</w:t>
            </w:r>
            <w:r>
              <w:rPr>
                <w:rFonts w:ascii="Times New Roman" w:hAnsi="Times New Roman" w:cs="Times New Roman" w:eastAsia="Times New Roman" w:hint="default"/>
                <w:sz w:val="18"/>
                <w:szCs w:val="18"/>
              </w:rPr>
              <w:t>2 </w:t>
            </w:r>
            <w:r>
              <w:rPr>
                <w:rFonts w:ascii="宋体" w:hAnsi="宋体" w:cs="宋体" w:eastAsia="宋体" w:hint="default"/>
                <w:sz w:val="18"/>
                <w:szCs w:val="18"/>
              </w:rPr>
              <w:t>在公司盈利 且现金能够 满足公司持 续经营和长 期发展的前 </w:t>
            </w:r>
            <w:r>
              <w:rPr>
                <w:rFonts w:ascii="宋体" w:hAnsi="宋体" w:cs="宋体" w:eastAsia="宋体" w:hint="default"/>
                <w:spacing w:val="-2"/>
                <w:sz w:val="18"/>
                <w:szCs w:val="18"/>
              </w:rPr>
              <w:t>提下，公司计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划未来三年</w:t>
            </w:r>
          </w:p>
          <w:p>
            <w:pPr>
              <w:pStyle w:val="TableParagraph"/>
              <w:spacing w:line="312" w:lineRule="auto" w:before="19"/>
              <w:ind w:left="22" w:right="-3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）每年以 现金方式累 计分配的利 润不少于该 三年实现的 年均可分配 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74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4"/>
                <w:sz w:val="20"/>
                <w:szCs w:val="20"/>
              </w:rPr>
              <w:pict>
                <v:group style="width:55.85pt;height:187.25pt;mso-position-horizontal-relative:char;mso-position-vertical-relative:line" coordorigin="0,0" coordsize="1117,3745">
                  <v:group style="position:absolute;left:0;top:0;width:1117;height:3745" coordorigin="0,0" coordsize="1117,3745">
                    <v:shape style="position:absolute;left:0;top:0;width:1117;height:3745" coordorigin="0,0" coordsize="1117,3745" path="m0,3744l1116,3744,1116,0,0,0,0,3744xe" filled="true" fillcolor="#ffffff" stroked="false">
                      <v:path arrowok="t"/>
                      <v:fill type="solid"/>
                    </v:shape>
                  </v:group>
                </v:group>
              </w:pict>
            </w:r>
            <w:r>
              <w:rPr>
                <w:rFonts w:ascii="Times New Roman" w:hAnsi="Times New Roman" w:cs="Times New Roman" w:eastAsia="Times New Roman" w:hint="default"/>
                <w:position w:val="-74"/>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74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4"/>
                <w:sz w:val="20"/>
                <w:szCs w:val="20"/>
              </w:rPr>
              <w:pict>
                <v:group style="width:55.85pt;height:187.25pt;mso-position-horizontal-relative:char;mso-position-vertical-relative:line" coordorigin="0,0" coordsize="1117,3745">
                  <v:group style="position:absolute;left:0;top:0;width:1117;height:3745" coordorigin="0,0" coordsize="1117,3745">
                    <v:shape style="position:absolute;left:0;top:0;width:1117;height:3745" coordorigin="0,0" coordsize="1117,3745" path="m0,3744l1116,3744,1116,0,0,0,0,3744xe" filled="true" fillcolor="#ffffff" stroked="false">
                      <v:path arrowok="t"/>
                      <v:fill type="solid"/>
                    </v:shape>
                  </v:group>
                </v:group>
              </w:pict>
            </w:r>
            <w:r>
              <w:rPr>
                <w:rFonts w:ascii="Times New Roman" w:hAnsi="Times New Roman" w:cs="Times New Roman" w:eastAsia="Times New Roman" w:hint="default"/>
                <w:position w:val="-74"/>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5"/>
        <w:ind w:left="154" w:right="1034"/>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1034"/>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4"/>
        <w:spacing w:line="240" w:lineRule="auto"/>
        <w:ind w:right="1034"/>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034"/>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4"/>
        <w:spacing w:line="240" w:lineRule="auto"/>
        <w:ind w:left="154" w:right="1034"/>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4"/>
        <w:spacing w:line="240" w:lineRule="auto"/>
        <w:ind w:left="154" w:right="1034"/>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BodyText"/>
        <w:spacing w:line="240" w:lineRule="auto" w:before="0"/>
        <w:ind w:left="573" w:right="1034"/>
        <w:jc w:val="left"/>
      </w:pPr>
      <w:r>
        <w:rPr>
          <w:color w:val="0000CC"/>
        </w:rPr>
        <w:t>本期纳入合并财务报表范围的子孙公司较上期相比，增加</w:t>
      </w:r>
      <w:r>
        <w:rPr>
          <w:rFonts w:ascii="Times New Roman" w:hAnsi="Times New Roman" w:cs="Times New Roman" w:eastAsia="Times New Roman" w:hint="default"/>
          <w:color w:val="0000CC"/>
        </w:rPr>
        <w:t>6</w:t>
      </w:r>
      <w:r>
        <w:rPr>
          <w:color w:val="0000CC"/>
        </w:rPr>
        <w:t>户，其中：</w:t>
      </w:r>
      <w:r>
        <w:rPr/>
      </w:r>
    </w:p>
    <w:p>
      <w:pPr>
        <w:pStyle w:val="BodyText"/>
        <w:spacing w:line="240" w:lineRule="auto" w:before="21"/>
        <w:ind w:right="1034"/>
        <w:jc w:val="left"/>
      </w:pPr>
      <w:r>
        <w:rPr>
          <w:rFonts w:ascii="宋体" w:hAnsi="宋体" w:cs="宋体" w:eastAsia="宋体" w:hint="default"/>
        </w:rPr>
        <w:t>1.</w:t>
      </w:r>
      <w:r>
        <w:rPr>
          <w:rFonts w:ascii="宋体" w:hAnsi="宋体" w:cs="宋体" w:eastAsia="宋体" w:hint="default"/>
          <w:spacing w:val="44"/>
        </w:rPr>
        <w:t> </w:t>
      </w:r>
      <w:r>
        <w:rPr/>
        <w:t>本期新纳入合并范围的子公司、特殊目的主体、通过受托经营或承租等方式形成控制权的经营实体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安徽杰偌新材料技术有限公司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信诺非凡</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中电兴发机器人技术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安徽鑫龙电器成套有限公司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bl>
    <w:p>
      <w:pPr>
        <w:pStyle w:val="Heading5"/>
        <w:spacing w:line="293" w:lineRule="exact"/>
        <w:ind w:left="154" w:right="1034"/>
        <w:jc w:val="left"/>
      </w:pPr>
      <w:r>
        <w:rPr/>
        <w:t>合并范围变更主体的具体信息详见</w:t>
      </w:r>
      <w:r>
        <w:rPr>
          <w:rFonts w:ascii="Times New Roman" w:hAnsi="Times New Roman" w:cs="Times New Roman" w:eastAsia="Times New Roman" w:hint="default"/>
          <w:color w:val="0000CC"/>
        </w:rPr>
        <w:t>“</w:t>
      </w:r>
      <w:r>
        <w:rPr>
          <w:color w:val="0000CC"/>
        </w:rPr>
        <w:t>第十节、八、合并范围的变更</w:t>
      </w:r>
      <w:r>
        <w:rPr>
          <w:rFonts w:ascii="Times New Roman" w:hAnsi="Times New Roman" w:cs="Times New Roman" w:eastAsia="Times New Roman" w:hint="default"/>
          <w:color w:val="0000CC"/>
        </w:rPr>
        <w:t>”</w:t>
      </w:r>
      <w:r>
        <w:rPr>
          <w:color w:val="0000CC"/>
        </w:rPr>
        <w:t>。</w:t>
      </w:r>
      <w:r>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1"/>
          <w:szCs w:val="21"/>
        </w:rPr>
      </w:pPr>
    </w:p>
    <w:p>
      <w:pPr>
        <w:pStyle w:val="Heading4"/>
        <w:spacing w:line="240" w:lineRule="auto"/>
        <w:ind w:right="1034"/>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李静、吴琳</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328" w:lineRule="auto" w:before="40"/>
        <w:ind w:left="153" w:right="40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报告期内，公司聘请大华会计师事务所（特殊普通合伙）为公司审计会计师事务所。 报告期内，公司聘请华林证券有限责任公司为公司保荐人。</w:t>
      </w:r>
    </w:p>
    <w:p>
      <w:pPr>
        <w:spacing w:after="0" w:line="32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4"/>
        <w:spacing w:line="240" w:lineRule="auto" w:before="26"/>
        <w:ind w:right="1034"/>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4"/>
        <w:spacing w:line="240" w:lineRule="auto"/>
        <w:ind w:right="1034"/>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4"/>
        <w:spacing w:line="240" w:lineRule="auto"/>
        <w:ind w:right="1034"/>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4"/>
        <w:spacing w:line="240" w:lineRule="auto"/>
        <w:ind w:right="1034"/>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4"/>
        <w:spacing w:line="240" w:lineRule="auto"/>
        <w:ind w:right="1034"/>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4"/>
        <w:spacing w:line="240" w:lineRule="auto"/>
        <w:ind w:right="1034"/>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371" w:right="1034" w:hanging="218"/>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经公司董事会申请、深圳证券交易所确认、中国证券登记结算有限责任公司深圳分公司核准登记，公司以</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日</w:t>
      </w:r>
    </w:p>
    <w:p>
      <w:pPr>
        <w:spacing w:line="230" w:lineRule="exact"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为股票期权激励计划首次授予第二个行权期以及预留期权第一个行权期登记日，对本次首次授予提出申请行权的</w:t>
      </w:r>
      <w:r>
        <w:rPr>
          <w:rFonts w:ascii="Times New Roman" w:hAnsi="Times New Roman" w:cs="Times New Roman" w:eastAsia="Times New Roman" w:hint="default"/>
          <w:sz w:val="18"/>
          <w:szCs w:val="18"/>
        </w:rPr>
        <w:t>112</w:t>
      </w:r>
      <w:r>
        <w:rPr>
          <w:rFonts w:ascii="宋体" w:hAnsi="宋体" w:cs="宋体" w:eastAsia="宋体" w:hint="default"/>
          <w:sz w:val="18"/>
          <w:szCs w:val="18"/>
        </w:rPr>
        <w:t>名激励</w:t>
      </w:r>
    </w:p>
    <w:p>
      <w:pPr>
        <w:spacing w:line="300" w:lineRule="auto" w:before="63"/>
        <w:ind w:left="153" w:right="1123" w:firstLine="0"/>
        <w:jc w:val="left"/>
        <w:rPr>
          <w:rFonts w:ascii="宋体" w:hAnsi="宋体" w:cs="宋体" w:eastAsia="宋体" w:hint="default"/>
          <w:sz w:val="18"/>
          <w:szCs w:val="18"/>
        </w:rPr>
      </w:pPr>
      <w:r>
        <w:rPr>
          <w:rFonts w:ascii="宋体" w:hAnsi="宋体" w:cs="宋体" w:eastAsia="宋体" w:hint="default"/>
          <w:sz w:val="18"/>
          <w:szCs w:val="18"/>
        </w:rPr>
        <w:t>对象的</w:t>
      </w:r>
      <w:r>
        <w:rPr>
          <w:rFonts w:ascii="Times New Roman" w:hAnsi="Times New Roman" w:cs="Times New Roman" w:eastAsia="Times New Roman" w:hint="default"/>
          <w:sz w:val="18"/>
          <w:szCs w:val="18"/>
        </w:rPr>
        <w:t>702.20</w:t>
      </w:r>
      <w:r>
        <w:rPr>
          <w:rFonts w:ascii="宋体" w:hAnsi="宋体" w:cs="宋体" w:eastAsia="宋体" w:hint="default"/>
          <w:sz w:val="18"/>
          <w:szCs w:val="18"/>
        </w:rPr>
        <w:t>万份以及预留期权提出申请行权的</w:t>
      </w:r>
      <w:r>
        <w:rPr>
          <w:rFonts w:ascii="Times New Roman" w:hAnsi="Times New Roman" w:cs="Times New Roman" w:eastAsia="Times New Roman" w:hint="default"/>
          <w:sz w:val="18"/>
          <w:szCs w:val="18"/>
        </w:rPr>
        <w:t>25</w:t>
      </w:r>
      <w:r>
        <w:rPr>
          <w:rFonts w:ascii="宋体" w:hAnsi="宋体" w:cs="宋体" w:eastAsia="宋体" w:hint="default"/>
          <w:sz w:val="18"/>
          <w:szCs w:val="18"/>
        </w:rPr>
        <w:t>名激励对象的</w:t>
      </w:r>
      <w:r>
        <w:rPr>
          <w:rFonts w:ascii="Times New Roman" w:hAnsi="Times New Roman" w:cs="Times New Roman" w:eastAsia="Times New Roman" w:hint="default"/>
          <w:sz w:val="18"/>
          <w:szCs w:val="18"/>
        </w:rPr>
        <w:t>51</w:t>
      </w:r>
      <w:r>
        <w:rPr>
          <w:rFonts w:ascii="宋体" w:hAnsi="宋体" w:cs="宋体" w:eastAsia="宋体" w:hint="default"/>
          <w:sz w:val="18"/>
          <w:szCs w:val="18"/>
        </w:rPr>
        <w:t>万份股票期权予以行权</w:t>
      </w:r>
      <w:r>
        <w:rPr>
          <w:rFonts w:ascii="Times New Roman" w:hAnsi="Times New Roman" w:cs="Times New Roman" w:eastAsia="Times New Roman" w:hint="default"/>
          <w:sz w:val="18"/>
          <w:szCs w:val="18"/>
        </w:rPr>
        <w:t>,</w:t>
      </w:r>
      <w:r>
        <w:rPr>
          <w:rFonts w:ascii="宋体" w:hAnsi="宋体" w:cs="宋体" w:eastAsia="宋体" w:hint="default"/>
          <w:sz w:val="18"/>
          <w:szCs w:val="18"/>
        </w:rPr>
        <w:t>故本次对集体提出申请行权的</w:t>
      </w:r>
      <w:r>
        <w:rPr>
          <w:rFonts w:ascii="Times New Roman" w:hAnsi="Times New Roman" w:cs="Times New Roman" w:eastAsia="Times New Roman" w:hint="default"/>
          <w:sz w:val="18"/>
          <w:szCs w:val="18"/>
        </w:rPr>
        <w:t>137 </w:t>
      </w:r>
      <w:r>
        <w:rPr>
          <w:rFonts w:ascii="宋体" w:hAnsi="宋体" w:cs="宋体" w:eastAsia="宋体" w:hint="default"/>
          <w:sz w:val="18"/>
          <w:szCs w:val="18"/>
        </w:rPr>
        <w:t>名激励对象的</w:t>
      </w:r>
      <w:r>
        <w:rPr>
          <w:rFonts w:ascii="Times New Roman" w:hAnsi="Times New Roman" w:cs="Times New Roman" w:eastAsia="Times New Roman" w:hint="default"/>
          <w:sz w:val="18"/>
          <w:szCs w:val="18"/>
        </w:rPr>
        <w:t>753.20</w:t>
      </w:r>
      <w:r>
        <w:rPr>
          <w:rFonts w:ascii="宋体" w:hAnsi="宋体" w:cs="宋体" w:eastAsia="宋体" w:hint="default"/>
          <w:sz w:val="18"/>
          <w:szCs w:val="18"/>
        </w:rPr>
        <w:t>万份股票期权予以行权。本次行权股份的上市时间为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p>
      <w:pPr>
        <w:spacing w:line="240" w:lineRule="auto" w:before="4"/>
        <w:rPr>
          <w:rFonts w:ascii="宋体" w:hAnsi="宋体" w:cs="宋体" w:eastAsia="宋体" w:hint="default"/>
          <w:sz w:val="20"/>
          <w:szCs w:val="20"/>
        </w:rPr>
      </w:pPr>
    </w:p>
    <w:p>
      <w:pPr>
        <w:pStyle w:val="Heading4"/>
        <w:spacing w:line="240" w:lineRule="auto"/>
        <w:ind w:right="1034"/>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6"/>
        <w:spacing w:line="240" w:lineRule="auto"/>
        <w:ind w:right="1034"/>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1034"/>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pStyle w:val="Heading6"/>
        <w:spacing w:line="240" w:lineRule="auto"/>
        <w:ind w:right="1034"/>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6"/>
        <w:spacing w:line="240" w:lineRule="auto"/>
        <w:ind w:right="1034"/>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4"/>
        <w:spacing w:line="240" w:lineRule="auto"/>
        <w:ind w:right="1034"/>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6"/>
        <w:spacing w:line="240" w:lineRule="auto"/>
        <w:ind w:right="1034"/>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6"/>
        <w:spacing w:line="240" w:lineRule="auto"/>
        <w:ind w:left="154" w:right="1034"/>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2"/>
        <w:rPr>
          <w:rFonts w:ascii="宋体" w:hAnsi="宋体" w:cs="宋体" w:eastAsia="宋体" w:hint="default"/>
          <w:sz w:val="20"/>
          <w:szCs w:val="20"/>
        </w:rPr>
      </w:pPr>
    </w:p>
    <w:p>
      <w:pPr>
        <w:pStyle w:val="Heading6"/>
        <w:spacing w:line="240" w:lineRule="auto"/>
        <w:ind w:right="1034"/>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11"/>
        <w:gridCol w:w="939"/>
        <w:gridCol w:w="1296"/>
        <w:gridCol w:w="1058"/>
        <w:gridCol w:w="1029"/>
        <w:gridCol w:w="1061"/>
        <w:gridCol w:w="786"/>
        <w:gridCol w:w="780"/>
      </w:tblGrid>
      <w:tr>
        <w:trPr>
          <w:trHeight w:val="358"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1" w:type="dxa"/>
            <w:vMerge w:val="restart"/>
            <w:tcBorders>
              <w:top w:val="single" w:sz="4" w:space="0" w:color="000000"/>
              <w:left w:val="single" w:sz="4" w:space="0" w:color="000000"/>
              <w:right w:val="single" w:sz="5" w:space="0" w:color="000000"/>
            </w:tcBorders>
            <w:shd w:val="clear" w:color="auto" w:fill="D2D2D2"/>
          </w:tcPr>
          <w:p>
            <w:pPr>
              <w:pStyle w:val="TableParagraph"/>
              <w:spacing w:line="319" w:lineRule="auto" w:before="10"/>
              <w:ind w:left="93" w:right="84"/>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39" w:type="dxa"/>
            <w:vMerge w:val="restart"/>
            <w:tcBorders>
              <w:top w:val="single" w:sz="4" w:space="0" w:color="000000"/>
              <w:left w:val="single" w:sz="5" w:space="0" w:color="000000"/>
              <w:right w:val="single" w:sz="4" w:space="0" w:color="000000"/>
            </w:tcBorders>
            <w:shd w:val="clear" w:color="auto" w:fill="D2D2D2"/>
          </w:tcPr>
          <w:p>
            <w:pPr/>
          </w:p>
        </w:tc>
        <w:tc>
          <w:tcPr>
            <w:tcW w:w="12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sz w:val="18"/>
                <w:szCs w:val="18"/>
              </w:rPr>
              <w:t>额</w:t>
            </w: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317"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5" w:space="0" w:color="000000"/>
            </w:tcBorders>
            <w:shd w:val="clear" w:color="auto" w:fill="D2D2D2"/>
          </w:tcPr>
          <w:p>
            <w:pPr/>
          </w:p>
        </w:tc>
        <w:tc>
          <w:tcPr>
            <w:tcW w:w="939" w:type="dxa"/>
            <w:vMerge/>
            <w:tcBorders>
              <w:left w:val="single" w:sz="5" w:space="0" w:color="000000"/>
              <w:bottom w:val="single" w:sz="4" w:space="0" w:color="000000"/>
              <w:right w:val="single" w:sz="4" w:space="0" w:color="000000"/>
            </w:tcBorders>
            <w:shd w:val="clear" w:color="auto" w:fill="D2D2D2"/>
          </w:tcPr>
          <w:p>
            <w:pPr/>
          </w:p>
        </w:tc>
        <w:tc>
          <w:tcPr>
            <w:tcW w:w="1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5" w:type="dxa"/>
            <w:gridSpan w:val="2"/>
            <w:tcBorders>
              <w:top w:val="single" w:sz="4" w:space="0" w:color="000000"/>
              <w:left w:val="single" w:sz="13" w:space="0" w:color="D2D2D2"/>
              <w:bottom w:val="single" w:sz="4" w:space="0" w:color="000000"/>
              <w:right w:val="single" w:sz="13" w:space="0" w:color="D2D2D2"/>
            </w:tcBorders>
          </w:tcPr>
          <w:p>
            <w:pP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5" w:type="dxa"/>
            <w:gridSpan w:val="2"/>
            <w:tcBorders>
              <w:top w:val="single" w:sz="4" w:space="0" w:color="000000"/>
              <w:left w:val="single" w:sz="13" w:space="0" w:color="D2D2D2"/>
              <w:bottom w:val="single" w:sz="4" w:space="0" w:color="000000"/>
              <w:right w:val="single" w:sz="13" w:space="0" w:color="D2D2D2"/>
            </w:tcBorders>
          </w:tcPr>
          <w:p>
            <w:pP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0"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9" w:type="dxa"/>
            <w:vMerge w:val="restart"/>
            <w:tcBorders>
              <w:top w:val="single" w:sz="4" w:space="0" w:color="000000"/>
              <w:left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39" w:type="dxa"/>
            <w:vMerge/>
            <w:tcBorders>
              <w:left w:val="single" w:sz="4" w:space="0" w:color="000000"/>
              <w:bottom w:val="nil" w:sz="6" w:space="0" w:color="auto"/>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9"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29"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3"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1" w:type="dxa"/>
            <w:vMerge/>
            <w:tcBorders>
              <w:left w:val="single" w:sz="4" w:space="0" w:color="000000"/>
              <w:right w:val="single" w:sz="4" w:space="0" w:color="000000"/>
            </w:tcBorders>
            <w:shd w:val="clear" w:color="auto" w:fill="D2D2D2"/>
          </w:tcPr>
          <w:p>
            <w:pPr/>
          </w:p>
        </w:tc>
        <w:tc>
          <w:tcPr>
            <w:tcW w:w="9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vMerge/>
            <w:tcBorders>
              <w:left w:val="single" w:sz="4" w:space="0" w:color="000000"/>
              <w:right w:val="single" w:sz="4" w:space="0" w:color="000000"/>
            </w:tcBorders>
            <w:shd w:val="clear" w:color="auto" w:fill="D2D2D2"/>
          </w:tcPr>
          <w:p>
            <w:pPr/>
          </w:p>
        </w:tc>
        <w:tc>
          <w:tcPr>
            <w:tcW w:w="1058" w:type="dxa"/>
            <w:vMerge/>
            <w:tcBorders>
              <w:left w:val="single" w:sz="4" w:space="0" w:color="000000"/>
              <w:right w:val="single" w:sz="4" w:space="0" w:color="000000"/>
            </w:tcBorders>
            <w:shd w:val="clear" w:color="auto" w:fill="D2D2D2"/>
          </w:tcPr>
          <w:p>
            <w:pPr/>
          </w:p>
        </w:tc>
        <w:tc>
          <w:tcPr>
            <w:tcW w:w="1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39" w:type="dxa"/>
            <w:vMerge w:val="restart"/>
            <w:tcBorders>
              <w:top w:val="nil" w:sz="6" w:space="0" w:color="auto"/>
              <w:left w:val="single" w:sz="4" w:space="0" w:color="000000"/>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c>
          <w:tcPr>
            <w:tcW w:w="939" w:type="dxa"/>
            <w:vMerge/>
            <w:tcBorders>
              <w:left w:val="single" w:sz="4" w:space="0" w:color="000000"/>
              <w:bottom w:val="single" w:sz="4" w:space="0" w:color="000000"/>
              <w:right w:val="single" w:sz="4" w:space="0" w:color="000000"/>
            </w:tcBorders>
            <w:shd w:val="clear" w:color="auto" w:fill="D2D2D2"/>
          </w:tcPr>
          <w:p>
            <w:pPr/>
          </w:p>
        </w:tc>
        <w:tc>
          <w:tcPr>
            <w:tcW w:w="1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安徽森源电器有限公 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安徽森源电器有限公 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安徽森源电器有限公 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安徽鑫龙低压电器有 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安徽鑫龙低压电器有 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安徽鑫龙低压电器有 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安徽鑫龙低压电器有 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安徽鑫龙自动化有限 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安徽鑫龙自动化有限 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安徽鑫龙自动化有限 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安徽鑫龙自动化有限 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安徽佑赛科技有限公 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709"/>
        <w:gridCol w:w="897"/>
        <w:gridCol w:w="937"/>
        <w:gridCol w:w="1302"/>
        <w:gridCol w:w="1032"/>
        <w:gridCol w:w="1060"/>
        <w:gridCol w:w="1063"/>
        <w:gridCol w:w="775"/>
        <w:gridCol w:w="790"/>
      </w:tblGrid>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3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0"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9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vMerge/>
            <w:tcBorders>
              <w:left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32" w:type="dxa"/>
            <w:vMerge/>
            <w:tcBorders>
              <w:left w:val="single" w:sz="4" w:space="0" w:color="000000"/>
              <w:right w:val="single" w:sz="4" w:space="0" w:color="000000"/>
            </w:tcBorders>
            <w:shd w:val="clear" w:color="auto" w:fill="D2D2D2"/>
          </w:tcPr>
          <w:p>
            <w:pP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5"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32" w:type="dxa"/>
            <w:vMerge/>
            <w:tcBorders>
              <w:left w:val="single" w:sz="4" w:space="0" w:color="000000"/>
              <w:bottom w:val="nil" w:sz="6" w:space="0" w:color="auto"/>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8,400</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6"/>
        <w:spacing w:line="240" w:lineRule="auto"/>
        <w:ind w:left="154" w:right="1034"/>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6"/>
        <w:spacing w:line="240" w:lineRule="auto"/>
        <w:ind w:right="1034"/>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4"/>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2"/>
        <w:rPr>
          <w:rFonts w:ascii="宋体" w:hAnsi="宋体" w:cs="宋体" w:eastAsia="宋体" w:hint="default"/>
          <w:sz w:val="20"/>
          <w:szCs w:val="20"/>
        </w:rPr>
      </w:pPr>
    </w:p>
    <w:p>
      <w:pPr>
        <w:pStyle w:val="Heading6"/>
        <w:spacing w:line="240" w:lineRule="auto"/>
        <w:ind w:right="1034"/>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6"/>
        <w:spacing w:line="240" w:lineRule="auto"/>
        <w:ind w:right="1034"/>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034" w:firstLine="0"/>
        <w:jc w:val="left"/>
        <w:rPr>
          <w:rFonts w:ascii="宋体" w:hAnsi="宋体" w:cs="宋体" w:eastAsia="宋体" w:hint="default"/>
          <w:sz w:val="18"/>
          <w:szCs w:val="18"/>
        </w:rPr>
      </w:pPr>
      <w:r>
        <w:rPr>
          <w:rFonts w:ascii="宋体" w:hAnsi="宋体" w:cs="宋体" w:eastAsia="宋体" w:hint="default"/>
          <w:sz w:val="18"/>
          <w:szCs w:val="18"/>
        </w:rPr>
        <w:t>公司报告期不存在其他重大合同。</w:t>
      </w:r>
    </w:p>
    <w:p>
      <w:pPr>
        <w:spacing w:line="240" w:lineRule="auto" w:before="13"/>
        <w:rPr>
          <w:rFonts w:ascii="宋体" w:hAnsi="宋体" w:cs="宋体" w:eastAsia="宋体" w:hint="default"/>
          <w:sz w:val="24"/>
          <w:szCs w:val="24"/>
        </w:rPr>
      </w:pPr>
    </w:p>
    <w:p>
      <w:pPr>
        <w:pStyle w:val="Heading4"/>
        <w:spacing w:line="240" w:lineRule="auto"/>
        <w:ind w:right="1034"/>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3" w:right="1034" w:firstLine="217"/>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日，公司第六届董事会第十九次会议审议通过了《关于以子公司股权质押申请银行并购贷款的议案》，</w:t>
      </w:r>
      <w:r>
        <w:rPr>
          <w:rFonts w:ascii="宋体" w:hAnsi="宋体" w:cs="宋体" w:eastAsia="宋体" w:hint="default"/>
          <w:sz w:val="18"/>
          <w:szCs w:val="18"/>
        </w:rPr>
        <w:t> 同意公司以持有的中电兴发</w:t>
      </w:r>
      <w:r>
        <w:rPr>
          <w:rFonts w:ascii="Times New Roman" w:hAnsi="Times New Roman" w:cs="Times New Roman" w:eastAsia="Times New Roman" w:hint="default"/>
          <w:sz w:val="18"/>
          <w:szCs w:val="18"/>
        </w:rPr>
        <w:t>50%</w:t>
      </w:r>
      <w:r>
        <w:rPr>
          <w:rFonts w:ascii="宋体" w:hAnsi="宋体" w:cs="宋体" w:eastAsia="宋体" w:hint="default"/>
          <w:sz w:val="18"/>
          <w:szCs w:val="18"/>
        </w:rPr>
        <w:t>的股权进行质押向招商银行芜湖分行（以下简称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招行</w:t>
      </w:r>
      <w:r>
        <w:rPr>
          <w:rFonts w:ascii="Times New Roman" w:hAnsi="Times New Roman" w:cs="Times New Roman" w:eastAsia="Times New Roman" w:hint="default"/>
          <w:sz w:val="18"/>
          <w:szCs w:val="18"/>
        </w:rPr>
        <w:t>”</w:t>
      </w:r>
      <w:r>
        <w:rPr>
          <w:rFonts w:ascii="宋体" w:hAnsi="宋体" w:cs="宋体" w:eastAsia="宋体" w:hint="default"/>
          <w:sz w:val="18"/>
          <w:szCs w:val="18"/>
        </w:rPr>
        <w:t>）申请银行并购贷款，贷款金额不超 过</w:t>
      </w:r>
      <w:r>
        <w:rPr>
          <w:rFonts w:ascii="Times New Roman" w:hAnsi="Times New Roman" w:cs="Times New Roman" w:eastAsia="Times New Roman" w:hint="default"/>
          <w:sz w:val="18"/>
          <w:szCs w:val="18"/>
        </w:rPr>
        <w:t>15,000</w:t>
      </w:r>
      <w:r>
        <w:rPr>
          <w:rFonts w:ascii="宋体" w:hAnsi="宋体" w:cs="宋体" w:eastAsia="宋体" w:hint="default"/>
          <w:sz w:val="18"/>
          <w:szCs w:val="18"/>
        </w:rPr>
        <w:t>万元，贷款期限为</w:t>
      </w:r>
      <w:r>
        <w:rPr>
          <w:rFonts w:ascii="Times New Roman" w:hAnsi="Times New Roman" w:cs="Times New Roman" w:eastAsia="Times New Roman" w:hint="default"/>
          <w:sz w:val="18"/>
          <w:szCs w:val="18"/>
        </w:rPr>
        <w:t>3</w:t>
      </w:r>
      <w:r>
        <w:rPr>
          <w:rFonts w:ascii="宋体" w:hAnsi="宋体" w:cs="宋体" w:eastAsia="宋体" w:hint="default"/>
          <w:sz w:val="18"/>
          <w:szCs w:val="18"/>
        </w:rPr>
        <w:t>年。公司已于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日与招行签订了《并购借款合同》</w:t>
      </w:r>
      <w:r>
        <w:rPr>
          <w:rFonts w:ascii="Times New Roman" w:hAnsi="Times New Roman" w:cs="Times New Roman" w:eastAsia="Times New Roman" w:hint="default"/>
          <w:sz w:val="18"/>
          <w:szCs w:val="18"/>
        </w:rPr>
        <w:t>,</w:t>
      </w:r>
      <w:r>
        <w:rPr>
          <w:rFonts w:ascii="宋体" w:hAnsi="宋体" w:cs="宋体" w:eastAsia="宋体" w:hint="default"/>
          <w:sz w:val="18"/>
          <w:szCs w:val="18"/>
        </w:rPr>
        <w:t>借款金额为人民币</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15,000</w:t>
      </w:r>
      <w:r>
        <w:rPr>
          <w:rFonts w:ascii="宋体" w:hAnsi="宋体" w:cs="宋体" w:eastAsia="宋体" w:hint="default"/>
          <w:sz w:val="18"/>
          <w:szCs w:val="18"/>
        </w:rPr>
        <w:t>万元</w:t>
      </w:r>
      <w:r>
        <w:rPr>
          <w:rFonts w:ascii="Times New Roman" w:hAnsi="Times New Roman" w:cs="Times New Roman" w:eastAsia="Times New Roman" w:hint="default"/>
          <w:sz w:val="18"/>
          <w:szCs w:val="18"/>
        </w:rPr>
        <w:t>, </w:t>
      </w:r>
      <w:r>
        <w:rPr>
          <w:rFonts w:ascii="宋体" w:hAnsi="宋体" w:cs="宋体" w:eastAsia="宋体" w:hint="default"/>
          <w:sz w:val="18"/>
          <w:szCs w:val="18"/>
        </w:rPr>
        <w:t>期限为 </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个月。根据《并购借款合同》的相关要求</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公司已于近日完成将中电兴发</w:t>
      </w:r>
      <w:r>
        <w:rPr>
          <w:rFonts w:ascii="宋体" w:hAnsi="宋体" w:cs="宋体" w:eastAsia="宋体" w:hint="default"/>
          <w:spacing w:val="-38"/>
          <w:sz w:val="18"/>
          <w:szCs w:val="18"/>
        </w:rPr>
        <w:t> </w:t>
      </w:r>
      <w:r>
        <w:rPr>
          <w:rFonts w:ascii="宋体" w:hAnsi="宋体" w:cs="宋体" w:eastAsia="宋体" w:hint="default"/>
          <w:sz w:val="18"/>
          <w:szCs w:val="18"/>
        </w:rPr>
        <w:t>的股权出质给招行的相关质押手续</w:t>
      </w:r>
      <w:r>
        <w:rPr>
          <w:rFonts w:ascii="Times New Roman" w:hAnsi="Times New Roman" w:cs="Times New Roman" w:eastAsia="Times New Roman" w:hint="default"/>
          <w:sz w:val="18"/>
          <w:szCs w:val="18"/>
        </w:rPr>
        <w:t>,</w:t>
      </w:r>
      <w:r>
        <w:rPr>
          <w:rFonts w:ascii="宋体" w:hAnsi="宋体" w:cs="宋体" w:eastAsia="宋体" w:hint="default"/>
          <w:sz w:val="18"/>
          <w:szCs w:val="18"/>
        </w:rPr>
        <w:t>并收 到北京市工商行政管理局海淀分局出具的《公司股权出质准予设立登记通知书》</w:t>
      </w:r>
      <w:r>
        <w:rPr>
          <w:rFonts w:ascii="Times New Roman" w:hAnsi="Times New Roman" w:cs="Times New Roman" w:eastAsia="Times New Roman" w:hint="default"/>
          <w:sz w:val="18"/>
          <w:szCs w:val="18"/>
        </w:rPr>
        <w:t>,</w:t>
      </w:r>
      <w:r>
        <w:rPr>
          <w:rFonts w:ascii="宋体" w:hAnsi="宋体" w:cs="宋体" w:eastAsia="宋体" w:hint="default"/>
          <w:sz w:val="18"/>
          <w:szCs w:val="18"/>
        </w:rPr>
        <w:t>出质股权的数额为</w:t>
      </w:r>
      <w:r>
        <w:rPr>
          <w:rFonts w:ascii="Times New Roman" w:hAnsi="Times New Roman" w:cs="Times New Roman" w:eastAsia="Times New Roman" w:hint="default"/>
          <w:sz w:val="18"/>
          <w:szCs w:val="18"/>
        </w:rPr>
        <w:t>2,689.685</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股权质押 登记日为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该股权质押期限自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日至上述借款合同履约完毕为止。</w:t>
      </w:r>
    </w:p>
    <w:p>
      <w:pPr>
        <w:spacing w:line="300" w:lineRule="auto" w:before="13"/>
        <w:ind w:left="153" w:right="1034" w:firstLine="21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21</w:t>
      </w:r>
      <w:r>
        <w:rPr>
          <w:rFonts w:ascii="宋体" w:hAnsi="宋体" w:cs="宋体" w:eastAsia="宋体" w:hint="default"/>
          <w:spacing w:val="-6"/>
          <w:sz w:val="18"/>
          <w:szCs w:val="18"/>
        </w:rPr>
        <w:t>日，公司第六届董事会第十九次会议审议通过了《关于为公司的并购贷款提供子公司股权质押的议案》，</w:t>
      </w:r>
      <w:r>
        <w:rPr>
          <w:rFonts w:ascii="宋体" w:hAnsi="宋体" w:cs="宋体" w:eastAsia="宋体" w:hint="default"/>
          <w:sz w:val="18"/>
          <w:szCs w:val="18"/>
        </w:rPr>
        <w:t> 同意公司以持有的苏二开</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的股权进行质押，为向芜湖扬子农村商业银行（以下简称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扬子银行</w:t>
      </w:r>
      <w:r>
        <w:rPr>
          <w:rFonts w:ascii="Times New Roman" w:hAnsi="Times New Roman" w:cs="Times New Roman" w:eastAsia="Times New Roman" w:hint="default"/>
          <w:sz w:val="18"/>
          <w:szCs w:val="18"/>
        </w:rPr>
        <w:t>”</w:t>
      </w:r>
      <w:r>
        <w:rPr>
          <w:rFonts w:ascii="宋体" w:hAnsi="宋体" w:cs="宋体" w:eastAsia="宋体" w:hint="default"/>
          <w:sz w:val="18"/>
          <w:szCs w:val="18"/>
        </w:rPr>
        <w:t>）申请的银行并购贷款提 供担保，贷款金额不超过</w:t>
      </w:r>
      <w:r>
        <w:rPr>
          <w:rFonts w:ascii="Times New Roman" w:hAnsi="Times New Roman" w:cs="Times New Roman" w:eastAsia="Times New Roman" w:hint="default"/>
          <w:sz w:val="18"/>
          <w:szCs w:val="18"/>
        </w:rPr>
        <w:t>12,000</w:t>
      </w:r>
      <w:r>
        <w:rPr>
          <w:rFonts w:ascii="宋体" w:hAnsi="宋体" w:cs="宋体" w:eastAsia="宋体" w:hint="default"/>
          <w:sz w:val="18"/>
          <w:szCs w:val="18"/>
        </w:rPr>
        <w:t>万元，贷款期限为</w:t>
      </w:r>
      <w:r>
        <w:rPr>
          <w:rFonts w:ascii="Times New Roman" w:hAnsi="Times New Roman" w:cs="Times New Roman" w:eastAsia="Times New Roman" w:hint="default"/>
          <w:sz w:val="18"/>
          <w:szCs w:val="18"/>
        </w:rPr>
        <w:t>5</w:t>
      </w:r>
      <w:r>
        <w:rPr>
          <w:rFonts w:ascii="宋体" w:hAnsi="宋体" w:cs="宋体" w:eastAsia="宋体" w:hint="default"/>
          <w:sz w:val="18"/>
          <w:szCs w:val="18"/>
        </w:rPr>
        <w:t>年。公司已于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日分别与扬子银行签订了《固定资 产借款合同》</w:t>
      </w:r>
      <w:r>
        <w:rPr>
          <w:rFonts w:ascii="Times New Roman" w:hAnsi="Times New Roman" w:cs="Times New Roman" w:eastAsia="Times New Roman" w:hint="default"/>
          <w:sz w:val="18"/>
          <w:szCs w:val="18"/>
        </w:rPr>
        <w:t>,</w:t>
      </w:r>
      <w:r>
        <w:rPr>
          <w:rFonts w:ascii="宋体" w:hAnsi="宋体" w:cs="宋体" w:eastAsia="宋体" w:hint="default"/>
          <w:sz w:val="18"/>
          <w:szCs w:val="18"/>
        </w:rPr>
        <w:t>借款金额均为人民币 </w:t>
      </w:r>
      <w:r>
        <w:rPr>
          <w:rFonts w:ascii="Times New Roman" w:hAnsi="Times New Roman" w:cs="Times New Roman" w:eastAsia="Times New Roman" w:hint="default"/>
          <w:sz w:val="18"/>
          <w:szCs w:val="18"/>
        </w:rPr>
        <w:t>6,000</w:t>
      </w:r>
      <w:r>
        <w:rPr>
          <w:rFonts w:ascii="宋体" w:hAnsi="宋体" w:cs="宋体" w:eastAsia="宋体" w:hint="default"/>
          <w:sz w:val="18"/>
          <w:szCs w:val="18"/>
        </w:rPr>
        <w:t>万元整</w:t>
      </w:r>
      <w:r>
        <w:rPr>
          <w:rFonts w:ascii="Times New Roman" w:hAnsi="Times New Roman" w:cs="Times New Roman" w:eastAsia="Times New Roman" w:hint="default"/>
          <w:sz w:val="18"/>
          <w:szCs w:val="18"/>
        </w:rPr>
        <w:t>,</w:t>
      </w:r>
      <w:r>
        <w:rPr>
          <w:rFonts w:ascii="宋体" w:hAnsi="宋体" w:cs="宋体" w:eastAsia="宋体" w:hint="default"/>
          <w:sz w:val="18"/>
          <w:szCs w:val="18"/>
        </w:rPr>
        <w:t>总计</w:t>
      </w:r>
      <w:r>
        <w:rPr>
          <w:rFonts w:ascii="Times New Roman" w:hAnsi="Times New Roman" w:cs="Times New Roman" w:eastAsia="Times New Roman" w:hint="default"/>
          <w:sz w:val="18"/>
          <w:szCs w:val="18"/>
        </w:rPr>
        <w:t>12,000</w:t>
      </w:r>
      <w:r>
        <w:rPr>
          <w:rFonts w:ascii="宋体" w:hAnsi="宋体" w:cs="宋体" w:eastAsia="宋体" w:hint="default"/>
          <w:sz w:val="18"/>
          <w:szCs w:val="18"/>
        </w:rPr>
        <w:t>万元整，期限为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个月。根据《固定资产借款合同》的相关要 </w:t>
      </w:r>
      <w:r>
        <w:rPr>
          <w:rFonts w:ascii="宋体" w:hAnsi="宋体" w:cs="宋体" w:eastAsia="宋体" w:hint="default"/>
          <w:spacing w:val="-3"/>
          <w:sz w:val="18"/>
          <w:szCs w:val="18"/>
        </w:rPr>
        <w:t>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公司已完成将苏二开</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的股权出质给扬子银行的相关质押手续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并收到苏州高新区（虎丘区）市场监督管理局出具的《公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司股权出质准予设立登记通知书》</w:t>
      </w:r>
      <w:r>
        <w:rPr>
          <w:rFonts w:ascii="Times New Roman" w:hAnsi="Times New Roman" w:cs="Times New Roman" w:eastAsia="Times New Roman" w:hint="default"/>
          <w:sz w:val="18"/>
          <w:szCs w:val="18"/>
        </w:rPr>
        <w:t>,</w:t>
      </w:r>
      <w:r>
        <w:rPr>
          <w:rFonts w:ascii="宋体" w:hAnsi="宋体" w:cs="宋体" w:eastAsia="宋体" w:hint="default"/>
          <w:sz w:val="18"/>
          <w:szCs w:val="18"/>
        </w:rPr>
        <w:t>出质股权的数额为</w:t>
      </w:r>
      <w:r>
        <w:rPr>
          <w:rFonts w:ascii="Times New Roman" w:hAnsi="Times New Roman" w:cs="Times New Roman" w:eastAsia="Times New Roman" w:hint="default"/>
          <w:sz w:val="18"/>
          <w:szCs w:val="18"/>
        </w:rPr>
        <w:t>3,640</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股权质押登记日为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该股权质押期限自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日至上述借款合同履约完毕为止。</w:t>
      </w:r>
    </w:p>
    <w:p>
      <w:pPr>
        <w:spacing w:line="302" w:lineRule="auto" w:before="13"/>
        <w:ind w:left="153" w:right="1042" w:firstLine="2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月，根据</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日，公司第六届董事会第八次会议审议通过了《关于部分变更募集资金投向暨收购 资产的议案》，并于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年第二次临时股东大会审议通过。公司披露的《关于部分变更募集资金投向 </w:t>
      </w:r>
      <w:r>
        <w:rPr>
          <w:rFonts w:ascii="宋体" w:hAnsi="宋体" w:cs="宋体" w:eastAsia="宋体" w:hint="default"/>
          <w:spacing w:val="-3"/>
          <w:sz w:val="18"/>
          <w:szCs w:val="18"/>
        </w:rPr>
        <w:t>暨收购资产公告》（编号：</w:t>
      </w:r>
      <w:r>
        <w:rPr>
          <w:rFonts w:ascii="Times New Roman" w:hAnsi="Times New Roman" w:cs="Times New Roman" w:eastAsia="Times New Roman" w:hint="default"/>
          <w:spacing w:val="-3"/>
          <w:sz w:val="18"/>
          <w:szCs w:val="18"/>
        </w:rPr>
        <w:t>2014-031</w:t>
      </w:r>
      <w:r>
        <w:rPr>
          <w:rFonts w:ascii="宋体" w:hAnsi="宋体" w:cs="宋体" w:eastAsia="宋体" w:hint="default"/>
          <w:spacing w:val="-3"/>
          <w:sz w:val="18"/>
          <w:szCs w:val="18"/>
        </w:rPr>
        <w:t>）。承诺收购完成后，若泰达设计在</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年度经审计的净利润（指公司聘请的具有证券、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期货业务资格的会计师事务所审计的泰达设计合并报表中归属于泰达设计所有者的净利润，该净利润以扣除非经常性损益前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后孰低者为准）超过</w:t>
      </w:r>
      <w:r>
        <w:rPr>
          <w:rFonts w:ascii="Times New Roman" w:hAnsi="Times New Roman" w:cs="Times New Roman" w:eastAsia="Times New Roman" w:hint="default"/>
          <w:spacing w:val="-2"/>
          <w:sz w:val="18"/>
          <w:szCs w:val="18"/>
        </w:rPr>
        <w:t>2,019.76</w:t>
      </w:r>
      <w:r>
        <w:rPr>
          <w:rFonts w:ascii="宋体" w:hAnsi="宋体" w:cs="宋体" w:eastAsia="宋体" w:hint="default"/>
          <w:spacing w:val="-2"/>
          <w:sz w:val="18"/>
          <w:szCs w:val="18"/>
        </w:rPr>
        <w:t>万元，或</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年及</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年经审计的两年累计净利润超过</w:t>
      </w:r>
      <w:r>
        <w:rPr>
          <w:rFonts w:ascii="Times New Roman" w:hAnsi="Times New Roman" w:cs="Times New Roman" w:eastAsia="Times New Roman" w:hint="default"/>
          <w:spacing w:val="-2"/>
          <w:sz w:val="18"/>
          <w:szCs w:val="18"/>
        </w:rPr>
        <w:t>4,042.88</w:t>
      </w:r>
      <w:r>
        <w:rPr>
          <w:rFonts w:ascii="宋体" w:hAnsi="宋体" w:cs="宋体" w:eastAsia="宋体" w:hint="default"/>
          <w:spacing w:val="-2"/>
          <w:sz w:val="18"/>
          <w:szCs w:val="18"/>
        </w:rPr>
        <w:t>万元，达到上述条件后，公司同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意在审计报告出具之日起</w:t>
      </w:r>
      <w:r>
        <w:rPr>
          <w:rFonts w:ascii="Times New Roman" w:hAnsi="Times New Roman" w:cs="Times New Roman" w:eastAsia="Times New Roman" w:hint="default"/>
          <w:sz w:val="18"/>
          <w:szCs w:val="18"/>
        </w:rPr>
        <w:t>30</w:t>
      </w:r>
      <w:r>
        <w:rPr>
          <w:rFonts w:ascii="宋体" w:hAnsi="宋体" w:cs="宋体" w:eastAsia="宋体" w:hint="default"/>
          <w:sz w:val="18"/>
          <w:szCs w:val="18"/>
        </w:rPr>
        <w:t>日内，将持有的泰达设计</w:t>
      </w:r>
      <w:r>
        <w:rPr>
          <w:rFonts w:ascii="Times New Roman" w:hAnsi="Times New Roman" w:cs="Times New Roman" w:eastAsia="Times New Roman" w:hint="default"/>
          <w:sz w:val="18"/>
          <w:szCs w:val="18"/>
        </w:rPr>
        <w:t>6%</w:t>
      </w:r>
      <w:r>
        <w:rPr>
          <w:rFonts w:ascii="宋体" w:hAnsi="宋体" w:cs="宋体" w:eastAsia="宋体" w:hint="default"/>
          <w:sz w:val="18"/>
          <w:szCs w:val="18"/>
        </w:rPr>
        <w:t>股权以无偿转让的方式奖励给武文杰先生。</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日，根据 </w:t>
      </w:r>
      <w:r>
        <w:rPr>
          <w:rFonts w:ascii="宋体" w:hAnsi="宋体" w:cs="宋体" w:eastAsia="宋体" w:hint="default"/>
          <w:spacing w:val="-2"/>
          <w:sz w:val="18"/>
          <w:szCs w:val="18"/>
        </w:rPr>
        <w:t>大华会计师事务所（特殊普通合伙）出具大华审字［</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110111</w:t>
      </w:r>
      <w:r>
        <w:rPr>
          <w:rFonts w:ascii="宋体" w:hAnsi="宋体" w:cs="宋体" w:eastAsia="宋体" w:hint="default"/>
          <w:spacing w:val="-2"/>
          <w:sz w:val="18"/>
          <w:szCs w:val="18"/>
        </w:rPr>
        <w:t>号《审计报告》，公司同意按照约定，将公司持有的泰达</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公司的</w:t>
      </w:r>
      <w:r>
        <w:rPr>
          <w:rFonts w:ascii="Times New Roman" w:hAnsi="Times New Roman" w:cs="Times New Roman" w:eastAsia="Times New Roman" w:hint="default"/>
          <w:sz w:val="18"/>
          <w:szCs w:val="18"/>
        </w:rPr>
        <w:t>6%</w:t>
      </w:r>
      <w:r>
        <w:rPr>
          <w:rFonts w:ascii="宋体" w:hAnsi="宋体" w:cs="宋体" w:eastAsia="宋体" w:hint="default"/>
          <w:sz w:val="18"/>
          <w:szCs w:val="18"/>
        </w:rPr>
        <w:t>股权以无偿转让的方式奖励给武文杰，并办理相关股权变更登记手续。</w:t>
      </w:r>
    </w:p>
    <w:p>
      <w:pPr>
        <w:spacing w:line="240" w:lineRule="auto" w:before="2"/>
        <w:rPr>
          <w:rFonts w:ascii="宋体" w:hAnsi="宋体" w:cs="宋体" w:eastAsia="宋体" w:hint="default"/>
          <w:sz w:val="20"/>
          <w:szCs w:val="20"/>
        </w:rPr>
      </w:pPr>
    </w:p>
    <w:p>
      <w:pPr>
        <w:pStyle w:val="Heading4"/>
        <w:spacing w:line="240" w:lineRule="auto"/>
        <w:ind w:right="1034"/>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2"/>
        <w:ind w:left="154" w:right="1132" w:firstLine="29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日，公司发布了《关于全资子公司项目中标的提示性公告》》（编号：</w:t>
      </w:r>
      <w:r>
        <w:rPr>
          <w:rFonts w:ascii="Times New Roman" w:hAnsi="Times New Roman" w:cs="Times New Roman" w:eastAsia="Times New Roman" w:hint="default"/>
          <w:sz w:val="18"/>
          <w:szCs w:val="18"/>
        </w:rPr>
        <w:t>2015-074</w:t>
      </w:r>
      <w:r>
        <w:rPr>
          <w:rFonts w:ascii="宋体" w:hAnsi="宋体" w:cs="宋体" w:eastAsia="宋体" w:hint="default"/>
          <w:sz w:val="18"/>
          <w:szCs w:val="18"/>
        </w:rPr>
        <w:t>），详见公司指定信 </w:t>
      </w:r>
      <w:r>
        <w:rPr>
          <w:rFonts w:ascii="宋体" w:hAnsi="宋体" w:cs="宋体" w:eastAsia="宋体" w:hint="default"/>
          <w:spacing w:val="-5"/>
          <w:sz w:val="18"/>
          <w:szCs w:val="18"/>
        </w:rPr>
        <w:t>息披露媒体《中国证券报》、《上海证券报》、《证券时报》和巨潮资讯网 </w:t>
      </w:r>
      <w:hyperlink r:id="rId9">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披露的公告。投标报价为</w:t>
      </w:r>
      <w:r>
        <w:rPr>
          <w:rFonts w:ascii="Times New Roman" w:hAnsi="Times New Roman" w:cs="Times New Roman" w:eastAsia="Times New Roman" w:hint="default"/>
          <w:sz w:val="18"/>
          <w:szCs w:val="18"/>
        </w:rPr>
        <w:t>608</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日，中电兴发与某国家单位正式签订采购合同。</w:t>
      </w:r>
    </w:p>
    <w:p>
      <w:pPr>
        <w:spacing w:line="300" w:lineRule="auto" w:before="13"/>
        <w:ind w:left="153" w:right="1132" w:firstLine="57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日，公司发布了《关于全资子公司项目中标的提示性公告》》（编号：</w:t>
      </w:r>
      <w:r>
        <w:rPr>
          <w:rFonts w:ascii="Times New Roman" w:hAnsi="Times New Roman" w:cs="Times New Roman" w:eastAsia="Times New Roman" w:hint="default"/>
          <w:sz w:val="18"/>
          <w:szCs w:val="18"/>
        </w:rPr>
        <w:t>2015-076</w:t>
      </w:r>
      <w:r>
        <w:rPr>
          <w:rFonts w:ascii="宋体" w:hAnsi="宋体" w:cs="宋体" w:eastAsia="宋体" w:hint="default"/>
          <w:sz w:val="18"/>
          <w:szCs w:val="18"/>
        </w:rPr>
        <w:t>），详见公司指 定信息披露媒体《中国证券报》、《上海证券报》、 《证券时报》和巨潮资讯网 </w:t>
      </w:r>
      <w:hyperlink r:id="rId9">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披露的公告中电兴发 在招标中成为中标候选人，公示中，项目金额</w:t>
      </w:r>
      <w:r>
        <w:rPr>
          <w:rFonts w:ascii="Times New Roman" w:hAnsi="Times New Roman" w:cs="Times New Roman" w:eastAsia="Times New Roman" w:hint="default"/>
          <w:sz w:val="18"/>
          <w:szCs w:val="18"/>
        </w:rPr>
        <w:t>7,350.8</w:t>
      </w:r>
      <w:r>
        <w:rPr>
          <w:rFonts w:ascii="宋体" w:hAnsi="宋体" w:cs="宋体" w:eastAsia="宋体" w:hint="default"/>
          <w:sz w:val="18"/>
          <w:szCs w:val="18"/>
        </w:rPr>
        <w:t>万元。公示期满后，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日，中电兴发与宿迁市公安局正式签 订政府采购合同。</w:t>
      </w:r>
    </w:p>
    <w:p>
      <w:pPr>
        <w:spacing w:line="300" w:lineRule="auto" w:before="31"/>
        <w:ind w:left="153" w:right="1118" w:firstLine="57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日召开第六届董事会第十九次会议，审议通过了《关于全资子公司北京中电兴发科技有限公司 </w:t>
      </w:r>
      <w:r>
        <w:rPr>
          <w:rFonts w:ascii="宋体" w:hAnsi="宋体" w:cs="宋体" w:eastAsia="宋体" w:hint="default"/>
          <w:spacing w:val="-1"/>
          <w:sz w:val="18"/>
          <w:szCs w:val="18"/>
        </w:rPr>
        <w:t>收购红河智慧科技有限公司</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股权的议案》，并发布了《关于全资子公司北京中电兴发科技有限公司收购红河智慧科技有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股权的公告》。详见公司指定信息披露媒体《中国证券报》、《上海证券报》、《证券时报》和巨潮资讯网 </w:t>
      </w:r>
      <w:hyperlink r:id="rId9">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披露的公告。（公告编号：</w:t>
      </w:r>
      <w:r>
        <w:rPr>
          <w:rFonts w:ascii="Times New Roman" w:hAnsi="Times New Roman" w:cs="Times New Roman" w:eastAsia="Times New Roman" w:hint="default"/>
          <w:sz w:val="18"/>
          <w:szCs w:val="18"/>
        </w:rPr>
        <w:t>2015-091</w:t>
      </w:r>
      <w:r>
        <w:rPr>
          <w:rFonts w:ascii="宋体" w:hAnsi="宋体" w:cs="宋体" w:eastAsia="宋体" w:hint="default"/>
          <w:sz w:val="18"/>
          <w:szCs w:val="18"/>
        </w:rPr>
        <w:t>）</w:t>
      </w:r>
    </w:p>
    <w:p>
      <w:pPr>
        <w:spacing w:line="300" w:lineRule="auto" w:before="13"/>
        <w:ind w:left="154" w:right="1039" w:firstLine="4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日，公司发布了《关于公司子公司签订重大合同的公告》》（编号：</w:t>
      </w:r>
      <w:r>
        <w:rPr>
          <w:rFonts w:ascii="Times New Roman" w:hAnsi="Times New Roman" w:cs="Times New Roman" w:eastAsia="Times New Roman" w:hint="default"/>
          <w:sz w:val="18"/>
          <w:szCs w:val="18"/>
        </w:rPr>
        <w:t>2015-109</w:t>
      </w:r>
      <w:r>
        <w:rPr>
          <w:rFonts w:ascii="宋体" w:hAnsi="宋体" w:cs="宋体" w:eastAsia="宋体" w:hint="default"/>
          <w:sz w:val="18"/>
          <w:szCs w:val="18"/>
        </w:rPr>
        <w:t>），详见公司指定信 </w:t>
      </w:r>
      <w:r>
        <w:rPr>
          <w:rFonts w:ascii="宋体" w:hAnsi="宋体" w:cs="宋体" w:eastAsia="宋体" w:hint="default"/>
          <w:spacing w:val="-3"/>
          <w:sz w:val="18"/>
          <w:szCs w:val="18"/>
        </w:rPr>
        <w:t>息披露媒体《中国证券报》、《上海证券报》、《证券时报》和巨潮资讯网</w:t>
      </w:r>
      <w:r>
        <w:rPr>
          <w:rFonts w:ascii="宋体" w:hAnsi="宋体" w:cs="宋体" w:eastAsia="宋体" w:hint="default"/>
          <w:spacing w:val="-12"/>
          <w:sz w:val="18"/>
          <w:szCs w:val="18"/>
        </w:rPr>
        <w:t> </w:t>
      </w:r>
      <w:hyperlink r:id="rId9">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披露的公告。中电兴发与广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西国盾保安服务集团有限公司签署了购销协议，广西国盾向中电兴发购买私有云盒子和摄像机，协议总金额为</w:t>
      </w:r>
      <w:r>
        <w:rPr>
          <w:rFonts w:ascii="Times New Roman" w:hAnsi="Times New Roman" w:cs="Times New Roman" w:eastAsia="Times New Roman" w:hint="default"/>
          <w:spacing w:val="-1"/>
          <w:sz w:val="18"/>
          <w:szCs w:val="18"/>
        </w:rPr>
        <w:t>128,000</w:t>
      </w:r>
      <w:r>
        <w:rPr>
          <w:rFonts w:ascii="宋体" w:hAnsi="宋体" w:cs="宋体" w:eastAsia="宋体" w:hint="default"/>
          <w:spacing w:val="-1"/>
          <w:sz w:val="18"/>
          <w:szCs w:val="18"/>
        </w:rPr>
        <w:t>万元。</w:t>
      </w:r>
    </w:p>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1034" w:firstLine="0"/>
        <w:jc w:val="left"/>
        <w:rPr>
          <w:rFonts w:ascii="宋体" w:hAnsi="宋体" w:cs="宋体" w:eastAsia="宋体" w:hint="default"/>
          <w:sz w:val="18"/>
          <w:szCs w:val="18"/>
        </w:rPr>
      </w:pPr>
      <w:r>
        <w:rPr>
          <w:rFonts w:ascii="宋体" w:hAnsi="宋体" w:cs="宋体" w:eastAsia="宋体" w:hint="default"/>
          <w:sz w:val="18"/>
          <w:szCs w:val="18"/>
        </w:rPr>
        <w:t>截止本报告期内，合同正常履行。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Heading4"/>
        <w:spacing w:line="240" w:lineRule="auto"/>
        <w:ind w:right="1034"/>
        <w:jc w:val="left"/>
        <w:rPr>
          <w:b w:val="0"/>
          <w:bCs w:val="0"/>
        </w:rPr>
      </w:pPr>
      <w:bookmarkStart w:name="二十、社会责任情况" w:id="101"/>
      <w:bookmarkEnd w:id="101"/>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1034"/>
        <w:jc w:val="left"/>
        <w:rPr>
          <w:b w:val="0"/>
          <w:bCs w:val="0"/>
        </w:rPr>
      </w:pPr>
      <w:bookmarkStart w:name="二十一、公司债券相关情况" w:id="102"/>
      <w:bookmarkEnd w:id="102"/>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034"/>
        <w:jc w:val="left"/>
        <w:rPr>
          <w:b w:val="0"/>
          <w:bCs w:val="0"/>
        </w:rPr>
      </w:pPr>
      <w:bookmarkStart w:name="_TOC_250005" w:id="103"/>
      <w:bookmarkStart w:name="第六节 股份变动及股东情况" w:id="104"/>
      <w:r>
        <w:rPr>
          <w:b w:val="0"/>
          <w:bCs w:val="0"/>
        </w:rPr>
      </w:r>
      <w:r>
        <w:rPr/>
        <w:t>第六节</w:t>
      </w:r>
      <w:r>
        <w:rPr>
          <w:spacing w:val="-10"/>
        </w:rPr>
        <w:t> </w:t>
      </w:r>
      <w:r>
        <w:rPr/>
        <w:t>股份变动及股东情况</w:t>
      </w:r>
      <w:bookmarkEnd w:id="10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034"/>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64,901,60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15.68%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212,578,4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212,578,4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43.84%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64,901,60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15.68%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212,578,4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212,578,4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43.84%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60,107,46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60,107,46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60,107,46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9.50%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64,901,60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15.68%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152,470,9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152,470,9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217,372,6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34.34%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348,946,6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84.32%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6,492,000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6,492,000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355,438,6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56.16%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348,946,6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84.32%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6,492,000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6,492,000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355,438,6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56.16%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413,848,3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219,070,4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219,070,4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632,918,7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、按规定，公司董事、监事、高管人员持有本公司股份，每年年初按</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p>
      <w:pPr>
        <w:spacing w:line="309" w:lineRule="auto" w:before="63"/>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、公司前任高管付龙胜、程晓龙、宛玉超、李骏、陈士保、程绍稳离任，离职半年后的六个个月内，对其持有公司锁定股 份按规定予以解除部分限售股。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月份，公司股权激励首次授予第二个行权期及预留期权第一个行权期进行了行权，行权数量为</w:t>
      </w:r>
      <w:r>
        <w:rPr>
          <w:rFonts w:ascii="Times New Roman" w:hAnsi="Times New Roman" w:cs="Times New Roman" w:eastAsia="Times New Roman" w:hint="default"/>
          <w:spacing w:val="-1"/>
          <w:sz w:val="18"/>
          <w:szCs w:val="18"/>
        </w:rPr>
        <w:t>753.2</w:t>
      </w:r>
      <w:r>
        <w:rPr>
          <w:rFonts w:ascii="宋体" w:hAnsi="宋体" w:cs="宋体" w:eastAsia="宋体" w:hint="default"/>
          <w:spacing w:val="-1"/>
          <w:sz w:val="18"/>
          <w:szCs w:val="18"/>
        </w:rPr>
        <w:t>万股已于</w:t>
      </w:r>
    </w:p>
    <w:p>
      <w:pPr>
        <w:spacing w:before="5"/>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日在中国证券登记结算有限责任公司深圳分公司核准登记。本次行权股份的上市时间为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p>
      <w:pPr>
        <w:spacing w:line="300" w:lineRule="auto" w:before="63"/>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、公司自</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日取得中国证监会出具的证监许可</w:t>
      </w:r>
      <w:r>
        <w:rPr>
          <w:rFonts w:ascii="Times New Roman" w:hAnsi="Times New Roman" w:cs="Times New Roman" w:eastAsia="Times New Roman" w:hint="default"/>
          <w:spacing w:val="-1"/>
          <w:sz w:val="18"/>
          <w:szCs w:val="18"/>
        </w:rPr>
        <w:t>[2015]1726</w:t>
      </w:r>
      <w:r>
        <w:rPr>
          <w:rFonts w:ascii="宋体" w:hAnsi="宋体" w:cs="宋体" w:eastAsia="宋体" w:hint="default"/>
          <w:spacing w:val="-1"/>
          <w:sz w:val="18"/>
          <w:szCs w:val="18"/>
        </w:rPr>
        <w:t>号《关于核准安徽鑫龙电器股份有限公司向瞿洪桂等发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行股份购买资产并募集配套资金的批复》并于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日，本次新增股份正式上市。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、深圳证券交易所确认、中国证券登记结算有限责任公司深圳分公司核准登记。</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、公司自</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日取得中国证监会出具的证监许可</w:t>
      </w:r>
      <w:r>
        <w:rPr>
          <w:rFonts w:ascii="Times New Roman" w:hAnsi="Times New Roman" w:cs="Times New Roman" w:eastAsia="Times New Roman" w:hint="default"/>
          <w:spacing w:val="-1"/>
          <w:sz w:val="18"/>
          <w:szCs w:val="18"/>
        </w:rPr>
        <w:t>[2015]1726</w:t>
      </w:r>
      <w:r>
        <w:rPr>
          <w:rFonts w:ascii="宋体" w:hAnsi="宋体" w:cs="宋体" w:eastAsia="宋体" w:hint="default"/>
          <w:spacing w:val="-1"/>
          <w:sz w:val="18"/>
          <w:szCs w:val="18"/>
        </w:rPr>
        <w:t>号《关于核准安徽鑫龙电器股份有限公司向瞿洪桂等发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行股份购买资产并募集配套资金的批复》并于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日，本次新增股份正式上市。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、股票期权行权股份在行权登记时由中国证券登记结算有限责任公司深圳分公司登记到激励对象证券账户。</w:t>
      </w:r>
    </w:p>
    <w:p>
      <w:pPr>
        <w:spacing w:line="300" w:lineRule="auto" w:before="63"/>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、公司自</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日取得中国证监会出具的证监许可</w:t>
      </w:r>
      <w:r>
        <w:rPr>
          <w:rFonts w:ascii="Times New Roman" w:hAnsi="Times New Roman" w:cs="Times New Roman" w:eastAsia="Times New Roman" w:hint="default"/>
          <w:spacing w:val="-1"/>
          <w:sz w:val="18"/>
          <w:szCs w:val="18"/>
        </w:rPr>
        <w:t>[2015]1726</w:t>
      </w:r>
      <w:r>
        <w:rPr>
          <w:rFonts w:ascii="宋体" w:hAnsi="宋体" w:cs="宋体" w:eastAsia="宋体" w:hint="default"/>
          <w:spacing w:val="-1"/>
          <w:sz w:val="18"/>
          <w:szCs w:val="18"/>
        </w:rPr>
        <w:t>号《关于核准安徽鑫龙电器股份有限公司向瞿洪桂等发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行股份购买资产并募集配套资金的批复》并于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日完成了本次重组新增股份的过户。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48" w:lineRule="auto" w:before="117"/>
        <w:ind w:left="153" w:right="4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本报告对基本每股收益、稀释每股收益等财务指标己按行权后的股本计算调整。 公司认为必要或证券监管机构要求披露的其他内容</w:t>
      </w:r>
    </w:p>
    <w:p>
      <w:pPr>
        <w:spacing w:before="36"/>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0" w:right="1136" w:firstLine="0"/>
        <w:jc w:val="right"/>
        <w:rPr>
          <w:rFonts w:ascii="宋体" w:hAnsi="宋体" w:cs="宋体" w:eastAsia="宋体" w:hint="default"/>
          <w:sz w:val="18"/>
          <w:szCs w:val="18"/>
        </w:rPr>
      </w:pPr>
      <w:r>
        <w:rPr/>
        <w:pict>
          <v:shape style="position:absolute;margin-left:56.459999pt;margin-top:-239.438278pt;width:479.35pt;height:348.6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64,100,509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17,241,380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81,341,889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、本次非公开新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增股份 </w:t>
                        </w:r>
                        <w:r>
                          <w:rPr>
                            <w:rFonts w:ascii="Times New Roman" w:hAnsi="Times New Roman" w:cs="Times New Roman" w:eastAsia="Times New Roman" w:hint="default"/>
                            <w:sz w:val="18"/>
                            <w:szCs w:val="18"/>
                          </w:rPr>
                          <w:t>17,241,380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309" w:lineRule="auto" w:before="63"/>
                          <w:ind w:left="22" w:right="22"/>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日解禁；</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任职期间每年年 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唐荣保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0" w:right="0"/>
                          <w:jc w:val="left"/>
                          <w:rPr>
                            <w:rFonts w:ascii="Times New Roman" w:hAnsi="Times New Roman" w:cs="Times New Roman" w:eastAsia="Times New Roman" w:hint="default"/>
                            <w:sz w:val="18"/>
                            <w:szCs w:val="18"/>
                          </w:rPr>
                        </w:pPr>
                        <w:r>
                          <w:rPr>
                            <w:rFonts w:ascii="Times New Roman"/>
                            <w:sz w:val="18"/>
                          </w:rPr>
                          <w:t>370,000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日解锁全部股份</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254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127,394,324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127,394,324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p>
                        <w:pPr>
                          <w:pStyle w:val="TableParagraph"/>
                          <w:spacing w:line="300" w:lineRule="auto" w:before="63"/>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、董事</w:t>
                        </w:r>
                        <w:r>
                          <w:rPr>
                            <w:rFonts w:ascii="宋体" w:hAnsi="宋体" w:cs="宋体" w:eastAsia="宋体" w:hint="default"/>
                            <w:w w:val="99"/>
                            <w:sz w:val="18"/>
                            <w:szCs w:val="18"/>
                          </w:rPr>
                          <w:t> </w:t>
                        </w:r>
                        <w:r>
                          <w:rPr>
                            <w:rFonts w:ascii="宋体" w:hAnsi="宋体" w:cs="宋体" w:eastAsia="宋体" w:hint="default"/>
                            <w:sz w:val="18"/>
                            <w:szCs w:val="18"/>
                          </w:rPr>
                          <w:t>任职期间每年年</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6"/>
          <w:szCs w:val="26"/>
        </w:rPr>
      </w:pPr>
    </w:p>
    <w:p>
      <w:pPr>
        <w:spacing w:before="44"/>
        <w:ind w:left="0" w:right="1622" w:firstLine="0"/>
        <w:jc w:val="right"/>
        <w:rPr>
          <w:rFonts w:ascii="Times New Roman" w:hAnsi="Times New Roman" w:cs="Times New Roman" w:eastAsia="Times New Roman" w:hint="default"/>
          <w:sz w:val="18"/>
          <w:szCs w:val="18"/>
        </w:rPr>
      </w:pPr>
      <w:r>
        <w:rPr>
          <w:rFonts w:ascii="宋体" w:hAnsi="宋体" w:cs="宋体" w:eastAsia="宋体" w:hint="default"/>
          <w:sz w:val="18"/>
          <w:szCs w:val="18"/>
        </w:rPr>
        <w:t>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spacing w:line="240" w:lineRule="auto" w:before="5"/>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tabs>
          <w:tab w:pos="4876" w:val="left" w:leader="none"/>
          <w:tab w:pos="6244" w:val="left" w:leader="none"/>
        </w:tabs>
        <w:spacing w:before="153"/>
        <w:ind w:left="181" w:right="-18" w:firstLine="0"/>
        <w:jc w:val="left"/>
        <w:rPr>
          <w:rFonts w:ascii="宋体" w:hAnsi="宋体" w:cs="宋体" w:eastAsia="宋体" w:hint="default"/>
          <w:sz w:val="18"/>
          <w:szCs w:val="18"/>
        </w:rPr>
      </w:pPr>
      <w:r>
        <w:rPr>
          <w:rFonts w:ascii="宋体" w:hAnsi="宋体" w:cs="宋体" w:eastAsia="宋体" w:hint="default"/>
          <w:sz w:val="18"/>
          <w:szCs w:val="18"/>
        </w:rPr>
        <w:t>张桂芹</w:t>
        <w:tab/>
      </w:r>
      <w:r>
        <w:rPr>
          <w:rFonts w:ascii="Times New Roman" w:hAnsi="Times New Roman" w:cs="Times New Roman" w:eastAsia="Times New Roman" w:hint="default"/>
          <w:sz w:val="18"/>
          <w:szCs w:val="18"/>
        </w:rPr>
        <w:t>2,147,957</w:t>
        <w:tab/>
        <w:t>2,147,957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重组</w:t>
      </w:r>
    </w:p>
    <w:p>
      <w:pPr>
        <w:spacing w:before="44"/>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1"/>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p>
      <w:pPr>
        <w:spacing w:before="64"/>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381" w:space="825"/>
            <w:col w:w="2724"/>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tabs>
          <w:tab w:pos="5012" w:val="left" w:leader="none"/>
          <w:tab w:pos="6380" w:val="left" w:leader="none"/>
        </w:tabs>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周超</w:t>
        <w:tab/>
      </w:r>
      <w:r>
        <w:rPr>
          <w:rFonts w:ascii="Times New Roman" w:hAnsi="Times New Roman" w:cs="Times New Roman" w:eastAsia="Times New Roman" w:hint="default"/>
          <w:sz w:val="18"/>
          <w:szCs w:val="18"/>
        </w:rPr>
        <w:t>678,447</w:t>
        <w:tab/>
        <w:t>678,447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重组</w:t>
      </w:r>
    </w:p>
    <w:p>
      <w:pPr>
        <w:spacing w:before="44"/>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1"/>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p>
      <w:pPr>
        <w:spacing w:before="64"/>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381" w:space="825"/>
            <w:col w:w="2724"/>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tabs>
          <w:tab w:pos="5012" w:val="left" w:leader="none"/>
          <w:tab w:pos="6380" w:val="left" w:leader="none"/>
        </w:tabs>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何利</w:t>
        <w:tab/>
      </w:r>
      <w:r>
        <w:rPr>
          <w:rFonts w:ascii="Times New Roman" w:hAnsi="Times New Roman" w:cs="Times New Roman" w:eastAsia="Times New Roman" w:hint="default"/>
          <w:sz w:val="18"/>
          <w:szCs w:val="18"/>
        </w:rPr>
        <w:t>339,217</w:t>
        <w:tab/>
        <w:t>339,217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重组</w:t>
      </w:r>
    </w:p>
    <w:p>
      <w:pPr>
        <w:spacing w:before="44"/>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1"/>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p>
      <w:pPr>
        <w:spacing w:before="64"/>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381" w:space="825"/>
            <w:col w:w="2724"/>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tabs>
          <w:tab w:pos="4876" w:val="left" w:leader="none"/>
          <w:tab w:pos="6244" w:val="left" w:leader="none"/>
        </w:tabs>
        <w:spacing w:before="0"/>
        <w:ind w:left="181" w:right="-18" w:firstLine="0"/>
        <w:jc w:val="left"/>
        <w:rPr>
          <w:rFonts w:ascii="宋体" w:hAnsi="宋体" w:cs="宋体" w:eastAsia="宋体" w:hint="default"/>
          <w:sz w:val="18"/>
          <w:szCs w:val="18"/>
        </w:rPr>
      </w:pPr>
      <w:r>
        <w:rPr>
          <w:rFonts w:ascii="宋体" w:hAnsi="宋体" w:cs="宋体" w:eastAsia="宋体" w:hint="default"/>
          <w:sz w:val="18"/>
          <w:szCs w:val="18"/>
        </w:rPr>
        <w:t>郭晨</w:t>
        <w:tab/>
      </w:r>
      <w:r>
        <w:rPr>
          <w:rFonts w:ascii="Times New Roman" w:hAnsi="Times New Roman" w:cs="Times New Roman" w:eastAsia="Times New Roman" w:hint="default"/>
          <w:sz w:val="18"/>
          <w:szCs w:val="18"/>
        </w:rPr>
        <w:t>1,187,272</w:t>
        <w:tab/>
        <w:t>1,187,272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重组</w:t>
      </w:r>
    </w:p>
    <w:p>
      <w:pPr>
        <w:spacing w:before="44"/>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1"/>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p>
      <w:pPr>
        <w:spacing w:before="64"/>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381" w:space="825"/>
            <w:col w:w="2724"/>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tabs>
          <w:tab w:pos="5012" w:val="left" w:leader="none"/>
          <w:tab w:pos="6380" w:val="left" w:leader="none"/>
        </w:tabs>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吴小岭</w:t>
        <w:tab/>
      </w:r>
      <w:r>
        <w:rPr>
          <w:rFonts w:ascii="Times New Roman" w:hAnsi="Times New Roman" w:cs="Times New Roman" w:eastAsia="Times New Roman" w:hint="default"/>
          <w:sz w:val="18"/>
          <w:szCs w:val="18"/>
        </w:rPr>
        <w:t>746,290</w:t>
        <w:tab/>
        <w:t>746,290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重组</w:t>
      </w:r>
    </w:p>
    <w:p>
      <w:pPr>
        <w:spacing w:before="44"/>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1"/>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p>
      <w:pPr>
        <w:spacing w:before="64"/>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381" w:space="825"/>
            <w:col w:w="2724"/>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r>
        <w:rPr/>
        <w:pict>
          <v:group style="position:absolute;margin-left:56.459999pt;margin-top:71.759979pt;width:479.1pt;height:683.8pt;mso-position-horizontal-relative:page;mso-position-vertical-relative:page;z-index:-1109992" coordorigin="1129,1435" coordsize="9582,13676">
            <v:group style="position:absolute;left:1139;top:1445;width:1360;height:2" coordorigin="1139,1445" coordsize="1360,2">
              <v:shape style="position:absolute;left:1139;top:1445;width:1360;height:2" coordorigin="1139,1445" coordsize="1360,0" path="m1139,1445l2499,1445e" filled="false" stroked="true" strokeweight=".48pt" strokecolor="#000000">
                <v:path arrowok="t"/>
              </v:shape>
            </v:group>
            <v:group style="position:absolute;left:2508;top:1445;width:1358;height:2" coordorigin="2508,1445" coordsize="1358,2">
              <v:shape style="position:absolute;left:2508;top:1445;width:1358;height:2" coordorigin="2508,1445" coordsize="1358,0" path="m2508,1445l3866,1445e" filled="false" stroked="true" strokeweight=".48pt" strokecolor="#000000">
                <v:path arrowok="t"/>
              </v:shape>
            </v:group>
            <v:group style="position:absolute;left:3875;top:1445;width:1358;height:2" coordorigin="3875,1445" coordsize="1358,2">
              <v:shape style="position:absolute;left:3875;top:1445;width:1358;height:2" coordorigin="3875,1445" coordsize="1358,0" path="m3875,1445l5233,1445e" filled="false" stroked="true" strokeweight=".48pt" strokecolor="#000000">
                <v:path arrowok="t"/>
              </v:shape>
            </v:group>
            <v:group style="position:absolute;left:5242;top:1445;width:1358;height:2" coordorigin="5242,1445" coordsize="1358,2">
              <v:shape style="position:absolute;left:5242;top:1445;width:1358;height:2" coordorigin="5242,1445" coordsize="1358,0" path="m5242,1445l6600,1445e" filled="false" stroked="true" strokeweight=".48pt" strokecolor="#000000">
                <v:path arrowok="t"/>
              </v:shape>
            </v:group>
            <v:group style="position:absolute;left:6609;top:1445;width:1359;height:2" coordorigin="6609,1445" coordsize="1359,2">
              <v:shape style="position:absolute;left:6609;top:1445;width:1359;height:2" coordorigin="6609,1445" coordsize="1359,0" path="m6609,1445l7968,1445e" filled="false" stroked="true" strokeweight=".48pt" strokecolor="#000000">
                <v:path arrowok="t"/>
              </v:shape>
            </v:group>
            <v:group style="position:absolute;left:7977;top:1445;width:1358;height:2" coordorigin="7977,1445" coordsize="1358,2">
              <v:shape style="position:absolute;left:7977;top:1445;width:1358;height:2" coordorigin="7977,1445" coordsize="1358,0" path="m7977,1445l9335,1445e" filled="false" stroked="true" strokeweight=".48pt" strokecolor="#000000">
                <v:path arrowok="t"/>
              </v:shape>
            </v:group>
            <v:group style="position:absolute;left:9344;top:1445;width:1358;height:2" coordorigin="9344,1445" coordsize="1358,2">
              <v:shape style="position:absolute;left:9344;top:1445;width:1358;height:2" coordorigin="9344,1445" coordsize="1358,0" path="m9344,1445l10702,1445e" filled="false" stroked="true" strokeweight=".48pt" strokecolor="#000000">
                <v:path arrowok="t"/>
              </v:shape>
            </v:group>
            <v:group style="position:absolute;left:1139;top:1807;width:1360;height:2" coordorigin="1139,1807" coordsize="1360,2">
              <v:shape style="position:absolute;left:1139;top:1807;width:1360;height:2" coordorigin="1139,1807" coordsize="1360,0" path="m1139,1807l2499,1807e" filled="false" stroked="true" strokeweight=".48pt" strokecolor="#000000">
                <v:path arrowok="t"/>
              </v:shape>
            </v:group>
            <v:group style="position:absolute;left:2508;top:1807;width:1358;height:2" coordorigin="2508,1807" coordsize="1358,2">
              <v:shape style="position:absolute;left:2508;top:1807;width:1358;height:2" coordorigin="2508,1807" coordsize="1358,0" path="m2508,1807l3866,1807e" filled="false" stroked="true" strokeweight=".48pt" strokecolor="#000000">
                <v:path arrowok="t"/>
              </v:shape>
            </v:group>
            <v:group style="position:absolute;left:3875;top:1807;width:1358;height:2" coordorigin="3875,1807" coordsize="1358,2">
              <v:shape style="position:absolute;left:3875;top:1807;width:1358;height:2" coordorigin="3875,1807" coordsize="1358,0" path="m3875,1807l5233,1807e" filled="false" stroked="true" strokeweight=".48pt" strokecolor="#000000">
                <v:path arrowok="t"/>
              </v:shape>
            </v:group>
            <v:group style="position:absolute;left:5242;top:1807;width:1358;height:2" coordorigin="5242,1807" coordsize="1358,2">
              <v:shape style="position:absolute;left:5242;top:1807;width:1358;height:2" coordorigin="5242,1807" coordsize="1358,0" path="m5242,1807l6600,1807e" filled="false" stroked="true" strokeweight=".48pt" strokecolor="#000000">
                <v:path arrowok="t"/>
              </v:shape>
            </v:group>
            <v:group style="position:absolute;left:6609;top:1807;width:1359;height:2" coordorigin="6609,1807" coordsize="1359,2">
              <v:shape style="position:absolute;left:6609;top:1807;width:1359;height:2" coordorigin="6609,1807" coordsize="1359,0" path="m6609,1807l7968,1807e" filled="false" stroked="true" strokeweight=".48pt" strokecolor="#000000">
                <v:path arrowok="t"/>
              </v:shape>
            </v:group>
            <v:group style="position:absolute;left:7977;top:1807;width:1358;height:2" coordorigin="7977,1807" coordsize="1358,2">
              <v:shape style="position:absolute;left:7977;top:1807;width:1358;height:2" coordorigin="7977,1807" coordsize="1358,0" path="m7977,1807l9335,1807e" filled="false" stroked="true" strokeweight=".48pt" strokecolor="#000000">
                <v:path arrowok="t"/>
              </v:shape>
            </v:group>
            <v:group style="position:absolute;left:9344;top:1807;width:1358;height:2" coordorigin="9344,1807" coordsize="1358,2">
              <v:shape style="position:absolute;left:9344;top:1807;width:1358;height:2" coordorigin="9344,1807" coordsize="1358,0" path="m9344,1807l10702,1807e" filled="false" stroked="true" strokeweight=".48pt" strokecolor="#000000">
                <v:path arrowok="t"/>
              </v:shape>
            </v:group>
            <v:group style="position:absolute;left:1139;top:4082;width:1360;height:2" coordorigin="1139,4082" coordsize="1360,2">
              <v:shape style="position:absolute;left:1139;top:4082;width:1360;height:2" coordorigin="1139,4082" coordsize="1360,0" path="m1139,4082l2499,4082e" filled="false" stroked="true" strokeweight=".48pt" strokecolor="#000000">
                <v:path arrowok="t"/>
              </v:shape>
            </v:group>
            <v:group style="position:absolute;left:2508;top:4082;width:1358;height:2" coordorigin="2508,4082" coordsize="1358,2">
              <v:shape style="position:absolute;left:2508;top:4082;width:1358;height:2" coordorigin="2508,4082" coordsize="1358,0" path="m2508,4082l3866,4082e" filled="false" stroked="true" strokeweight=".48pt" strokecolor="#000000">
                <v:path arrowok="t"/>
              </v:shape>
            </v:group>
            <v:group style="position:absolute;left:3875;top:4082;width:1358;height:2" coordorigin="3875,4082" coordsize="1358,2">
              <v:shape style="position:absolute;left:3875;top:4082;width:1358;height:2" coordorigin="3875,4082" coordsize="1358,0" path="m3875,4082l5233,4082e" filled="false" stroked="true" strokeweight=".48pt" strokecolor="#000000">
                <v:path arrowok="t"/>
              </v:shape>
            </v:group>
            <v:group style="position:absolute;left:5242;top:4082;width:1358;height:2" coordorigin="5242,4082" coordsize="1358,2">
              <v:shape style="position:absolute;left:5242;top:4082;width:1358;height:2" coordorigin="5242,4082" coordsize="1358,0" path="m5242,4082l6600,4082e" filled="false" stroked="true" strokeweight=".48pt" strokecolor="#000000">
                <v:path arrowok="t"/>
              </v:shape>
            </v:group>
            <v:group style="position:absolute;left:6609;top:4082;width:1359;height:2" coordorigin="6609,4082" coordsize="1359,2">
              <v:shape style="position:absolute;left:6609;top:4082;width:1359;height:2" coordorigin="6609,4082" coordsize="1359,0" path="m6609,4082l7968,4082e" filled="false" stroked="true" strokeweight=".48pt" strokecolor="#000000">
                <v:path arrowok="t"/>
              </v:shape>
            </v:group>
            <v:group style="position:absolute;left:7977;top:4082;width:1358;height:2" coordorigin="7977,4082" coordsize="1358,2">
              <v:shape style="position:absolute;left:7977;top:4082;width:1358;height:2" coordorigin="7977,4082" coordsize="1358,0" path="m7977,4082l9335,4082e" filled="false" stroked="true" strokeweight=".48pt" strokecolor="#000000">
                <v:path arrowok="t"/>
              </v:shape>
            </v:group>
            <v:group style="position:absolute;left:9344;top:4082;width:1358;height:2" coordorigin="9344,4082" coordsize="1358,2">
              <v:shape style="position:absolute;left:9344;top:4082;width:1358;height:2" coordorigin="9344,4082" coordsize="1358,0" path="m9344,4082l10702,4082e" filled="false" stroked="true" strokeweight=".48pt" strokecolor="#000000">
                <v:path arrowok="t"/>
              </v:shape>
            </v:group>
            <v:group style="position:absolute;left:1139;top:6356;width:1360;height:2" coordorigin="1139,6356" coordsize="1360,2">
              <v:shape style="position:absolute;left:1139;top:6356;width:1360;height:2" coordorigin="1139,6356" coordsize="1360,0" path="m1139,6356l2499,6356e" filled="false" stroked="true" strokeweight=".48pt" strokecolor="#000000">
                <v:path arrowok="t"/>
              </v:shape>
            </v:group>
            <v:group style="position:absolute;left:2508;top:6356;width:1358;height:2" coordorigin="2508,6356" coordsize="1358,2">
              <v:shape style="position:absolute;left:2508;top:6356;width:1358;height:2" coordorigin="2508,6356" coordsize="1358,0" path="m2508,6356l3866,6356e" filled="false" stroked="true" strokeweight=".48pt" strokecolor="#000000">
                <v:path arrowok="t"/>
              </v:shape>
            </v:group>
            <v:group style="position:absolute;left:3875;top:6356;width:1358;height:2" coordorigin="3875,6356" coordsize="1358,2">
              <v:shape style="position:absolute;left:3875;top:6356;width:1358;height:2" coordorigin="3875,6356" coordsize="1358,0" path="m3875,6356l5233,6356e" filled="false" stroked="true" strokeweight=".48pt" strokecolor="#000000">
                <v:path arrowok="t"/>
              </v:shape>
            </v:group>
            <v:group style="position:absolute;left:5242;top:6356;width:1358;height:2" coordorigin="5242,6356" coordsize="1358,2">
              <v:shape style="position:absolute;left:5242;top:6356;width:1358;height:2" coordorigin="5242,6356" coordsize="1358,0" path="m5242,6356l6600,6356e" filled="false" stroked="true" strokeweight=".48pt" strokecolor="#000000">
                <v:path arrowok="t"/>
              </v:shape>
            </v:group>
            <v:group style="position:absolute;left:6609;top:6356;width:1359;height:2" coordorigin="6609,6356" coordsize="1359,2">
              <v:shape style="position:absolute;left:6609;top:6356;width:1359;height:2" coordorigin="6609,6356" coordsize="1359,0" path="m6609,6356l7968,6356e" filled="false" stroked="true" strokeweight=".48pt" strokecolor="#000000">
                <v:path arrowok="t"/>
              </v:shape>
            </v:group>
            <v:group style="position:absolute;left:7977;top:6356;width:1358;height:2" coordorigin="7977,6356" coordsize="1358,2">
              <v:shape style="position:absolute;left:7977;top:6356;width:1358;height:2" coordorigin="7977,6356" coordsize="1358,0" path="m7977,6356l9335,6356e" filled="false" stroked="true" strokeweight=".48pt" strokecolor="#000000">
                <v:path arrowok="t"/>
              </v:shape>
            </v:group>
            <v:group style="position:absolute;left:9344;top:6356;width:1358;height:2" coordorigin="9344,6356" coordsize="1358,2">
              <v:shape style="position:absolute;left:9344;top:6356;width:1358;height:2" coordorigin="9344,6356" coordsize="1358,0" path="m9344,6356l10702,6356e" filled="false" stroked="true" strokeweight=".48pt" strokecolor="#000000">
                <v:path arrowok="t"/>
              </v:shape>
            </v:group>
            <v:group style="position:absolute;left:1139;top:8630;width:1360;height:2" coordorigin="1139,8630" coordsize="1360,2">
              <v:shape style="position:absolute;left:1139;top:8630;width:1360;height:2" coordorigin="1139,8630" coordsize="1360,0" path="m1139,8630l2499,8630e" filled="false" stroked="true" strokeweight=".48pt" strokecolor="#000000">
                <v:path arrowok="t"/>
              </v:shape>
            </v:group>
            <v:group style="position:absolute;left:2508;top:8630;width:1358;height:2" coordorigin="2508,8630" coordsize="1358,2">
              <v:shape style="position:absolute;left:2508;top:8630;width:1358;height:2" coordorigin="2508,8630" coordsize="1358,0" path="m2508,8630l3866,8630e" filled="false" stroked="true" strokeweight=".48pt" strokecolor="#000000">
                <v:path arrowok="t"/>
              </v:shape>
            </v:group>
            <v:group style="position:absolute;left:3875;top:8630;width:1358;height:2" coordorigin="3875,8630" coordsize="1358,2">
              <v:shape style="position:absolute;left:3875;top:8630;width:1358;height:2" coordorigin="3875,8630" coordsize="1358,0" path="m3875,8630l5233,8630e" filled="false" stroked="true" strokeweight=".48pt" strokecolor="#000000">
                <v:path arrowok="t"/>
              </v:shape>
            </v:group>
            <v:group style="position:absolute;left:5242;top:8630;width:1358;height:2" coordorigin="5242,8630" coordsize="1358,2">
              <v:shape style="position:absolute;left:5242;top:8630;width:1358;height:2" coordorigin="5242,8630" coordsize="1358,0" path="m5242,8630l6600,8630e" filled="false" stroked="true" strokeweight=".48pt" strokecolor="#000000">
                <v:path arrowok="t"/>
              </v:shape>
            </v:group>
            <v:group style="position:absolute;left:6609;top:8630;width:1359;height:2" coordorigin="6609,8630" coordsize="1359,2">
              <v:shape style="position:absolute;left:6609;top:8630;width:1359;height:2" coordorigin="6609,8630" coordsize="1359,0" path="m6609,8630l7968,8630e" filled="false" stroked="true" strokeweight=".48pt" strokecolor="#000000">
                <v:path arrowok="t"/>
              </v:shape>
            </v:group>
            <v:group style="position:absolute;left:7977;top:8630;width:1358;height:2" coordorigin="7977,8630" coordsize="1358,2">
              <v:shape style="position:absolute;left:7977;top:8630;width:1358;height:2" coordorigin="7977,8630" coordsize="1358,0" path="m7977,8630l9335,8630e" filled="false" stroked="true" strokeweight=".48pt" strokecolor="#000000">
                <v:path arrowok="t"/>
              </v:shape>
            </v:group>
            <v:group style="position:absolute;left:9344;top:8630;width:1358;height:2" coordorigin="9344,8630" coordsize="1358,2">
              <v:shape style="position:absolute;left:9344;top:8630;width:1358;height:2" coordorigin="9344,8630" coordsize="1358,0" path="m9344,8630l10702,8630e" filled="false" stroked="true" strokeweight=".48pt" strokecolor="#000000">
                <v:path arrowok="t"/>
              </v:shape>
            </v:group>
            <v:group style="position:absolute;left:1139;top:10904;width:1360;height:2" coordorigin="1139,10904" coordsize="1360,2">
              <v:shape style="position:absolute;left:1139;top:10904;width:1360;height:2" coordorigin="1139,10904" coordsize="1360,0" path="m1139,10904l2499,10904e" filled="false" stroked="true" strokeweight=".48pt" strokecolor="#000000">
                <v:path arrowok="t"/>
              </v:shape>
            </v:group>
            <v:group style="position:absolute;left:2508;top:10904;width:1358;height:2" coordorigin="2508,10904" coordsize="1358,2">
              <v:shape style="position:absolute;left:2508;top:10904;width:1358;height:2" coordorigin="2508,10904" coordsize="1358,0" path="m2508,10904l3866,10904e" filled="false" stroked="true" strokeweight=".48pt" strokecolor="#000000">
                <v:path arrowok="t"/>
              </v:shape>
            </v:group>
            <v:group style="position:absolute;left:3875;top:10904;width:1358;height:2" coordorigin="3875,10904" coordsize="1358,2">
              <v:shape style="position:absolute;left:3875;top:10904;width:1358;height:2" coordorigin="3875,10904" coordsize="1358,0" path="m3875,10904l5233,10904e" filled="false" stroked="true" strokeweight=".48pt" strokecolor="#000000">
                <v:path arrowok="t"/>
              </v:shape>
            </v:group>
            <v:group style="position:absolute;left:5242;top:10904;width:1358;height:2" coordorigin="5242,10904" coordsize="1358,2">
              <v:shape style="position:absolute;left:5242;top:10904;width:1358;height:2" coordorigin="5242,10904" coordsize="1358,0" path="m5242,10904l6600,10904e" filled="false" stroked="true" strokeweight=".48pt" strokecolor="#000000">
                <v:path arrowok="t"/>
              </v:shape>
            </v:group>
            <v:group style="position:absolute;left:6609;top:10904;width:1359;height:2" coordorigin="6609,10904" coordsize="1359,2">
              <v:shape style="position:absolute;left:6609;top:10904;width:1359;height:2" coordorigin="6609,10904" coordsize="1359,0" path="m6609,10904l7968,10904e" filled="false" stroked="true" strokeweight=".48pt" strokecolor="#000000">
                <v:path arrowok="t"/>
              </v:shape>
            </v:group>
            <v:group style="position:absolute;left:7977;top:10904;width:1358;height:2" coordorigin="7977,10904" coordsize="1358,2">
              <v:shape style="position:absolute;left:7977;top:10904;width:1358;height:2" coordorigin="7977,10904" coordsize="1358,0" path="m7977,10904l9335,10904e" filled="false" stroked="true" strokeweight=".48pt" strokecolor="#000000">
                <v:path arrowok="t"/>
              </v:shape>
            </v:group>
            <v:group style="position:absolute;left:9344;top:10904;width:1358;height:2" coordorigin="9344,10904" coordsize="1358,2">
              <v:shape style="position:absolute;left:9344;top:10904;width:1358;height:2" coordorigin="9344,10904" coordsize="1358,0" path="m9344,10904l10702,10904e" filled="false" stroked="true" strokeweight=".48pt" strokecolor="#000000">
                <v:path arrowok="t"/>
              </v:shape>
            </v:group>
            <v:group style="position:absolute;left:1139;top:13178;width:1360;height:2" coordorigin="1139,13178" coordsize="1360,2">
              <v:shape style="position:absolute;left:1139;top:13178;width:1360;height:2" coordorigin="1139,13178" coordsize="1360,0" path="m1139,13178l2499,13178e" filled="false" stroked="true" strokeweight=".48pt" strokecolor="#000000">
                <v:path arrowok="t"/>
              </v:shape>
            </v:group>
            <v:group style="position:absolute;left:2508;top:13178;width:1358;height:2" coordorigin="2508,13178" coordsize="1358,2">
              <v:shape style="position:absolute;left:2508;top:13178;width:1358;height:2" coordorigin="2508,13178" coordsize="1358,0" path="m2508,13178l3866,13178e" filled="false" stroked="true" strokeweight=".48pt" strokecolor="#000000">
                <v:path arrowok="t"/>
              </v:shape>
            </v:group>
            <v:group style="position:absolute;left:3875;top:13178;width:1358;height:2" coordorigin="3875,13178" coordsize="1358,2">
              <v:shape style="position:absolute;left:3875;top:13178;width:1358;height:2" coordorigin="3875,13178" coordsize="1358,0" path="m3875,13178l5233,13178e" filled="false" stroked="true" strokeweight=".48pt" strokecolor="#000000">
                <v:path arrowok="t"/>
              </v:shape>
            </v:group>
            <v:group style="position:absolute;left:5242;top:13178;width:1358;height:2" coordorigin="5242,13178" coordsize="1358,2">
              <v:shape style="position:absolute;left:5242;top:13178;width:1358;height:2" coordorigin="5242,13178" coordsize="1358,0" path="m5242,13178l6600,13178e" filled="false" stroked="true" strokeweight=".48pt" strokecolor="#000000">
                <v:path arrowok="t"/>
              </v:shape>
            </v:group>
            <v:group style="position:absolute;left:6609;top:13178;width:1359;height:2" coordorigin="6609,13178" coordsize="1359,2">
              <v:shape style="position:absolute;left:6609;top:13178;width:1359;height:2" coordorigin="6609,13178" coordsize="1359,0" path="m6609,13178l7968,13178e" filled="false" stroked="true" strokeweight=".48pt" strokecolor="#000000">
                <v:path arrowok="t"/>
              </v:shape>
            </v:group>
            <v:group style="position:absolute;left:7977;top:13178;width:1358;height:2" coordorigin="7977,13178" coordsize="1358,2">
              <v:shape style="position:absolute;left:7977;top:13178;width:1358;height:2" coordorigin="7977,13178" coordsize="1358,0" path="m7977,13178l9335,13178e" filled="false" stroked="true" strokeweight=".48pt" strokecolor="#000000">
                <v:path arrowok="t"/>
              </v:shape>
            </v:group>
            <v:group style="position:absolute;left:9344;top:13178;width:1358;height:2" coordorigin="9344,13178" coordsize="1358,2">
              <v:shape style="position:absolute;left:9344;top:13178;width:1358;height:2" coordorigin="9344,13178" coordsize="1358,0" path="m9344,13178l10702,13178e" filled="false" stroked="true" strokeweight=".48pt" strokecolor="#000000">
                <v:path arrowok="t"/>
              </v:shape>
            </v:group>
            <v:group style="position:absolute;left:1134;top:1440;width:2;height:13666" coordorigin="1134,1440" coordsize="2,13666">
              <v:shape style="position:absolute;left:1134;top:1440;width:2;height:13666" coordorigin="1134,1440" coordsize="0,13666" path="m1134,1440l1134,15106e" filled="false" stroked="true" strokeweight=".48pt" strokecolor="#000000">
                <v:path arrowok="t"/>
              </v:shape>
            </v:group>
            <v:group style="position:absolute;left:1139;top:15101;width:1360;height:2" coordorigin="1139,15101" coordsize="1360,2">
              <v:shape style="position:absolute;left:1139;top:15101;width:1360;height:2" coordorigin="1139,15101" coordsize="1360,0" path="m1139,15101l2499,15101e" filled="false" stroked="true" strokeweight=".48pt" strokecolor="#000000">
                <v:path arrowok="t"/>
              </v:shape>
            </v:group>
            <v:group style="position:absolute;left:2504;top:1440;width:2;height:13666" coordorigin="2504,1440" coordsize="2,13666">
              <v:shape style="position:absolute;left:2504;top:1440;width:2;height:13666" coordorigin="2504,1440" coordsize="0,13666" path="m2504,1440l2504,15106e" filled="false" stroked="true" strokeweight=".48pt" strokecolor="#000000">
                <v:path arrowok="t"/>
              </v:shape>
            </v:group>
            <v:group style="position:absolute;left:2508;top:15101;width:1358;height:2" coordorigin="2508,15101" coordsize="1358,2">
              <v:shape style="position:absolute;left:2508;top:15101;width:1358;height:2" coordorigin="2508,15101" coordsize="1358,0" path="m2508,15101l3866,15101e" filled="false" stroked="true" strokeweight=".48pt" strokecolor="#000000">
                <v:path arrowok="t"/>
              </v:shape>
            </v:group>
            <v:group style="position:absolute;left:3870;top:1440;width:2;height:13666" coordorigin="3870,1440" coordsize="2,13666">
              <v:shape style="position:absolute;left:3870;top:1440;width:2;height:13666" coordorigin="3870,1440" coordsize="0,13666" path="m3870,1440l3870,15106e" filled="false" stroked="true" strokeweight=".48pt" strokecolor="#000000">
                <v:path arrowok="t"/>
              </v:shape>
            </v:group>
            <v:group style="position:absolute;left:3875;top:15101;width:1358;height:2" coordorigin="3875,15101" coordsize="1358,2">
              <v:shape style="position:absolute;left:3875;top:15101;width:1358;height:2" coordorigin="3875,15101" coordsize="1358,0" path="m3875,15101l5233,15101e" filled="false" stroked="true" strokeweight=".48pt" strokecolor="#000000">
                <v:path arrowok="t"/>
              </v:shape>
            </v:group>
            <v:group style="position:absolute;left:5238;top:1440;width:2;height:13666" coordorigin="5238,1440" coordsize="2,13666">
              <v:shape style="position:absolute;left:5238;top:1440;width:2;height:13666" coordorigin="5238,1440" coordsize="0,13666" path="m5238,1440l5238,15106e" filled="false" stroked="true" strokeweight=".48pt" strokecolor="#000000">
                <v:path arrowok="t"/>
              </v:shape>
            </v:group>
            <v:group style="position:absolute;left:5242;top:15101;width:1358;height:2" coordorigin="5242,15101" coordsize="1358,2">
              <v:shape style="position:absolute;left:5242;top:15101;width:1358;height:2" coordorigin="5242,15101" coordsize="1358,0" path="m5242,15101l6600,15101e" filled="false" stroked="true" strokeweight=".48pt" strokecolor="#000000">
                <v:path arrowok="t"/>
              </v:shape>
            </v:group>
            <v:group style="position:absolute;left:6604;top:1440;width:2;height:13666" coordorigin="6604,1440" coordsize="2,13666">
              <v:shape style="position:absolute;left:6604;top:1440;width:2;height:13666" coordorigin="6604,1440" coordsize="0,13666" path="m6604,1440l6604,15106e" filled="false" stroked="true" strokeweight=".48pt" strokecolor="#000000">
                <v:path arrowok="t"/>
              </v:shape>
            </v:group>
            <v:group style="position:absolute;left:6609;top:15101;width:1359;height:2" coordorigin="6609,15101" coordsize="1359,2">
              <v:shape style="position:absolute;left:6609;top:15101;width:1359;height:2" coordorigin="6609,15101" coordsize="1359,0" path="m6609,15101l7968,15101e" filled="false" stroked="true" strokeweight=".48pt" strokecolor="#000000">
                <v:path arrowok="t"/>
              </v:shape>
            </v:group>
            <v:group style="position:absolute;left:7972;top:1440;width:2;height:13666" coordorigin="7972,1440" coordsize="2,13666">
              <v:shape style="position:absolute;left:7972;top:1440;width:2;height:13666" coordorigin="7972,1440" coordsize="0,13666" path="m7972,1440l7972,15106e" filled="false" stroked="true" strokeweight=".48pt" strokecolor="#000000">
                <v:path arrowok="t"/>
              </v:shape>
            </v:group>
            <v:group style="position:absolute;left:7977;top:15101;width:1358;height:2" coordorigin="7977,15101" coordsize="1358,2">
              <v:shape style="position:absolute;left:7977;top:15101;width:1358;height:2" coordorigin="7977,15101" coordsize="1358,0" path="m7977,15101l9335,15101e" filled="false" stroked="true" strokeweight=".48pt" strokecolor="#000000">
                <v:path arrowok="t"/>
              </v:shape>
            </v:group>
            <v:group style="position:absolute;left:9340;top:1440;width:2;height:13666" coordorigin="9340,1440" coordsize="2,13666">
              <v:shape style="position:absolute;left:9340;top:1440;width:2;height:13666" coordorigin="9340,1440" coordsize="0,13666" path="m9340,1440l9340,15106e" filled="false" stroked="true" strokeweight=".48pt" strokecolor="#000000">
                <v:path arrowok="t"/>
              </v:shape>
            </v:group>
            <v:group style="position:absolute;left:9344;top:15101;width:1358;height:2" coordorigin="9344,15101" coordsize="1358,2">
              <v:shape style="position:absolute;left:9344;top:15101;width:1358;height:2" coordorigin="9344,15101" coordsize="1358,0" path="m9344,15101l10702,15101e" filled="false" stroked="true" strokeweight=".48pt" strokecolor="#000000">
                <v:path arrowok="t"/>
              </v:shape>
            </v:group>
            <v:group style="position:absolute;left:10706;top:1440;width:2;height:13666" coordorigin="10706,1440" coordsize="2,13666">
              <v:shape style="position:absolute;left:10706;top:1440;width:2;height:13666" coordorigin="10706,1440" coordsize="0,13666" path="m10706,1440l10706,15106e" filled="false" stroked="true" strokeweight=".4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tabs>
          <w:tab w:pos="4889" w:val="left" w:leader="none"/>
          <w:tab w:pos="6257" w:val="left" w:leader="none"/>
        </w:tabs>
        <w:spacing w:before="0"/>
        <w:ind w:left="181" w:right="-16" w:firstLine="0"/>
        <w:jc w:val="left"/>
        <w:rPr>
          <w:rFonts w:ascii="宋体" w:hAnsi="宋体" w:cs="宋体" w:eastAsia="宋体" w:hint="default"/>
          <w:sz w:val="18"/>
          <w:szCs w:val="18"/>
        </w:rPr>
      </w:pPr>
      <w:r>
        <w:rPr>
          <w:rFonts w:ascii="宋体" w:hAnsi="宋体" w:cs="宋体" w:eastAsia="宋体" w:hint="default"/>
          <w:sz w:val="18"/>
          <w:szCs w:val="18"/>
        </w:rPr>
        <w:t>孟涛</w:t>
        <w:tab/>
      </w:r>
      <w:r>
        <w:rPr>
          <w:rFonts w:ascii="Times New Roman" w:hAnsi="Times New Roman" w:cs="Times New Roman" w:eastAsia="Times New Roman" w:hint="default"/>
          <w:spacing w:val="-2"/>
          <w:sz w:val="18"/>
          <w:szCs w:val="18"/>
        </w:rPr>
        <w:t>1,696,111</w:t>
        <w:tab/>
        <w:t>1,696,111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重组</w:t>
      </w:r>
    </w:p>
    <w:p>
      <w:pPr>
        <w:spacing w:before="44"/>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1"/>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381" w:space="825"/>
            <w:col w:w="2724"/>
          </w:cols>
        </w:sectPr>
      </w:pPr>
    </w:p>
    <w:p>
      <w:pPr>
        <w:spacing w:line="240" w:lineRule="auto" w:before="0"/>
        <w:rPr>
          <w:rFonts w:ascii="Times New Roman" w:hAnsi="Times New Roman" w:cs="Times New Roman" w:eastAsia="Times New Roman" w:hint="default"/>
          <w:sz w:val="20"/>
          <w:szCs w:val="20"/>
        </w:rPr>
      </w:pPr>
      <w:r>
        <w:rPr/>
        <w:pict>
          <v:shape style="position:absolute;margin-left:74.217003pt;margin-top:125.819984pt;width:119.1pt;height:15.65pt;mso-position-horizontal-relative:page;mso-position-vertical-relative:page;z-index:-110994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宁波中金国联通 泰股权投资合伙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5pt;mso-position-horizontal-relative:char;mso-position-vertical-relative:line" coordorigin="0,0" coordsize="1358,313">
                  <v:group style="position:absolute;left:0;top:0;width:1358;height:313" coordorigin="0,0" coordsize="1358,313">
                    <v:shape style="position:absolute;left:0;top:0;width:1358;height:313" coordorigin="0,0" coordsize="1358,313"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13,262,599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13,262,599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上海理鼎投资管 理中心（有限合 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19,893,899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19,893,899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乐源财富管理有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6,631,299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6,631,299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青岛金石泓信投 资中心（有限合 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20,319,665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20,319,665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程晓龙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程绍稳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陈士保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付龙胜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宛玉超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64,901,609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213,868,460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277,480,069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4"/>
        <w:spacing w:line="240" w:lineRule="auto" w:before="26"/>
        <w:ind w:right="1034"/>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211,538,460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211,538,460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357" w:lineRule="auto" w:before="52"/>
        <w:ind w:left="444" w:right="1034" w:hanging="291"/>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 </w:t>
      </w:r>
      <w:r>
        <w:rPr>
          <w:rFonts w:ascii="宋体" w:hAnsi="宋体" w:cs="宋体" w:eastAsia="宋体" w:hint="default"/>
          <w:spacing w:val="-1"/>
          <w:sz w:val="18"/>
          <w:szCs w:val="18"/>
        </w:rPr>
        <w:t>公司自</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日取得中国证监会出具的证监许可</w:t>
      </w:r>
      <w:r>
        <w:rPr>
          <w:rFonts w:ascii="Times New Roman" w:hAnsi="Times New Roman" w:cs="Times New Roman" w:eastAsia="Times New Roman" w:hint="default"/>
          <w:spacing w:val="-1"/>
          <w:sz w:val="18"/>
          <w:szCs w:val="18"/>
        </w:rPr>
        <w:t>[2015]1726</w:t>
      </w:r>
      <w:r>
        <w:rPr>
          <w:rFonts w:ascii="宋体" w:hAnsi="宋体" w:cs="宋体" w:eastAsia="宋体" w:hint="default"/>
          <w:spacing w:val="-1"/>
          <w:sz w:val="18"/>
          <w:szCs w:val="18"/>
        </w:rPr>
        <w:t>号《关于核准安徽鑫龙电器股份有限公司向瞿洪桂等发</w:t>
      </w:r>
    </w:p>
    <w:p>
      <w:pPr>
        <w:spacing w:line="214"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行股份购买资产并募集配套资金的批复》并于，核准公司向瞿洪桂发行</w:t>
      </w:r>
      <w:r>
        <w:rPr>
          <w:rFonts w:ascii="Times New Roman" w:hAnsi="Times New Roman" w:cs="Times New Roman" w:eastAsia="Times New Roman" w:hint="default"/>
          <w:sz w:val="18"/>
          <w:szCs w:val="18"/>
        </w:rPr>
        <w:t>127,394,324</w:t>
      </w:r>
      <w:r>
        <w:rPr>
          <w:rFonts w:ascii="宋体" w:hAnsi="宋体" w:cs="宋体" w:eastAsia="宋体" w:hint="default"/>
          <w:sz w:val="18"/>
          <w:szCs w:val="18"/>
        </w:rPr>
        <w:t>股股份，向青岛金石泓信投资中心（有限</w:t>
      </w:r>
    </w:p>
    <w:p>
      <w:pPr>
        <w:spacing w:line="300" w:lineRule="auto" w:before="63"/>
        <w:ind w:left="153" w:right="1131" w:firstLine="0"/>
        <w:jc w:val="both"/>
        <w:rPr>
          <w:rFonts w:ascii="宋体" w:hAnsi="宋体" w:cs="宋体" w:eastAsia="宋体" w:hint="default"/>
          <w:sz w:val="18"/>
          <w:szCs w:val="18"/>
        </w:rPr>
      </w:pPr>
      <w:r>
        <w:rPr>
          <w:rFonts w:ascii="宋体" w:hAnsi="宋体" w:cs="宋体" w:eastAsia="宋体" w:hint="default"/>
          <w:sz w:val="18"/>
          <w:szCs w:val="18"/>
        </w:rPr>
        <w:t>合伙）发行</w:t>
      </w:r>
      <w:r>
        <w:rPr>
          <w:rFonts w:ascii="Times New Roman" w:hAnsi="Times New Roman" w:cs="Times New Roman" w:eastAsia="Times New Roman" w:hint="default"/>
          <w:sz w:val="18"/>
          <w:szCs w:val="18"/>
        </w:rPr>
        <w:t>20,319,665</w:t>
      </w:r>
      <w:r>
        <w:rPr>
          <w:rFonts w:ascii="宋体" w:hAnsi="宋体" w:cs="宋体" w:eastAsia="宋体" w:hint="default"/>
          <w:sz w:val="18"/>
          <w:szCs w:val="18"/>
        </w:rPr>
        <w:t>股股份、向张桂芹发行</w:t>
      </w:r>
      <w:r>
        <w:rPr>
          <w:rFonts w:ascii="Times New Roman" w:hAnsi="Times New Roman" w:cs="Times New Roman" w:eastAsia="Times New Roman" w:hint="default"/>
          <w:sz w:val="18"/>
          <w:szCs w:val="18"/>
        </w:rPr>
        <w:t>2,147,957</w:t>
      </w:r>
      <w:r>
        <w:rPr>
          <w:rFonts w:ascii="宋体" w:hAnsi="宋体" w:cs="宋体" w:eastAsia="宋体" w:hint="default"/>
          <w:sz w:val="18"/>
          <w:szCs w:val="18"/>
        </w:rPr>
        <w:t>股股份、向孟涛发行</w:t>
      </w:r>
      <w:r>
        <w:rPr>
          <w:rFonts w:ascii="Times New Roman" w:hAnsi="Times New Roman" w:cs="Times New Roman" w:eastAsia="Times New Roman" w:hint="default"/>
          <w:sz w:val="18"/>
          <w:szCs w:val="18"/>
        </w:rPr>
        <w:t>1,696,111</w:t>
      </w:r>
      <w:r>
        <w:rPr>
          <w:rFonts w:ascii="宋体" w:hAnsi="宋体" w:cs="宋体" w:eastAsia="宋体" w:hint="default"/>
          <w:sz w:val="18"/>
          <w:szCs w:val="18"/>
        </w:rPr>
        <w:t>股股份、向郭晨发行</w:t>
      </w:r>
      <w:r>
        <w:rPr>
          <w:rFonts w:ascii="Times New Roman" w:hAnsi="Times New Roman" w:cs="Times New Roman" w:eastAsia="Times New Roman" w:hint="default"/>
          <w:sz w:val="18"/>
          <w:szCs w:val="18"/>
        </w:rPr>
        <w:t>1,187,272</w:t>
      </w:r>
      <w:r>
        <w:rPr>
          <w:rFonts w:ascii="宋体" w:hAnsi="宋体" w:cs="宋体" w:eastAsia="宋体" w:hint="default"/>
          <w:sz w:val="18"/>
          <w:szCs w:val="18"/>
        </w:rPr>
        <w:t>股股份、 </w:t>
      </w:r>
      <w:r>
        <w:rPr>
          <w:rFonts w:ascii="宋体" w:hAnsi="宋体" w:cs="宋体" w:eastAsia="宋体" w:hint="default"/>
          <w:spacing w:val="-1"/>
          <w:sz w:val="18"/>
          <w:szCs w:val="18"/>
        </w:rPr>
        <w:t>向吴小岭发行</w:t>
      </w:r>
      <w:r>
        <w:rPr>
          <w:rFonts w:ascii="Times New Roman" w:hAnsi="Times New Roman" w:cs="Times New Roman" w:eastAsia="Times New Roman" w:hint="default"/>
          <w:spacing w:val="-1"/>
          <w:sz w:val="18"/>
          <w:szCs w:val="18"/>
        </w:rPr>
        <w:t>746,290</w:t>
      </w:r>
      <w:r>
        <w:rPr>
          <w:rFonts w:ascii="宋体" w:hAnsi="宋体" w:cs="宋体" w:eastAsia="宋体" w:hint="default"/>
          <w:spacing w:val="-1"/>
          <w:sz w:val="18"/>
          <w:szCs w:val="18"/>
        </w:rPr>
        <w:t>股股份、向周超发行</w:t>
      </w:r>
      <w:r>
        <w:rPr>
          <w:rFonts w:ascii="Times New Roman" w:hAnsi="Times New Roman" w:cs="Times New Roman" w:eastAsia="Times New Roman" w:hint="default"/>
          <w:spacing w:val="-1"/>
          <w:sz w:val="18"/>
          <w:szCs w:val="18"/>
        </w:rPr>
        <w:t>678,447</w:t>
      </w:r>
      <w:r>
        <w:rPr>
          <w:rFonts w:ascii="宋体" w:hAnsi="宋体" w:cs="宋体" w:eastAsia="宋体" w:hint="default"/>
          <w:spacing w:val="-1"/>
          <w:sz w:val="18"/>
          <w:szCs w:val="18"/>
        </w:rPr>
        <w:t>股股份、向何利发行</w:t>
      </w:r>
      <w:r>
        <w:rPr>
          <w:rFonts w:ascii="Times New Roman" w:hAnsi="Times New Roman" w:cs="Times New Roman" w:eastAsia="Times New Roman" w:hint="default"/>
          <w:spacing w:val="-1"/>
          <w:sz w:val="18"/>
          <w:szCs w:val="18"/>
        </w:rPr>
        <w:t>339,217</w:t>
      </w:r>
      <w:r>
        <w:rPr>
          <w:rFonts w:ascii="宋体" w:hAnsi="宋体" w:cs="宋体" w:eastAsia="宋体" w:hint="default"/>
          <w:spacing w:val="-1"/>
          <w:sz w:val="18"/>
          <w:szCs w:val="18"/>
        </w:rPr>
        <w:t>股股份购买相关资产；核准公司非公开发行不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超过</w:t>
      </w:r>
      <w:r>
        <w:rPr>
          <w:rFonts w:ascii="Times New Roman" w:hAnsi="Times New Roman" w:cs="Times New Roman" w:eastAsia="Times New Roman" w:hint="default"/>
          <w:spacing w:val="-2"/>
          <w:sz w:val="18"/>
          <w:szCs w:val="18"/>
        </w:rPr>
        <w:t>57,029,177</w:t>
      </w:r>
      <w:r>
        <w:rPr>
          <w:rFonts w:ascii="宋体" w:hAnsi="宋体" w:cs="宋体" w:eastAsia="宋体" w:hint="default"/>
          <w:spacing w:val="-2"/>
          <w:sz w:val="18"/>
          <w:szCs w:val="18"/>
        </w:rPr>
        <w:t>股新股募集本次发行股份购买资产的配套资金。</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日，公司非公开发行股票新增股份在深圳交易所</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上市。</w:t>
      </w:r>
    </w:p>
    <w:p>
      <w:pPr>
        <w:spacing w:line="240" w:lineRule="auto" w:before="7"/>
        <w:rPr>
          <w:rFonts w:ascii="宋体" w:hAnsi="宋体" w:cs="宋体" w:eastAsia="宋体" w:hint="default"/>
          <w:sz w:val="23"/>
          <w:szCs w:val="23"/>
        </w:rPr>
      </w:pPr>
    </w:p>
    <w:p>
      <w:pPr>
        <w:pStyle w:val="Heading6"/>
        <w:spacing w:line="240" w:lineRule="auto"/>
        <w:ind w:right="0"/>
        <w:jc w:val="both"/>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line="319" w:lineRule="auto"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月份，公司股权激励首次授予第二个行权期及预留期权第一个行权期进行了行权，行权数量为</w:t>
      </w:r>
      <w:r>
        <w:rPr>
          <w:rFonts w:ascii="Times New Roman" w:hAnsi="Times New Roman" w:cs="Times New Roman" w:eastAsia="Times New Roman" w:hint="default"/>
          <w:spacing w:val="-3"/>
          <w:sz w:val="18"/>
          <w:szCs w:val="18"/>
        </w:rPr>
        <w:t>753.2</w:t>
      </w:r>
      <w:r>
        <w:rPr>
          <w:rFonts w:ascii="宋体" w:hAnsi="宋体" w:cs="宋体" w:eastAsia="宋体" w:hint="default"/>
          <w:spacing w:val="-3"/>
          <w:sz w:val="18"/>
          <w:szCs w:val="18"/>
        </w:rPr>
        <w:t>万股已于</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日在中国证券登记结算有限责任公司深圳分公司核准登记。本次行权股份的上市时间为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p>
      <w:pPr>
        <w:spacing w:line="300" w:lineRule="auto" w:before="0"/>
        <w:ind w:left="153" w:right="1131"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、公司自</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日取得中国证监会出具的证监许可</w:t>
      </w:r>
      <w:r>
        <w:rPr>
          <w:rFonts w:ascii="Times New Roman" w:hAnsi="Times New Roman" w:cs="Times New Roman" w:eastAsia="Times New Roman" w:hint="default"/>
          <w:spacing w:val="-1"/>
          <w:sz w:val="18"/>
          <w:szCs w:val="18"/>
        </w:rPr>
        <w:t>[2015]1726</w:t>
      </w:r>
      <w:r>
        <w:rPr>
          <w:rFonts w:ascii="宋体" w:hAnsi="宋体" w:cs="宋体" w:eastAsia="宋体" w:hint="default"/>
          <w:spacing w:val="-1"/>
          <w:sz w:val="18"/>
          <w:szCs w:val="18"/>
        </w:rPr>
        <w:t>号《关于核准安徽鑫龙电器股份有限公司向瞿洪桂等发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行股份购买资产并募集配套资金的批复》并于核准公司向瞿洪桂发行</w:t>
      </w:r>
      <w:r>
        <w:rPr>
          <w:rFonts w:ascii="Times New Roman" w:hAnsi="Times New Roman" w:cs="Times New Roman" w:eastAsia="Times New Roman" w:hint="default"/>
          <w:spacing w:val="-2"/>
          <w:sz w:val="18"/>
          <w:szCs w:val="18"/>
        </w:rPr>
        <w:t>127,394,324</w:t>
      </w:r>
      <w:r>
        <w:rPr>
          <w:rFonts w:ascii="宋体" w:hAnsi="宋体" w:cs="宋体" w:eastAsia="宋体" w:hint="default"/>
          <w:spacing w:val="-2"/>
          <w:sz w:val="18"/>
          <w:szCs w:val="18"/>
        </w:rPr>
        <w:t>股股份，向青岛金石泓信投资中心（有限合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伙）发行</w:t>
      </w:r>
      <w:r>
        <w:rPr>
          <w:rFonts w:ascii="Times New Roman" w:hAnsi="Times New Roman" w:cs="Times New Roman" w:eastAsia="Times New Roman" w:hint="default"/>
          <w:sz w:val="18"/>
          <w:szCs w:val="18"/>
        </w:rPr>
        <w:t>20,319,665</w:t>
      </w:r>
      <w:r>
        <w:rPr>
          <w:rFonts w:ascii="宋体" w:hAnsi="宋体" w:cs="宋体" w:eastAsia="宋体" w:hint="default"/>
          <w:sz w:val="18"/>
          <w:szCs w:val="18"/>
        </w:rPr>
        <w:t>股股份、向张桂芹发行</w:t>
      </w:r>
      <w:r>
        <w:rPr>
          <w:rFonts w:ascii="Times New Roman" w:hAnsi="Times New Roman" w:cs="Times New Roman" w:eastAsia="Times New Roman" w:hint="default"/>
          <w:sz w:val="18"/>
          <w:szCs w:val="18"/>
        </w:rPr>
        <w:t>2,147,957</w:t>
      </w:r>
      <w:r>
        <w:rPr>
          <w:rFonts w:ascii="宋体" w:hAnsi="宋体" w:cs="宋体" w:eastAsia="宋体" w:hint="default"/>
          <w:sz w:val="18"/>
          <w:szCs w:val="18"/>
        </w:rPr>
        <w:t>股股份、向孟涛发行</w:t>
      </w:r>
      <w:r>
        <w:rPr>
          <w:rFonts w:ascii="Times New Roman" w:hAnsi="Times New Roman" w:cs="Times New Roman" w:eastAsia="Times New Roman" w:hint="default"/>
          <w:sz w:val="18"/>
          <w:szCs w:val="18"/>
        </w:rPr>
        <w:t>1,696,111</w:t>
      </w:r>
      <w:r>
        <w:rPr>
          <w:rFonts w:ascii="宋体" w:hAnsi="宋体" w:cs="宋体" w:eastAsia="宋体" w:hint="default"/>
          <w:sz w:val="18"/>
          <w:szCs w:val="18"/>
        </w:rPr>
        <w:t>股股份、向郭晨发行</w:t>
      </w:r>
      <w:r>
        <w:rPr>
          <w:rFonts w:ascii="Times New Roman" w:hAnsi="Times New Roman" w:cs="Times New Roman" w:eastAsia="Times New Roman" w:hint="default"/>
          <w:sz w:val="18"/>
          <w:szCs w:val="18"/>
        </w:rPr>
        <w:t>1,187,272</w:t>
      </w:r>
      <w:r>
        <w:rPr>
          <w:rFonts w:ascii="宋体" w:hAnsi="宋体" w:cs="宋体" w:eastAsia="宋体" w:hint="default"/>
          <w:sz w:val="18"/>
          <w:szCs w:val="18"/>
        </w:rPr>
        <w:t>股股份、向 </w:t>
      </w:r>
      <w:r>
        <w:rPr>
          <w:rFonts w:ascii="宋体" w:hAnsi="宋体" w:cs="宋体" w:eastAsia="宋体" w:hint="default"/>
          <w:spacing w:val="-1"/>
          <w:sz w:val="18"/>
          <w:szCs w:val="18"/>
        </w:rPr>
        <w:t>吴小岭发行</w:t>
      </w:r>
      <w:r>
        <w:rPr>
          <w:rFonts w:ascii="Times New Roman" w:hAnsi="Times New Roman" w:cs="Times New Roman" w:eastAsia="Times New Roman" w:hint="default"/>
          <w:spacing w:val="-1"/>
          <w:sz w:val="18"/>
          <w:szCs w:val="18"/>
        </w:rPr>
        <w:t>746,290</w:t>
      </w:r>
      <w:r>
        <w:rPr>
          <w:rFonts w:ascii="宋体" w:hAnsi="宋体" w:cs="宋体" w:eastAsia="宋体" w:hint="default"/>
          <w:spacing w:val="-1"/>
          <w:sz w:val="18"/>
          <w:szCs w:val="18"/>
        </w:rPr>
        <w:t>股股份、向周超发行</w:t>
      </w:r>
      <w:r>
        <w:rPr>
          <w:rFonts w:ascii="Times New Roman" w:hAnsi="Times New Roman" w:cs="Times New Roman" w:eastAsia="Times New Roman" w:hint="default"/>
          <w:spacing w:val="-1"/>
          <w:sz w:val="18"/>
          <w:szCs w:val="18"/>
        </w:rPr>
        <w:t>678,447</w:t>
      </w:r>
      <w:r>
        <w:rPr>
          <w:rFonts w:ascii="宋体" w:hAnsi="宋体" w:cs="宋体" w:eastAsia="宋体" w:hint="default"/>
          <w:spacing w:val="-1"/>
          <w:sz w:val="18"/>
          <w:szCs w:val="18"/>
        </w:rPr>
        <w:t>股股份、向何利发行</w:t>
      </w:r>
      <w:r>
        <w:rPr>
          <w:rFonts w:ascii="Times New Roman" w:hAnsi="Times New Roman" w:cs="Times New Roman" w:eastAsia="Times New Roman" w:hint="default"/>
          <w:spacing w:val="-1"/>
          <w:sz w:val="18"/>
          <w:szCs w:val="18"/>
        </w:rPr>
        <w:t>339,217</w:t>
      </w:r>
      <w:r>
        <w:rPr>
          <w:rFonts w:ascii="宋体" w:hAnsi="宋体" w:cs="宋体" w:eastAsia="宋体" w:hint="default"/>
          <w:spacing w:val="-1"/>
          <w:sz w:val="18"/>
          <w:szCs w:val="18"/>
        </w:rPr>
        <w:t>股股份购买相关资产；核准公司非公开发行不超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过</w:t>
      </w:r>
      <w:r>
        <w:rPr>
          <w:rFonts w:ascii="Times New Roman" w:hAnsi="Times New Roman" w:cs="Times New Roman" w:eastAsia="Times New Roman" w:hint="default"/>
          <w:spacing w:val="-2"/>
          <w:sz w:val="18"/>
          <w:szCs w:val="18"/>
        </w:rPr>
        <w:t>57,029,177</w:t>
      </w:r>
      <w:r>
        <w:rPr>
          <w:rFonts w:ascii="宋体" w:hAnsi="宋体" w:cs="宋体" w:eastAsia="宋体" w:hint="default"/>
          <w:spacing w:val="-2"/>
          <w:sz w:val="18"/>
          <w:szCs w:val="18"/>
        </w:rPr>
        <w:t>股新股募集本次发行股份购买资产的配套资金。</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日，公司非公开发行股票新增股份在深圳交易所上</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市</w:t>
      </w:r>
      <w:r>
        <w:rPr>
          <w:rFonts w:ascii="Times New Roman" w:hAnsi="Times New Roman" w:cs="Times New Roman" w:eastAsia="Times New Roman" w:hint="default"/>
          <w:sz w:val="18"/>
          <w:szCs w:val="18"/>
        </w:rPr>
        <w:t>,</w:t>
      </w:r>
      <w:r>
        <w:rPr>
          <w:rFonts w:ascii="宋体" w:hAnsi="宋体" w:cs="宋体" w:eastAsia="宋体" w:hint="default"/>
          <w:sz w:val="18"/>
          <w:szCs w:val="18"/>
        </w:rPr>
        <w:t>总股本增加至</w:t>
      </w:r>
      <w:r>
        <w:rPr>
          <w:rFonts w:ascii="Times New Roman" w:hAnsi="Times New Roman" w:cs="Times New Roman" w:eastAsia="Times New Roman" w:hint="default"/>
          <w:sz w:val="18"/>
          <w:szCs w:val="18"/>
        </w:rPr>
        <w:t>632,918,760</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6"/>
        <w:spacing w:line="240" w:lineRule="auto"/>
        <w:ind w:right="0"/>
        <w:jc w:val="both"/>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4"/>
        <w:spacing w:line="240" w:lineRule="auto"/>
        <w:ind w:right="0"/>
        <w:jc w:val="both"/>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59,346</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55,171</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20.13%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127,394,3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127,394,3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24</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127,394,3</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24</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48" w:type="dxa"/>
            <w:gridSpan w:val="2"/>
            <w:tcBorders>
              <w:top w:val="single" w:sz="48" w:space="0" w:color="D2D2D2"/>
              <w:left w:val="single" w:sz="4" w:space="0" w:color="000000"/>
              <w:bottom w:val="single" w:sz="4" w:space="0" w:color="000000"/>
              <w:right w:val="single" w:sz="4" w:space="0" w:color="000000"/>
            </w:tcBorders>
          </w:tcPr>
          <w:p>
            <w:pP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16.23%</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102,708,7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788" w:type="dxa"/>
            <w:gridSpan w:val="2"/>
            <w:vMerge w:val="restart"/>
            <w:tcBorders>
              <w:top w:val="single" w:sz="4" w:space="0" w:color="000000"/>
              <w:left w:val="single" w:sz="4" w:space="0" w:color="000000"/>
              <w:right w:val="single" w:sz="4" w:space="0" w:color="000000"/>
            </w:tcBorders>
          </w:tcPr>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sz w:val="18"/>
              </w:rPr>
              <w:t>17,241,38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36"/>
              <w:ind w:right="-9"/>
              <w:jc w:val="right"/>
              <w:rPr>
                <w:rFonts w:ascii="Times New Roman" w:hAnsi="Times New Roman" w:cs="Times New Roman" w:eastAsia="Times New Roman" w:hint="default"/>
                <w:sz w:val="18"/>
                <w:szCs w:val="18"/>
              </w:rPr>
            </w:pPr>
            <w:r>
              <w:rPr>
                <w:rFonts w:ascii="Times New Roman"/>
                <w:sz w:val="18"/>
              </w:rPr>
              <w:t>81,341,88</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9</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21,366,83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9,680,000</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8" w:type="dxa"/>
            <w:gridSpan w:val="2"/>
            <w:vMerge/>
            <w:tcBorders>
              <w:left w:val="single" w:sz="4" w:space="0" w:color="000000"/>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16,000,000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芜湖市鑫诚科技 投资有限公司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36,720,93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36,720,93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29,320,000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青岛金石泓信投 资中心（有限合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20,319,66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20,319,66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20,319,66</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5</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上海理鼎投资管 理中心（有限合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3.14%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19,893,89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19,893,89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19,893,89</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9</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交通银行股份有 限公司－工银瑞 信互联网加股票 型证券投资基金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2.39%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15,107,20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15,107,20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宁波中金国联通 泰股权投资合伙 企业（有限合伙）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2.10%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13,262,59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13,262,59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13,262,59</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9</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安徽省国有资产 运营有限公司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8,725,501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8,725,501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乐源财富管理有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6,631,299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6,631,299</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9"/>
              <w:jc w:val="left"/>
              <w:rPr>
                <w:rFonts w:ascii="Times New Roman" w:hAnsi="Times New Roman" w:cs="Times New Roman" w:eastAsia="Times New Roman" w:hint="default"/>
                <w:sz w:val="18"/>
                <w:szCs w:val="18"/>
              </w:rPr>
            </w:pPr>
            <w:r>
              <w:rPr>
                <w:rFonts w:ascii="Times New Roman"/>
                <w:sz w:val="18"/>
              </w:rPr>
              <w:t>6,631,299</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 份有限公司－工 银瑞信创新动力 股票型证券投资 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0.82%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5,216,854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5,216,854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p>
        </w:tc>
        <w:tc>
          <w:tcPr>
            <w:tcW w:w="668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20"/>
              <w:jc w:val="left"/>
              <w:rPr>
                <w:rFonts w:ascii="宋体" w:hAnsi="宋体" w:cs="宋体" w:eastAsia="宋体" w:hint="default"/>
                <w:sz w:val="18"/>
                <w:szCs w:val="18"/>
              </w:rPr>
            </w:pPr>
            <w:r>
              <w:rPr>
                <w:rFonts w:ascii="宋体" w:hAnsi="宋体" w:cs="宋体" w:eastAsia="宋体" w:hint="default"/>
                <w:sz w:val="18"/>
                <w:szCs w:val="18"/>
              </w:rPr>
              <w:t>上海理鼎投资管理中心（有限合伙</w:t>
            </w:r>
            <w:r>
              <w:rPr>
                <w:rFonts w:ascii="宋体" w:hAnsi="宋体" w:cs="宋体" w:eastAsia="宋体" w:hint="default"/>
                <w:spacing w:val="-90"/>
                <w:sz w:val="18"/>
                <w:szCs w:val="18"/>
              </w:rPr>
              <w:t>）</w:t>
            </w:r>
            <w:r>
              <w:rPr>
                <w:rFonts w:ascii="宋体" w:hAnsi="宋体" w:cs="宋体" w:eastAsia="宋体" w:hint="default"/>
                <w:sz w:val="18"/>
                <w:szCs w:val="18"/>
              </w:rPr>
              <w:t>、宁波中金国联通泰股权投资合伙企业（有限合</w:t>
            </w:r>
            <w:r>
              <w:rPr>
                <w:rFonts w:ascii="宋体" w:hAnsi="宋体" w:cs="宋体" w:eastAsia="宋体" w:hint="default"/>
                <w:sz w:val="18"/>
                <w:szCs w:val="18"/>
              </w:rPr>
              <w:t> 伙</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乐源财富管理有限公司因公司重大重组发行新股成为公司前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名</w:t>
            </w:r>
            <w:r>
              <w:rPr>
                <w:rFonts w:ascii="宋体" w:hAnsi="宋体" w:cs="宋体" w:eastAsia="宋体" w:hint="default"/>
                <w:sz w:val="18"/>
                <w:szCs w:val="18"/>
              </w:rPr>
              <w:t>股东</w:t>
            </w:r>
            <w:r>
              <w:rPr>
                <w:rFonts w:ascii="宋体" w:hAnsi="宋体" w:cs="宋体" w:eastAsia="宋体" w:hint="default"/>
                <w:spacing w:val="-15"/>
                <w:sz w:val="18"/>
                <w:szCs w:val="18"/>
              </w:rPr>
              <w:t>。</w:t>
            </w:r>
            <w:r>
              <w:rPr>
                <w:rFonts w:ascii="宋体" w:hAnsi="宋体" w:cs="宋体" w:eastAsia="宋体" w:hint="default"/>
                <w:sz w:val="18"/>
                <w:szCs w:val="18"/>
              </w:rPr>
              <w:t>此次非</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6"/>
        <w:gridCol w:w="3996"/>
        <w:gridCol w:w="1349"/>
        <w:gridCol w:w="1348"/>
      </w:tblGrid>
      <w:tr>
        <w:trPr>
          <w:trHeight w:val="358" w:hRule="exact"/>
        </w:trPr>
        <w:tc>
          <w:tcPr>
            <w:tcW w:w="287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3" w:type="dxa"/>
            <w:gridSpan w:val="3"/>
            <w:vMerge w:val="restart"/>
            <w:tcBorders>
              <w:top w:val="single" w:sz="4" w:space="0" w:color="000000"/>
              <w:left w:val="single" w:sz="10" w:space="0" w:color="D2D2D2"/>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公开新增股份于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日正式上市，公司约定本次发行取得的公司新增股份</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的锁定期为自本次交易新增股份上市之日起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p>
        </w:tc>
      </w:tr>
      <w:tr>
        <w:trPr>
          <w:trHeight w:val="317" w:hRule="exact"/>
        </w:trPr>
        <w:tc>
          <w:tcPr>
            <w:tcW w:w="2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93" w:type="dxa"/>
            <w:gridSpan w:val="3"/>
            <w:vMerge/>
            <w:tcBorders>
              <w:left w:val="single" w:sz="10" w:space="0" w:color="D2D2D2"/>
              <w:bottom w:val="single" w:sz="4" w:space="0" w:color="000000"/>
              <w:right w:val="single" w:sz="4" w:space="0" w:color="000000"/>
            </w:tcBorders>
          </w:tcPr>
          <w:p>
            <w:pPr/>
          </w:p>
        </w:tc>
      </w:tr>
      <w:tr>
        <w:trPr>
          <w:trHeight w:val="473" w:hRule="exact"/>
        </w:trPr>
        <w:tc>
          <w:tcPr>
            <w:tcW w:w="2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93" w:type="dxa"/>
            <w:gridSpan w:val="3"/>
            <w:vMerge w:val="restart"/>
            <w:tcBorders>
              <w:top w:val="single" w:sz="4" w:space="0" w:color="000000"/>
              <w:left w:val="single" w:sz="10" w:space="0" w:color="D2D2D2"/>
              <w:right w:val="single" w:sz="4" w:space="0" w:color="000000"/>
            </w:tcBorders>
          </w:tcPr>
          <w:p>
            <w:pPr>
              <w:pStyle w:val="TableParagraph"/>
              <w:spacing w:line="304" w:lineRule="auto" w:before="51"/>
              <w:ind w:left="21" w:right="21"/>
              <w:jc w:val="left"/>
              <w:rPr>
                <w:rFonts w:ascii="宋体" w:hAnsi="宋体" w:cs="宋体" w:eastAsia="宋体" w:hint="default"/>
                <w:sz w:val="18"/>
                <w:szCs w:val="18"/>
              </w:rPr>
            </w:pPr>
            <w:r>
              <w:rPr>
                <w:rFonts w:ascii="宋体" w:hAnsi="宋体" w:cs="宋体" w:eastAsia="宋体" w:hint="default"/>
                <w:sz w:val="18"/>
                <w:szCs w:val="18"/>
              </w:rPr>
              <w:t>束龙胜为芜湖市鑫诚科技投资有限公司一致行动人，束龙胜持有本公司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16.23%</w:t>
            </w:r>
            <w:r>
              <w:rPr>
                <w:rFonts w:ascii="宋体" w:hAnsi="宋体" w:cs="宋体" w:eastAsia="宋体" w:hint="default"/>
                <w:sz w:val="18"/>
                <w:szCs w:val="18"/>
              </w:rPr>
              <w:t>的股 份，通过持有芜湖市鑫诚科技投资有限公司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99.88</w:t>
            </w:r>
            <w:r>
              <w:rPr>
                <w:rFonts w:ascii="宋体" w:hAnsi="宋体" w:cs="宋体" w:eastAsia="宋体" w:hint="default"/>
                <w:sz w:val="18"/>
                <w:szCs w:val="18"/>
              </w:rPr>
              <w:t>％的股份间接持有本公司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w:t>
            </w:r>
            <w:r>
              <w:rPr>
                <w:rFonts w:ascii="宋体" w:hAnsi="宋体" w:cs="宋体" w:eastAsia="宋体" w:hint="default"/>
                <w:sz w:val="18"/>
                <w:szCs w:val="18"/>
              </w:rPr>
              <w:t>的股 </w:t>
            </w:r>
            <w:r>
              <w:rPr>
                <w:rFonts w:ascii="宋体" w:hAnsi="宋体" w:cs="宋体" w:eastAsia="宋体" w:hint="default"/>
                <w:spacing w:val="-4"/>
                <w:sz w:val="18"/>
                <w:szCs w:val="18"/>
              </w:rPr>
              <w:t>份，合并持有本公司</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22.03%</w:t>
            </w:r>
            <w:r>
              <w:rPr>
                <w:rFonts w:ascii="宋体" w:hAnsi="宋体" w:cs="宋体" w:eastAsia="宋体" w:hint="default"/>
                <w:spacing w:val="-2"/>
                <w:sz w:val="18"/>
                <w:szCs w:val="18"/>
              </w:rPr>
              <w:t>的股份，为公司第一大股东和实际控制人。未知公司上述</w:t>
            </w:r>
            <w:r>
              <w:rPr>
                <w:rFonts w:ascii="宋体" w:hAnsi="宋体" w:cs="宋体" w:eastAsia="宋体" w:hint="default"/>
                <w:sz w:val="18"/>
                <w:szCs w:val="18"/>
              </w:rPr>
              <w:t> </w:t>
            </w:r>
            <w:r>
              <w:rPr>
                <w:rFonts w:ascii="宋体" w:hAnsi="宋体" w:cs="宋体" w:eastAsia="宋体" w:hint="default"/>
                <w:spacing w:val="-1"/>
                <w:sz w:val="18"/>
                <w:szCs w:val="18"/>
              </w:rPr>
              <w:t>其他股东之间是否存在关联关系及是否属于《上市公司股东持股变动信息披露管理办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法》中规定的一致行动人。</w:t>
            </w:r>
          </w:p>
        </w:tc>
      </w:tr>
      <w:tr>
        <w:trPr>
          <w:trHeight w:val="705" w:hRule="exact"/>
        </w:trPr>
        <w:tc>
          <w:tcPr>
            <w:tcW w:w="28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3" w:type="dxa"/>
            <w:gridSpan w:val="3"/>
            <w:vMerge/>
            <w:tcBorders>
              <w:left w:val="single" w:sz="10" w:space="0" w:color="D2D2D2"/>
              <w:right w:val="single" w:sz="4" w:space="0" w:color="000000"/>
            </w:tcBorders>
          </w:tcPr>
          <w:p>
            <w:pPr/>
          </w:p>
        </w:tc>
      </w:tr>
      <w:tr>
        <w:trPr>
          <w:trHeight w:val="473" w:hRule="exact"/>
        </w:trPr>
        <w:tc>
          <w:tcPr>
            <w:tcW w:w="2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93" w:type="dxa"/>
            <w:gridSpan w:val="3"/>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6" w:type="dxa"/>
            <w:vMerge/>
            <w:tcBorders>
              <w:left w:val="single" w:sz="4" w:space="0" w:color="000000"/>
              <w:bottom w:val="nil" w:sz="6" w:space="0" w:color="auto"/>
              <w:right w:val="single" w:sz="4" w:space="0" w:color="000000"/>
            </w:tcBorders>
            <w:shd w:val="clear" w:color="auto" w:fill="D2D2D2"/>
          </w:tcPr>
          <w:p>
            <w:pPr/>
          </w:p>
        </w:tc>
        <w:tc>
          <w:tcPr>
            <w:tcW w:w="3996"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芜湖市鑫诚科技投资有限公司</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36,720,936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21,366,837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交通银行股份有限公司－工银瑞信 互联网加股票型证券投资基金</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15,107,200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安徽省国有资产运营有限公司</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8,725,501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中国农业银行股份有限公司－工银 瑞信创新动力股票型证券投资基金</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5,216,854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安徽鑫科新材料股份有限公司</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4,237,166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中国建设银行股份有限公司－工银 瑞信稳健成长混合型证券投资基金</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3,354,400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交通银行股份有限公司－富安达优 势成长股票型证券投资基金</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中国农业银行股份有限公司－工银 瑞信信息产业混合型证券投资基金</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1,925,682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韩仙强</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1,894,100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8" w:right="21"/>
              <w:jc w:val="left"/>
              <w:rPr>
                <w:rFonts w:ascii="宋体" w:hAnsi="宋体" w:cs="宋体" w:eastAsia="宋体" w:hint="default"/>
                <w:sz w:val="18"/>
                <w:szCs w:val="18"/>
              </w:rPr>
            </w:pPr>
            <w:r>
              <w:rPr>
                <w:rFonts w:ascii="宋体" w:hAnsi="宋体" w:cs="宋体" w:eastAsia="宋体" w:hint="default"/>
                <w:sz w:val="18"/>
                <w:szCs w:val="18"/>
              </w:rPr>
              <w:t>束龙胜为芜湖市鑫诚科技投资有限公司一致行动人，束龙胜持有本公司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16.23%</w:t>
            </w:r>
            <w:r>
              <w:rPr>
                <w:rFonts w:ascii="宋体" w:hAnsi="宋体" w:cs="宋体" w:eastAsia="宋体" w:hint="default"/>
                <w:sz w:val="18"/>
                <w:szCs w:val="18"/>
              </w:rPr>
              <w:t>的股 份，通过持有芜湖市鑫诚科技投资有限公司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99.88</w:t>
            </w:r>
            <w:r>
              <w:rPr>
                <w:rFonts w:ascii="宋体" w:hAnsi="宋体" w:cs="宋体" w:eastAsia="宋体" w:hint="default"/>
                <w:sz w:val="18"/>
                <w:szCs w:val="18"/>
              </w:rPr>
              <w:t>％的股份间接持有本公司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w:t>
            </w:r>
            <w:r>
              <w:rPr>
                <w:rFonts w:ascii="宋体" w:hAnsi="宋体" w:cs="宋体" w:eastAsia="宋体" w:hint="default"/>
                <w:sz w:val="18"/>
                <w:szCs w:val="18"/>
              </w:rPr>
              <w:t>的股 </w:t>
            </w:r>
            <w:r>
              <w:rPr>
                <w:rFonts w:ascii="宋体" w:hAnsi="宋体" w:cs="宋体" w:eastAsia="宋体" w:hint="default"/>
                <w:spacing w:val="-4"/>
                <w:sz w:val="18"/>
                <w:szCs w:val="18"/>
              </w:rPr>
              <w:t>份，合并持有本公司</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22.03%</w:t>
            </w:r>
            <w:r>
              <w:rPr>
                <w:rFonts w:ascii="宋体" w:hAnsi="宋体" w:cs="宋体" w:eastAsia="宋体" w:hint="default"/>
                <w:spacing w:val="-2"/>
                <w:sz w:val="18"/>
                <w:szCs w:val="18"/>
              </w:rPr>
              <w:t>的股份，为公司第一大股东和实际控制人。未知公司上述</w:t>
            </w:r>
            <w:r>
              <w:rPr>
                <w:rFonts w:ascii="宋体" w:hAnsi="宋体" w:cs="宋体" w:eastAsia="宋体" w:hint="default"/>
                <w:sz w:val="18"/>
                <w:szCs w:val="18"/>
              </w:rPr>
              <w:t> </w:t>
            </w:r>
            <w:r>
              <w:rPr>
                <w:rFonts w:ascii="宋体" w:hAnsi="宋体" w:cs="宋体" w:eastAsia="宋体" w:hint="default"/>
                <w:spacing w:val="-1"/>
                <w:sz w:val="18"/>
                <w:szCs w:val="18"/>
              </w:rPr>
              <w:t>其他股东之间是否存在关联关系及是否属于《上市公司股东持股变动信息披露管理办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法》中规定的一致行动人。</w:t>
            </w: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103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034" w:firstLine="0"/>
        <w:jc w:val="left"/>
        <w:rPr>
          <w:rFonts w:ascii="宋体" w:hAnsi="宋体" w:cs="宋体" w:eastAsia="宋体" w:hint="default"/>
          <w:sz w:val="18"/>
          <w:szCs w:val="18"/>
        </w:rPr>
      </w:pPr>
      <w:r>
        <w:rPr>
          <w:rFonts w:ascii="宋体" w:hAnsi="宋体" w:cs="宋体" w:eastAsia="宋体" w:hint="default"/>
          <w:sz w:val="18"/>
          <w:szCs w:val="18"/>
        </w:rPr>
        <w:t>控股股东类型：自然人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安徽中电兴发与鑫龙科技股份有限公司董事长</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6"/>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2"/>
        <w:rPr>
          <w:rFonts w:ascii="宋体" w:hAnsi="宋体" w:cs="宋体" w:eastAsia="宋体" w:hint="default"/>
          <w:sz w:val="20"/>
          <w:szCs w:val="20"/>
        </w:rPr>
      </w:pPr>
    </w:p>
    <w:p>
      <w:pPr>
        <w:pStyle w:val="Heading6"/>
        <w:spacing w:line="240" w:lineRule="auto"/>
        <w:ind w:right="1034"/>
        <w:jc w:val="left"/>
        <w:rPr>
          <w:b w:val="0"/>
          <w:bCs w:val="0"/>
        </w:rPr>
      </w:pPr>
      <w:bookmarkStart w:name="3、公司实际控制人情况" w:id="115"/>
      <w:bookmarkEnd w:id="11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
              <w:jc w:val="left"/>
              <w:rPr>
                <w:rFonts w:ascii="宋体" w:hAnsi="宋体" w:cs="宋体" w:eastAsia="宋体" w:hint="default"/>
                <w:sz w:val="18"/>
                <w:szCs w:val="18"/>
              </w:rPr>
            </w:pPr>
            <w:r>
              <w:rPr>
                <w:rFonts w:ascii="宋体" w:hAnsi="宋体" w:cs="宋体" w:eastAsia="宋体" w:hint="default"/>
                <w:sz w:val="18"/>
                <w:szCs w:val="18"/>
              </w:rPr>
              <w:t>参见：第八节 董事、监事、高级管理人员和公司员工情况中的 三、</w:t>
            </w:r>
            <w:r>
              <w:rPr>
                <w:rFonts w:ascii="宋体" w:hAnsi="宋体" w:cs="宋体" w:eastAsia="宋体" w:hint="default"/>
                <w:spacing w:val="-26"/>
                <w:sz w:val="18"/>
                <w:szCs w:val="18"/>
              </w:rPr>
              <w:t> </w:t>
            </w:r>
            <w:r>
              <w:rPr>
                <w:rFonts w:ascii="宋体" w:hAnsi="宋体" w:cs="宋体" w:eastAsia="宋体" w:hint="default"/>
                <w:sz w:val="18"/>
                <w:szCs w:val="18"/>
              </w:rPr>
              <w:t>任职情</w:t>
            </w:r>
            <w:r>
              <w:rPr>
                <w:rFonts w:ascii="宋体" w:hAnsi="宋体" w:cs="宋体" w:eastAsia="宋体" w:hint="default"/>
                <w:sz w:val="18"/>
                <w:szCs w:val="18"/>
              </w:rPr>
              <w:t> 况</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1034"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7"/>
        <w:rPr>
          <w:rFonts w:ascii="宋体" w:hAnsi="宋体" w:cs="宋体" w:eastAsia="宋体" w:hint="default"/>
          <w:sz w:val="16"/>
          <w:szCs w:val="16"/>
        </w:rPr>
      </w:pPr>
    </w:p>
    <w:p>
      <w:pPr>
        <w:spacing w:line="4920" w:lineRule="exact"/>
        <w:ind w:left="1569"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4321080" cy="31242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321080" cy="3124200"/>
                    </a:xfrm>
                    <a:prstGeom prst="rect">
                      <a:avLst/>
                    </a:prstGeom>
                  </pic:spPr>
                </pic:pic>
              </a:graphicData>
            </a:graphic>
          </wp:inline>
        </w:drawing>
      </w:r>
      <w:r>
        <w:rPr>
          <w:rFonts w:ascii="宋体" w:hAnsi="宋体" w:cs="宋体" w:eastAsia="宋体" w:hint="default"/>
          <w:position w:val="-97"/>
          <w:sz w:val="20"/>
          <w:szCs w:val="20"/>
        </w:rPr>
      </w:r>
    </w:p>
    <w:p>
      <w:pPr>
        <w:spacing w:after="0" w:line="492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5"/>
        <w:spacing w:line="240" w:lineRule="auto" w:before="26"/>
        <w:ind w:right="1034"/>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034"/>
        <w:jc w:val="left"/>
        <w:rPr>
          <w:b w:val="0"/>
          <w:bCs w:val="0"/>
        </w:rPr>
      </w:pPr>
      <w:bookmarkStart w:name="_TOC_250004" w:id="118"/>
      <w:bookmarkStart w:name="第七节 优先股相关情况" w:id="119"/>
      <w:r>
        <w:rPr>
          <w:b w:val="0"/>
          <w:bCs w:val="0"/>
        </w:rPr>
      </w:r>
      <w:r>
        <w:rPr/>
        <w:t>第七节</w:t>
      </w:r>
      <w:r>
        <w:rPr>
          <w:spacing w:val="-8"/>
        </w:rPr>
        <w:t> </w:t>
      </w:r>
      <w:r>
        <w:rPr/>
        <w:t>优先股相关情况</w:t>
      </w:r>
      <w:bookmarkEnd w:id="118"/>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034"/>
        <w:jc w:val="left"/>
        <w:rPr>
          <w:b w:val="0"/>
          <w:bCs w:val="0"/>
        </w:rPr>
      </w:pPr>
      <w:bookmarkStart w:name="_TOC_250003" w:id="120"/>
      <w:bookmarkStart w:name="第八节 董事、监事、高级管理人员和员工情况" w:id="121"/>
      <w:r>
        <w:rPr>
          <w:b w:val="0"/>
          <w:bCs w:val="0"/>
        </w:rPr>
      </w:r>
      <w:r>
        <w:rPr/>
        <w:t>第八节</w:t>
      </w:r>
      <w:r>
        <w:rPr>
          <w:spacing w:val="-16"/>
        </w:rPr>
        <w:t> </w:t>
      </w:r>
      <w:r>
        <w:rPr/>
        <w:t>董事、监事、高级管理人员和员工情况</w:t>
      </w:r>
      <w:bookmarkEnd w:id="120"/>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1034"/>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85,467,34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17,241,38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102,708,7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127,394,3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127,394,3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武文杰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总工程 师、董事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431,100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姚禄仕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汪和俊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葛愿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江明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陈邦莲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甘洪亮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陈任峰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付龙胜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程晓龙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陈士保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程绍稳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61,500</w:t>
            </w:r>
          </w:p>
        </w:tc>
      </w:tr>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宛玉超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7"/>
        <w:gridCol w:w="799"/>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86,042,14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146,965,7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453,200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232,545,6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r>
    </w:tbl>
    <w:p>
      <w:pPr>
        <w:spacing w:line="240" w:lineRule="auto" w:before="8"/>
        <w:rPr>
          <w:rFonts w:ascii="Times New Roman" w:hAnsi="Times New Roman" w:cs="Times New Roman" w:eastAsia="Times New Roman" w:hint="default"/>
          <w:sz w:val="20"/>
          <w:szCs w:val="20"/>
        </w:rPr>
      </w:pPr>
    </w:p>
    <w:p>
      <w:pPr>
        <w:pStyle w:val="Heading4"/>
        <w:spacing w:line="240" w:lineRule="auto" w:before="26"/>
        <w:ind w:left="154" w:right="1034"/>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董事会提名委员会提名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武文杰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陈任峰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甘洪亮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付龙胜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个人原因，辞去副总经理职务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程晓龙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个人原因，辞去副总经理职务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个人原因，辞去副总经理职务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陈士保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个人原因，辞去副总经理职务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程绍稳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个人原因，辞去副总经理职务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宛玉超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个人原因，辞去总工程师职务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332"/>
        <w:gridCol w:w="1331"/>
        <w:gridCol w:w="1330"/>
        <w:gridCol w:w="1330"/>
        <w:gridCol w:w="4248"/>
      </w:tblGrid>
      <w:tr>
        <w:trPr>
          <w:trHeight w:val="71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个人原因，辞去总经理职务</w:t>
            </w:r>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0"/>
        <w:jc w:val="both"/>
        <w:rPr>
          <w:b w:val="0"/>
          <w:bCs w:val="0"/>
        </w:rPr>
      </w:pPr>
      <w:bookmarkStart w:name="三、任职情况" w:id="124"/>
      <w:bookmarkEnd w:id="124"/>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373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公司现任董事、监事、高级管理人员最近</w:t>
      </w:r>
      <w:r>
        <w:rPr>
          <w:rFonts w:ascii="Times New Roman" w:hAnsi="Times New Roman" w:cs="Times New Roman" w:eastAsia="Times New Roman" w:hint="default"/>
          <w:sz w:val="18"/>
          <w:szCs w:val="18"/>
        </w:rPr>
        <w:t>5</w:t>
      </w:r>
      <w:r>
        <w:rPr>
          <w:rFonts w:ascii="宋体" w:hAnsi="宋体" w:cs="宋体" w:eastAsia="宋体" w:hint="default"/>
          <w:sz w:val="18"/>
          <w:szCs w:val="18"/>
        </w:rPr>
        <w:t>年的主要工作经历</w:t>
      </w:r>
    </w:p>
    <w:p>
      <w:pPr>
        <w:spacing w:line="300" w:lineRule="auto" w:before="1"/>
        <w:ind w:left="153" w:right="1129" w:firstLine="360"/>
        <w:jc w:val="both"/>
        <w:rPr>
          <w:rFonts w:ascii="宋体" w:hAnsi="宋体" w:cs="宋体" w:eastAsia="宋体" w:hint="default"/>
          <w:sz w:val="18"/>
          <w:szCs w:val="18"/>
        </w:rPr>
      </w:pPr>
      <w:r>
        <w:rPr>
          <w:rFonts w:ascii="宋体" w:hAnsi="宋体" w:cs="宋体" w:eastAsia="宋体" w:hint="default"/>
          <w:spacing w:val="-2"/>
          <w:sz w:val="18"/>
          <w:szCs w:val="18"/>
        </w:rPr>
        <w:t>公司第六届董事会目前由</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名董事组成，其中非独立董事</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名：束龙胜先生、瞿洪桂先生、武文杰先生、李小庆先生、张</w:t>
      </w:r>
      <w:r>
        <w:rPr>
          <w:rFonts w:ascii="宋体" w:hAnsi="宋体" w:cs="宋体" w:eastAsia="宋体" w:hint="default"/>
          <w:sz w:val="18"/>
          <w:szCs w:val="18"/>
        </w:rPr>
        <w:t> 祥先生、孙国财先生；独立董事</w:t>
      </w:r>
      <w:r>
        <w:rPr>
          <w:rFonts w:ascii="Times New Roman" w:hAnsi="Times New Roman" w:cs="Times New Roman" w:eastAsia="Times New Roman" w:hint="default"/>
          <w:sz w:val="18"/>
          <w:szCs w:val="18"/>
        </w:rPr>
        <w:t>3</w:t>
      </w:r>
      <w:r>
        <w:rPr>
          <w:rFonts w:ascii="宋体" w:hAnsi="宋体" w:cs="宋体" w:eastAsia="宋体" w:hint="default"/>
          <w:sz w:val="18"/>
          <w:szCs w:val="18"/>
        </w:rPr>
        <w:t>名：葛愿先生、姚禄仕先生、汪和俊先生。</w:t>
      </w:r>
    </w:p>
    <w:p>
      <w:pPr>
        <w:spacing w:line="300" w:lineRule="auto" w:before="13"/>
        <w:ind w:left="513" w:right="1123" w:firstLine="0"/>
        <w:jc w:val="left"/>
        <w:rPr>
          <w:rFonts w:ascii="宋体" w:hAnsi="宋体" w:cs="宋体" w:eastAsia="宋体" w:hint="default"/>
          <w:sz w:val="18"/>
          <w:szCs w:val="18"/>
        </w:rPr>
      </w:pPr>
      <w:r>
        <w:rPr>
          <w:rFonts w:ascii="宋体" w:hAnsi="宋体" w:cs="宋体" w:eastAsia="宋体" w:hint="default"/>
          <w:sz w:val="18"/>
          <w:szCs w:val="18"/>
        </w:rPr>
        <w:t>公司第六届监事会目前由</w:t>
      </w:r>
      <w:r>
        <w:rPr>
          <w:rFonts w:ascii="Times New Roman" w:hAnsi="Times New Roman" w:cs="Times New Roman" w:eastAsia="Times New Roman" w:hint="default"/>
          <w:sz w:val="18"/>
          <w:szCs w:val="18"/>
        </w:rPr>
        <w:t>3</w:t>
      </w:r>
      <w:r>
        <w:rPr>
          <w:rFonts w:ascii="宋体" w:hAnsi="宋体" w:cs="宋体" w:eastAsia="宋体" w:hint="default"/>
          <w:sz w:val="18"/>
          <w:szCs w:val="18"/>
        </w:rPr>
        <w:t>名监事组成，其中非职工监事</w:t>
      </w:r>
      <w:r>
        <w:rPr>
          <w:rFonts w:ascii="Times New Roman" w:hAnsi="Times New Roman" w:cs="Times New Roman" w:eastAsia="Times New Roman" w:hint="default"/>
          <w:sz w:val="18"/>
          <w:szCs w:val="18"/>
        </w:rPr>
        <w:t>1</w:t>
      </w:r>
      <w:r>
        <w:rPr>
          <w:rFonts w:ascii="宋体" w:hAnsi="宋体" w:cs="宋体" w:eastAsia="宋体" w:hint="default"/>
          <w:sz w:val="18"/>
          <w:szCs w:val="18"/>
        </w:rPr>
        <w:t>名：张良会先生；职工监事</w:t>
      </w:r>
      <w:r>
        <w:rPr>
          <w:rFonts w:ascii="Times New Roman" w:hAnsi="Times New Roman" w:cs="Times New Roman" w:eastAsia="Times New Roman" w:hint="default"/>
          <w:sz w:val="18"/>
          <w:szCs w:val="18"/>
        </w:rPr>
        <w:t>2</w:t>
      </w:r>
      <w:r>
        <w:rPr>
          <w:rFonts w:ascii="宋体" w:hAnsi="宋体" w:cs="宋体" w:eastAsia="宋体" w:hint="default"/>
          <w:sz w:val="18"/>
          <w:szCs w:val="18"/>
        </w:rPr>
        <w:t>名：陈邦莲女士、甘洪亮先生。 公司现任高管共</w:t>
      </w:r>
      <w:r>
        <w:rPr>
          <w:rFonts w:ascii="Times New Roman" w:hAnsi="Times New Roman" w:cs="Times New Roman" w:eastAsia="Times New Roman" w:hint="default"/>
          <w:sz w:val="18"/>
          <w:szCs w:val="18"/>
        </w:rPr>
        <w:t>7</w:t>
      </w:r>
      <w:r>
        <w:rPr>
          <w:rFonts w:ascii="宋体" w:hAnsi="宋体" w:cs="宋体" w:eastAsia="宋体" w:hint="default"/>
          <w:sz w:val="18"/>
          <w:szCs w:val="18"/>
        </w:rPr>
        <w:t>名，束龙胜先生为公司总经理，汪宇先生为公司副总经理兼董事会秘书，闫涛先生、陈任峰先生、王</w:t>
      </w:r>
    </w:p>
    <w:p>
      <w:pPr>
        <w:spacing w:before="13"/>
        <w:ind w:left="154" w:right="0" w:firstLine="0"/>
        <w:jc w:val="both"/>
        <w:rPr>
          <w:rFonts w:ascii="宋体" w:hAnsi="宋体" w:cs="宋体" w:eastAsia="宋体" w:hint="default"/>
          <w:sz w:val="18"/>
          <w:szCs w:val="18"/>
        </w:rPr>
      </w:pPr>
      <w:r>
        <w:rPr>
          <w:rFonts w:ascii="宋体" w:hAnsi="宋体" w:cs="宋体" w:eastAsia="宋体" w:hint="default"/>
          <w:sz w:val="18"/>
          <w:szCs w:val="18"/>
        </w:rPr>
        <w:t>金海先生；李小庆先生为公司总工程师；陶黎明先生为公司财务负责人。</w:t>
      </w:r>
    </w:p>
    <w:p>
      <w:pPr>
        <w:spacing w:line="300" w:lineRule="auto" w:before="76"/>
        <w:ind w:left="514" w:right="1122" w:firstLine="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、董事任职情况 束龙胜，男，中国国籍，未拥有永久境外居留权，</w:t>
      </w:r>
      <w:r>
        <w:rPr>
          <w:rFonts w:ascii="Times New Roman" w:hAnsi="Times New Roman" w:cs="Times New Roman" w:eastAsia="Times New Roman" w:hint="default"/>
          <w:sz w:val="18"/>
          <w:szCs w:val="18"/>
        </w:rPr>
        <w:t>1963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月出生，研究生学历，高级工程师。曾任铜陵市磷铵厂技术</w:t>
      </w:r>
    </w:p>
    <w:p>
      <w:pPr>
        <w:spacing w:line="309" w:lineRule="auto" w:before="13"/>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员，芜湖市电器设备厂厂长、芜湖市时创信用担保有限公司董事。自</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年起一直担任公司董事会董事，现任公司董事长兼</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总经理、芜湖市鑫诚科技投资有限公司董事长，安徽鑫龙自动化有限公司董事长、安徽鑫龙变压器有限公司董事长，安徽鑫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东投资管理有限公司董事长，斯高思电器（安徽）有限公司董事长。</w:t>
      </w:r>
    </w:p>
    <w:p>
      <w:pPr>
        <w:spacing w:line="316" w:lineRule="auto" w:before="24"/>
        <w:ind w:left="154" w:right="1034" w:firstLine="360"/>
        <w:jc w:val="left"/>
        <w:rPr>
          <w:rFonts w:ascii="宋体" w:hAnsi="宋体" w:cs="宋体" w:eastAsia="宋体" w:hint="default"/>
          <w:sz w:val="18"/>
          <w:szCs w:val="18"/>
        </w:rPr>
      </w:pPr>
      <w:r>
        <w:rPr>
          <w:rFonts w:ascii="宋体" w:hAnsi="宋体" w:cs="宋体" w:eastAsia="宋体" w:hint="default"/>
          <w:spacing w:val="-4"/>
          <w:sz w:val="18"/>
          <w:szCs w:val="18"/>
        </w:rPr>
        <w:t>束龙胜先生曾任中国电工技术学会青年工作委员会委员、安徽省政协委员、芜湖市政协常委、芜湖市第十三届人大代表、</w:t>
      </w:r>
      <w:r>
        <w:rPr>
          <w:rFonts w:ascii="宋体" w:hAnsi="宋体" w:cs="宋体" w:eastAsia="宋体" w:hint="default"/>
          <w:sz w:val="18"/>
          <w:szCs w:val="18"/>
        </w:rPr>
        <w:t> </w:t>
      </w:r>
      <w:r>
        <w:rPr>
          <w:rFonts w:ascii="宋体" w:hAnsi="宋体" w:cs="宋体" w:eastAsia="宋体" w:hint="default"/>
          <w:spacing w:val="-2"/>
          <w:sz w:val="18"/>
          <w:szCs w:val="18"/>
        </w:rPr>
        <w:t>芜湖市工商业联合会第十届委员会会长，并获得安徽省劳动模范、安徽省优秀民营科技企业家、安徽省年度经济人物、芜湖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市创新创业优秀人才、合芜蚌自主创新人才等荣誉称号。</w:t>
      </w:r>
    </w:p>
    <w:p>
      <w:pPr>
        <w:spacing w:line="312" w:lineRule="auto" w:before="19"/>
        <w:ind w:left="154" w:right="1130" w:firstLine="360"/>
        <w:jc w:val="both"/>
        <w:rPr>
          <w:rFonts w:ascii="宋体" w:hAnsi="宋体" w:cs="宋体" w:eastAsia="宋体" w:hint="default"/>
          <w:sz w:val="18"/>
          <w:szCs w:val="18"/>
        </w:rPr>
      </w:pPr>
      <w:r>
        <w:rPr>
          <w:rFonts w:ascii="宋体" w:hAnsi="宋体" w:cs="宋体" w:eastAsia="宋体" w:hint="default"/>
          <w:sz w:val="18"/>
          <w:szCs w:val="18"/>
        </w:rPr>
        <w:t>瞿洪桂，男，中国国籍，未拥有永久境外居留权，</w:t>
      </w:r>
      <w:r>
        <w:rPr>
          <w:rFonts w:ascii="Times New Roman" w:hAnsi="Times New Roman" w:cs="Times New Roman" w:eastAsia="Times New Roman" w:hint="default"/>
          <w:sz w:val="18"/>
          <w:szCs w:val="18"/>
        </w:rPr>
        <w:t>1965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月出生，中共党员，研究生学历，国家一级注册建造师，计 </w:t>
      </w:r>
      <w:r>
        <w:rPr>
          <w:rFonts w:ascii="宋体" w:hAnsi="宋体" w:cs="宋体" w:eastAsia="宋体" w:hint="default"/>
          <w:spacing w:val="-2"/>
          <w:sz w:val="18"/>
          <w:szCs w:val="18"/>
        </w:rPr>
        <w:t>算机信息系统集成高级项目经理，国家注册自动化系统工程师，高级工程师。曾工作于中国电子器材总公司。现任中电兴发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董事长、总裁、北海中电兴发科技集团公司董事长、中投仙能科技（北京）有限公司执行董事、大咖互联（北京）技术有限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公司执行董事与经理。</w:t>
      </w:r>
    </w:p>
    <w:p>
      <w:pPr>
        <w:spacing w:line="309" w:lineRule="auto" w:before="22"/>
        <w:ind w:left="154" w:right="1132" w:firstLine="360"/>
        <w:jc w:val="both"/>
        <w:rPr>
          <w:rFonts w:ascii="宋体" w:hAnsi="宋体" w:cs="宋体" w:eastAsia="宋体" w:hint="default"/>
          <w:sz w:val="18"/>
          <w:szCs w:val="18"/>
        </w:rPr>
      </w:pPr>
      <w:r>
        <w:rPr>
          <w:rFonts w:ascii="宋体" w:hAnsi="宋体" w:cs="宋体" w:eastAsia="宋体" w:hint="default"/>
          <w:spacing w:val="-4"/>
          <w:sz w:val="18"/>
          <w:szCs w:val="18"/>
        </w:rPr>
        <w:t>武文杰，男，中国国籍，未拥有永久境外居留权，</w:t>
      </w:r>
      <w:r>
        <w:rPr>
          <w:rFonts w:ascii="Times New Roman" w:hAnsi="Times New Roman" w:cs="Times New Roman" w:eastAsia="Times New Roman" w:hint="default"/>
          <w:spacing w:val="-4"/>
          <w:sz w:val="18"/>
          <w:szCs w:val="18"/>
        </w:rPr>
        <w:t>1968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月出生，研究生学历，高级工程师，国家注册电气工程师（供</w:t>
      </w:r>
      <w:r>
        <w:rPr>
          <w:rFonts w:ascii="宋体" w:hAnsi="宋体" w:cs="宋体" w:eastAsia="宋体" w:hint="default"/>
          <w:sz w:val="18"/>
          <w:szCs w:val="18"/>
        </w:rPr>
        <w:t> </w:t>
      </w:r>
      <w:r>
        <w:rPr>
          <w:rFonts w:ascii="宋体" w:hAnsi="宋体" w:cs="宋体" w:eastAsia="宋体" w:hint="default"/>
          <w:spacing w:val="-2"/>
          <w:sz w:val="18"/>
          <w:szCs w:val="18"/>
        </w:rPr>
        <w:t>配电、发输变电）。曾任中国石油天然气总公司大港油田勘察设计研究院院电信室主任工程师、副主任，现任天津市泰达工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程设计有限公司董事长兼总经理、湖北省黄冈市政协委员，</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年度促进劳动关系稳定贡献奖</w:t>
      </w:r>
      <w:r>
        <w:rPr>
          <w:rFonts w:ascii="Times New Roman" w:hAnsi="Times New Roman" w:cs="Times New Roman" w:eastAsia="Times New Roman" w:hint="default"/>
          <w:sz w:val="18"/>
          <w:szCs w:val="18"/>
        </w:rPr>
        <w:t>”</w:t>
      </w:r>
      <w:r>
        <w:rPr>
          <w:rFonts w:ascii="宋体" w:hAnsi="宋体" w:cs="宋体" w:eastAsia="宋体" w:hint="default"/>
          <w:sz w:val="18"/>
          <w:szCs w:val="18"/>
        </w:rPr>
        <w:t>荣誉称号。</w:t>
      </w:r>
    </w:p>
    <w:p>
      <w:pPr>
        <w:spacing w:line="300" w:lineRule="auto" w:before="5"/>
        <w:ind w:left="154" w:right="1129" w:firstLine="360"/>
        <w:jc w:val="both"/>
        <w:rPr>
          <w:rFonts w:ascii="宋体" w:hAnsi="宋体" w:cs="宋体" w:eastAsia="宋体" w:hint="default"/>
          <w:sz w:val="18"/>
          <w:szCs w:val="18"/>
        </w:rPr>
      </w:pPr>
      <w:r>
        <w:rPr>
          <w:rFonts w:ascii="宋体" w:hAnsi="宋体" w:cs="宋体" w:eastAsia="宋体" w:hint="default"/>
          <w:sz w:val="18"/>
          <w:szCs w:val="18"/>
        </w:rPr>
        <w:t>李小庆，男，中国国籍，未拥有永久境外居留权，</w:t>
      </w:r>
      <w:r>
        <w:rPr>
          <w:rFonts w:ascii="Times New Roman" w:hAnsi="Times New Roman" w:cs="Times New Roman" w:eastAsia="Times New Roman" w:hint="default"/>
          <w:sz w:val="18"/>
          <w:szCs w:val="18"/>
        </w:rPr>
        <w:t>1964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月出生，本科学历，高级工程师。曾任芜湖市粮油食品局科 </w:t>
      </w:r>
      <w:r>
        <w:rPr>
          <w:rFonts w:ascii="宋体" w:hAnsi="宋体" w:cs="宋体" w:eastAsia="宋体" w:hint="default"/>
          <w:spacing w:val="-2"/>
          <w:sz w:val="18"/>
          <w:szCs w:val="18"/>
        </w:rPr>
        <w:t>员，芜湖市益新面粉公司科长、副总经理。自</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年起一直担任公司董事会董事、副总经理，现任公司董事、安徽鑫龙电力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工程安装有限公司、安徽佑赛科技有限公司董事长。</w:t>
      </w:r>
    </w:p>
    <w:p>
      <w:pPr>
        <w:spacing w:line="300" w:lineRule="auto" w:before="31"/>
        <w:ind w:left="154" w:right="1130" w:firstLine="360"/>
        <w:jc w:val="both"/>
        <w:rPr>
          <w:rFonts w:ascii="宋体" w:hAnsi="宋体" w:cs="宋体" w:eastAsia="宋体" w:hint="default"/>
          <w:sz w:val="18"/>
          <w:szCs w:val="18"/>
        </w:rPr>
      </w:pPr>
      <w:r>
        <w:rPr>
          <w:rFonts w:ascii="宋体" w:hAnsi="宋体" w:cs="宋体" w:eastAsia="宋体" w:hint="default"/>
          <w:sz w:val="18"/>
          <w:szCs w:val="18"/>
        </w:rPr>
        <w:t>张祥，男，中国国籍，未拥有永久境外居留权，</w:t>
      </w:r>
      <w:r>
        <w:rPr>
          <w:rFonts w:ascii="Times New Roman" w:hAnsi="Times New Roman" w:cs="Times New Roman" w:eastAsia="Times New Roman" w:hint="default"/>
          <w:sz w:val="18"/>
          <w:szCs w:val="18"/>
        </w:rPr>
        <w:t>1963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月出生，本科学历，高级工程师。曾任蚌埠柠檬酸厂能源办主 </w:t>
      </w:r>
      <w:r>
        <w:rPr>
          <w:rFonts w:ascii="宋体" w:hAnsi="宋体" w:cs="宋体" w:eastAsia="宋体" w:hint="default"/>
          <w:spacing w:val="-2"/>
          <w:sz w:val="18"/>
          <w:szCs w:val="18"/>
        </w:rPr>
        <w:t>任。自</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年起一直担任公司副总经理，现任公司董事、安徽鑫龙低压电器有限公司董事长，安徽鑫龙电器元件销售有限公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司董事长。</w:t>
      </w:r>
    </w:p>
    <w:p>
      <w:pPr>
        <w:spacing w:line="300" w:lineRule="auto" w:before="31"/>
        <w:ind w:left="154" w:right="1130" w:firstLine="360"/>
        <w:jc w:val="both"/>
        <w:rPr>
          <w:rFonts w:ascii="宋体" w:hAnsi="宋体" w:cs="宋体" w:eastAsia="宋体" w:hint="default"/>
          <w:sz w:val="18"/>
          <w:szCs w:val="18"/>
        </w:rPr>
      </w:pPr>
      <w:r>
        <w:rPr>
          <w:rFonts w:ascii="宋体" w:hAnsi="宋体" w:cs="宋体" w:eastAsia="宋体" w:hint="default"/>
          <w:sz w:val="18"/>
          <w:szCs w:val="18"/>
        </w:rPr>
        <w:t>孙国财，男，中国国籍，未拥有永久境外居留权，</w:t>
      </w:r>
      <w:r>
        <w:rPr>
          <w:rFonts w:ascii="Times New Roman" w:hAnsi="Times New Roman" w:cs="Times New Roman" w:eastAsia="Times New Roman" w:hint="default"/>
          <w:sz w:val="18"/>
          <w:szCs w:val="18"/>
        </w:rPr>
        <w:t>1953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月出生，中专学历，高级工程师。曾任芜湖市开关总厂技术 副厂长，自</w:t>
      </w:r>
      <w:r>
        <w:rPr>
          <w:rFonts w:ascii="Times New Roman" w:hAnsi="Times New Roman" w:cs="Times New Roman" w:eastAsia="Times New Roman" w:hint="default"/>
          <w:sz w:val="18"/>
          <w:szCs w:val="18"/>
        </w:rPr>
        <w:t>2008</w:t>
      </w:r>
      <w:r>
        <w:rPr>
          <w:rFonts w:ascii="宋体" w:hAnsi="宋体" w:cs="宋体" w:eastAsia="宋体" w:hint="default"/>
          <w:sz w:val="18"/>
          <w:szCs w:val="18"/>
        </w:rPr>
        <w:t>年起担任公司副总经理、现任公司董事，现任安徽森源电器有限公司常务副总。</w:t>
      </w:r>
    </w:p>
    <w:p>
      <w:pPr>
        <w:spacing w:line="300" w:lineRule="auto" w:before="13"/>
        <w:ind w:left="153" w:right="1129" w:firstLine="360"/>
        <w:jc w:val="both"/>
        <w:rPr>
          <w:rFonts w:ascii="宋体" w:hAnsi="宋体" w:cs="宋体" w:eastAsia="宋体" w:hint="default"/>
          <w:sz w:val="18"/>
          <w:szCs w:val="18"/>
        </w:rPr>
      </w:pPr>
      <w:r>
        <w:rPr>
          <w:rFonts w:ascii="宋体" w:hAnsi="宋体" w:cs="宋体" w:eastAsia="宋体" w:hint="default"/>
          <w:sz w:val="18"/>
          <w:szCs w:val="18"/>
        </w:rPr>
        <w:t>姚禄仕，男，中国国籍，未拥有永久境外居留权，</w:t>
      </w:r>
      <w:r>
        <w:rPr>
          <w:rFonts w:ascii="Times New Roman" w:hAnsi="Times New Roman" w:cs="Times New Roman" w:eastAsia="Times New Roman" w:hint="default"/>
          <w:sz w:val="18"/>
          <w:szCs w:val="18"/>
        </w:rPr>
        <w:t>1962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月出生，博士学位。</w:t>
      </w:r>
      <w:r>
        <w:rPr>
          <w:rFonts w:ascii="Times New Roman" w:hAnsi="Times New Roman" w:cs="Times New Roman" w:eastAsia="Times New Roman" w:hint="default"/>
          <w:sz w:val="18"/>
          <w:szCs w:val="18"/>
        </w:rPr>
        <w:t>1985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月至今在合肥工业大学管理学 院会计系任教。</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月至今任本公司独立董事。</w:t>
      </w:r>
    </w:p>
    <w:p>
      <w:pPr>
        <w:spacing w:line="309" w:lineRule="auto" w:before="13"/>
        <w:ind w:left="154" w:right="1130" w:firstLine="360"/>
        <w:jc w:val="both"/>
        <w:rPr>
          <w:rFonts w:ascii="宋体" w:hAnsi="宋体" w:cs="宋体" w:eastAsia="宋体" w:hint="default"/>
          <w:sz w:val="18"/>
          <w:szCs w:val="18"/>
        </w:rPr>
      </w:pPr>
      <w:r>
        <w:rPr>
          <w:rFonts w:ascii="宋体" w:hAnsi="宋体" w:cs="宋体" w:eastAsia="宋体" w:hint="default"/>
          <w:sz w:val="18"/>
          <w:szCs w:val="18"/>
        </w:rPr>
        <w:t>汪和俊，男，中国国籍，未拥有永久境外居留权，</w:t>
      </w:r>
      <w:r>
        <w:rPr>
          <w:rFonts w:ascii="Times New Roman" w:hAnsi="Times New Roman" w:cs="Times New Roman" w:eastAsia="Times New Roman" w:hint="default"/>
          <w:sz w:val="18"/>
          <w:szCs w:val="18"/>
        </w:rPr>
        <w:t>1977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月出生，大专学历，中国注册会计师，中国注册税务师。曾 </w:t>
      </w:r>
      <w:r>
        <w:rPr>
          <w:rFonts w:ascii="宋体" w:hAnsi="宋体" w:cs="宋体" w:eastAsia="宋体" w:hint="default"/>
          <w:spacing w:val="-2"/>
          <w:sz w:val="18"/>
          <w:szCs w:val="18"/>
        </w:rPr>
        <w:t>就职于安徽无为国家粮食储备库、安徽永诚会计师事务所、安徽新安会计师事务所、开元信德会计师事务所安徽分所，现任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安徽和讯税务师事务所有限公司董事长。</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月至今任本公司独立董事。</w:t>
      </w:r>
    </w:p>
    <w:p>
      <w:pPr>
        <w:spacing w:line="300" w:lineRule="auto" w:before="5"/>
        <w:ind w:left="153" w:right="1132" w:firstLine="360"/>
        <w:jc w:val="both"/>
        <w:rPr>
          <w:rFonts w:ascii="宋体" w:hAnsi="宋体" w:cs="宋体" w:eastAsia="宋体" w:hint="default"/>
          <w:sz w:val="18"/>
          <w:szCs w:val="18"/>
        </w:rPr>
      </w:pPr>
      <w:r>
        <w:rPr>
          <w:rFonts w:ascii="宋体" w:hAnsi="宋体" w:cs="宋体" w:eastAsia="宋体" w:hint="default"/>
          <w:spacing w:val="-2"/>
          <w:sz w:val="18"/>
          <w:szCs w:val="18"/>
        </w:rPr>
        <w:t>葛愿，中国国籍，未拥有永久境外居留权，</w:t>
      </w:r>
      <w:r>
        <w:rPr>
          <w:rFonts w:ascii="Times New Roman" w:hAnsi="Times New Roman" w:cs="Times New Roman" w:eastAsia="Times New Roman" w:hint="default"/>
          <w:spacing w:val="-2"/>
          <w:sz w:val="18"/>
          <w:szCs w:val="18"/>
        </w:rPr>
        <w:t>1979</w:t>
      </w:r>
      <w:r>
        <w:rPr>
          <w:rFonts w:ascii="宋体" w:hAnsi="宋体" w:cs="宋体" w:eastAsia="宋体" w:hint="default"/>
          <w:spacing w:val="-2"/>
          <w:sz w:val="18"/>
          <w:szCs w:val="18"/>
        </w:rPr>
        <w:t>年出生，博士学位，九三学社社员。现任安徽工程大学教授、硕士生导</w:t>
      </w:r>
      <w:r>
        <w:rPr>
          <w:rFonts w:ascii="宋体" w:hAnsi="宋体" w:cs="宋体" w:eastAsia="宋体" w:hint="default"/>
          <w:sz w:val="18"/>
          <w:szCs w:val="18"/>
        </w:rPr>
        <w:t> 师、学术骨干，安徽省学术与技术带头人后备人选。</w:t>
      </w:r>
    </w:p>
    <w:p>
      <w:pPr>
        <w:spacing w:line="300" w:lineRule="auto" w:before="31"/>
        <w:ind w:left="508" w:right="1128" w:firstLine="6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、监事任职情况 陈邦莲，女，中国国籍，未拥有永久境外居留权，</w:t>
      </w:r>
      <w:r>
        <w:rPr>
          <w:rFonts w:ascii="Times New Roman" w:hAnsi="Times New Roman" w:cs="Times New Roman" w:eastAsia="Times New Roman" w:hint="default"/>
          <w:sz w:val="18"/>
          <w:szCs w:val="18"/>
        </w:rPr>
        <w:t>1972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月出生，中专学历。曾任公司第五届监事会监事，现任本公</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506" w:right="1130" w:hanging="353"/>
        <w:jc w:val="left"/>
        <w:rPr>
          <w:rFonts w:ascii="Times New Roman" w:hAnsi="Times New Roman" w:cs="Times New Roman" w:eastAsia="Times New Roman" w:hint="default"/>
          <w:sz w:val="18"/>
          <w:szCs w:val="18"/>
        </w:rPr>
      </w:pPr>
      <w:r>
        <w:rPr>
          <w:rFonts w:ascii="宋体" w:hAnsi="宋体" w:cs="宋体" w:eastAsia="宋体" w:hint="default"/>
          <w:sz w:val="18"/>
          <w:szCs w:val="18"/>
        </w:rPr>
        <w:t>司监事会主席。 张良会，男，中国国籍，未拥有永久境外居留权，</w:t>
      </w:r>
      <w:r>
        <w:rPr>
          <w:rFonts w:ascii="Times New Roman" w:hAnsi="Times New Roman" w:cs="Times New Roman" w:eastAsia="Times New Roman" w:hint="default"/>
          <w:sz w:val="18"/>
          <w:szCs w:val="18"/>
        </w:rPr>
        <w:t>1971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月出生，硕士研究生学历，会计师、注册会计师职称。</w:t>
      </w:r>
      <w:r>
        <w:rPr>
          <w:rFonts w:ascii="Times New Roman" w:hAnsi="Times New Roman" w:cs="Times New Roman" w:eastAsia="Times New Roman" w:hint="default"/>
          <w:sz w:val="18"/>
          <w:szCs w:val="18"/>
        </w:rPr>
        <w:t>1991</w:t>
      </w:r>
    </w:p>
    <w:p>
      <w:pPr>
        <w:spacing w:line="312" w:lineRule="auto" w:before="0"/>
        <w:ind w:left="154" w:right="1131"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月参加工作，</w:t>
      </w: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月加入中国共产党。历任安徽省皮革塑料工业公司会计、财务科副科长、财务部经理，安徽省金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安实业总公司改制办主任，安徽省二轻供销公司副总经理，安徽省汽车工贸联营（集团）公司副总经理、安徽省经纬饮食娱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乐有限公司负责人，安徽省金安实业总公司企业改革部部长、企业部部长、第四党支部书记等。现任本公司监事、安徽省国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有资产运营有限公司产权部经理。</w:t>
      </w:r>
    </w:p>
    <w:p>
      <w:pPr>
        <w:spacing w:line="300" w:lineRule="auto" w:before="22"/>
        <w:ind w:left="154" w:right="1133" w:firstLine="352"/>
        <w:jc w:val="both"/>
        <w:rPr>
          <w:rFonts w:ascii="宋体" w:hAnsi="宋体" w:cs="宋体" w:eastAsia="宋体" w:hint="default"/>
          <w:sz w:val="18"/>
          <w:szCs w:val="18"/>
        </w:rPr>
      </w:pPr>
      <w:r>
        <w:rPr>
          <w:rFonts w:ascii="宋体" w:hAnsi="宋体" w:cs="宋体" w:eastAsia="宋体" w:hint="default"/>
          <w:sz w:val="18"/>
          <w:szCs w:val="18"/>
        </w:rPr>
        <w:t>甘洪亮，男，中国国籍，未拥有永久境外居留权，</w:t>
      </w:r>
      <w:r>
        <w:rPr>
          <w:rFonts w:ascii="Times New Roman" w:hAnsi="Times New Roman" w:cs="Times New Roman" w:eastAsia="Times New Roman" w:hint="default"/>
          <w:sz w:val="18"/>
          <w:szCs w:val="18"/>
        </w:rPr>
        <w:t>1983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月出生，本科学历。现任公司监事、审计部负责人、苏州开 关二厂有限公司监事。</w:t>
      </w:r>
    </w:p>
    <w:p>
      <w:pPr>
        <w:spacing w:line="300" w:lineRule="auto" w:before="31"/>
        <w:ind w:left="514" w:right="1122" w:firstLine="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、其他高级管理人员任职情况 汪宇，男，中国国籍，未拥有永久境外居留权，</w:t>
      </w:r>
      <w:r>
        <w:rPr>
          <w:rFonts w:ascii="Times New Roman" w:hAnsi="Times New Roman" w:cs="Times New Roman" w:eastAsia="Times New Roman" w:hint="default"/>
          <w:sz w:val="18"/>
          <w:szCs w:val="18"/>
        </w:rPr>
        <w:t>1970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月出生，中共党员，研究生学历，会计师，安徽省劳动模范、</w:t>
      </w:r>
    </w:p>
    <w:p>
      <w:pPr>
        <w:spacing w:line="314" w:lineRule="auto" w:before="13"/>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芜湖市第十五届人大代表、中共芜湖市党代表。曾任芜湖缝纫机厂财务科副科长、副厂长、厂长，芜湖凯元集团副总裁、总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裁，本公司财务部经理、财务负责人。自</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年起一直担任公司副总经理、董事会秘书。现任北京中电兴发科技有限公司董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事、苏州开关二厂有限公司董事、安徽鑫龙电器成套有限公司董事、安徽森源电器有限公司董事、安徽佑赛科技有限公司董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事、安徽鑫龙低压电器董事、安徽鑫龙电力工程安装有限公司董事、安徽鑫龙变压器有限公司董事、安徽鑫龙模具科技有限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公司董事长。</w:t>
      </w:r>
    </w:p>
    <w:p>
      <w:pPr>
        <w:spacing w:line="309" w:lineRule="auto" w:before="20"/>
        <w:ind w:left="153" w:right="1132" w:firstLine="360"/>
        <w:jc w:val="both"/>
        <w:rPr>
          <w:rFonts w:ascii="宋体" w:hAnsi="宋体" w:cs="宋体" w:eastAsia="宋体" w:hint="default"/>
          <w:sz w:val="18"/>
          <w:szCs w:val="18"/>
        </w:rPr>
      </w:pPr>
      <w:r>
        <w:rPr>
          <w:rFonts w:ascii="宋体" w:hAnsi="宋体" w:cs="宋体" w:eastAsia="宋体" w:hint="default"/>
          <w:spacing w:val="-2"/>
          <w:sz w:val="18"/>
          <w:szCs w:val="18"/>
        </w:rPr>
        <w:t>闫涛，男，中国国籍，未拥有永久境外居留权，</w:t>
      </w:r>
      <w:r>
        <w:rPr>
          <w:rFonts w:ascii="Times New Roman" w:hAnsi="Times New Roman" w:cs="Times New Roman" w:eastAsia="Times New Roman" w:hint="default"/>
          <w:spacing w:val="-2"/>
          <w:sz w:val="18"/>
          <w:szCs w:val="18"/>
        </w:rPr>
        <w:t>1976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月出生，大专学历。曾任公司物流部经理、成套二厂厂长、安</w:t>
      </w:r>
      <w:r>
        <w:rPr>
          <w:rFonts w:ascii="宋体" w:hAnsi="宋体" w:cs="宋体" w:eastAsia="宋体" w:hint="default"/>
          <w:sz w:val="18"/>
          <w:szCs w:val="18"/>
        </w:rPr>
        <w:t> </w:t>
      </w:r>
      <w:r>
        <w:rPr>
          <w:rFonts w:ascii="宋体" w:hAnsi="宋体" w:cs="宋体" w:eastAsia="宋体" w:hint="default"/>
          <w:spacing w:val="-2"/>
          <w:sz w:val="18"/>
          <w:szCs w:val="18"/>
        </w:rPr>
        <w:t>徽美能储能系统有限公司运营经理、安徽鑫龙低压电器有限公司总经理。现任公司副总经理、安徽鑫龙电器成套有限公司总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经理。</w:t>
      </w:r>
    </w:p>
    <w:p>
      <w:pPr>
        <w:spacing w:line="300" w:lineRule="auto" w:before="24"/>
        <w:ind w:left="154" w:right="1050" w:firstLine="360"/>
        <w:jc w:val="both"/>
        <w:rPr>
          <w:rFonts w:ascii="宋体" w:hAnsi="宋体" w:cs="宋体" w:eastAsia="宋体" w:hint="default"/>
          <w:sz w:val="18"/>
          <w:szCs w:val="18"/>
        </w:rPr>
      </w:pPr>
      <w:r>
        <w:rPr>
          <w:rFonts w:ascii="宋体" w:hAnsi="宋体" w:cs="宋体" w:eastAsia="宋体" w:hint="default"/>
          <w:spacing w:val="-2"/>
          <w:sz w:val="18"/>
          <w:szCs w:val="18"/>
        </w:rPr>
        <w:t>陈任峰，男，中国国籍，未拥有永久境外居留权，</w:t>
      </w:r>
      <w:r>
        <w:rPr>
          <w:rFonts w:ascii="Times New Roman" w:hAnsi="Times New Roman" w:cs="Times New Roman" w:eastAsia="Times New Roman" w:hint="default"/>
          <w:spacing w:val="-2"/>
          <w:sz w:val="18"/>
          <w:szCs w:val="18"/>
        </w:rPr>
        <w:t>1983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月出生，清华博士后。曾任北京华腾开元电气有限公司副总</w:t>
      </w:r>
      <w:r>
        <w:rPr>
          <w:rFonts w:ascii="宋体" w:hAnsi="宋体" w:cs="宋体" w:eastAsia="宋体" w:hint="default"/>
          <w:sz w:val="18"/>
          <w:szCs w:val="18"/>
        </w:rPr>
        <w:t> 经理，现任公司副总经理、安徽佑赛科技有限公司总经理、天津泰达电力工程公司董事、北京中电兴发科技有限公司董事。</w:t>
      </w:r>
    </w:p>
    <w:p>
      <w:pPr>
        <w:spacing w:line="300" w:lineRule="auto" w:before="31"/>
        <w:ind w:left="154" w:right="1130" w:firstLine="360"/>
        <w:jc w:val="both"/>
        <w:rPr>
          <w:rFonts w:ascii="宋体" w:hAnsi="宋体" w:cs="宋体" w:eastAsia="宋体" w:hint="default"/>
          <w:sz w:val="18"/>
          <w:szCs w:val="18"/>
        </w:rPr>
      </w:pPr>
      <w:r>
        <w:rPr>
          <w:rFonts w:ascii="宋体" w:hAnsi="宋体" w:cs="宋体" w:eastAsia="宋体" w:hint="default"/>
          <w:sz w:val="18"/>
          <w:szCs w:val="18"/>
        </w:rPr>
        <w:t>王金海，男，中国国籍，未拥有永久境外居留权，</w:t>
      </w:r>
      <w:r>
        <w:rPr>
          <w:rFonts w:ascii="Times New Roman" w:hAnsi="Times New Roman" w:cs="Times New Roman" w:eastAsia="Times New Roman" w:hint="default"/>
          <w:sz w:val="18"/>
          <w:szCs w:val="18"/>
        </w:rPr>
        <w:t>1969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月出生，大专学历，高级经济师。曾就职于芜湖天安机电公 司任工程主管及业务主管、公司销售二部业务主管、总经理助理及副总经理、公司总经理，现任公司副总经理。</w:t>
      </w:r>
    </w:p>
    <w:p>
      <w:pPr>
        <w:spacing w:line="300" w:lineRule="auto" w:before="32"/>
        <w:ind w:left="154" w:right="1130" w:firstLine="360"/>
        <w:jc w:val="both"/>
        <w:rPr>
          <w:rFonts w:ascii="宋体" w:hAnsi="宋体" w:cs="宋体" w:eastAsia="宋体" w:hint="default"/>
          <w:sz w:val="18"/>
          <w:szCs w:val="18"/>
        </w:rPr>
      </w:pPr>
      <w:r>
        <w:rPr>
          <w:rFonts w:ascii="宋体" w:hAnsi="宋体" w:cs="宋体" w:eastAsia="宋体" w:hint="default"/>
          <w:sz w:val="18"/>
          <w:szCs w:val="18"/>
        </w:rPr>
        <w:t>陶黎明，男，中国国籍，未拥有永久境外居留权，</w:t>
      </w:r>
      <w:r>
        <w:rPr>
          <w:rFonts w:ascii="Times New Roman" w:hAnsi="Times New Roman" w:cs="Times New Roman" w:eastAsia="Times New Roman" w:hint="default"/>
          <w:sz w:val="18"/>
          <w:szCs w:val="18"/>
        </w:rPr>
        <w:t>1975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月出生，本科学历，中国注册会计师。曾就职于芜湖市轻工 工艺品进出口公司，南京中达制膜（集团）股份有限公司。现任公司财务负责人、总经理助理。</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安徽省国有资产运营有限公司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姚禄仕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合肥工业大学管理学院会计系</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合伙人兼安 徽分所所长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葛愿</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安徽工程大学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1034"/>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998"/>
        <w:gridCol w:w="7570"/>
      </w:tblGrid>
      <w:tr>
        <w:trPr>
          <w:trHeight w:val="740" w:hRule="exact"/>
        </w:trPr>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董事、监事、高级管理人 员报酬的决策程序</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7"/>
              <w:jc w:val="left"/>
              <w:rPr>
                <w:rFonts w:ascii="宋体" w:hAnsi="宋体" w:cs="宋体" w:eastAsia="宋体" w:hint="default"/>
                <w:sz w:val="18"/>
                <w:szCs w:val="18"/>
              </w:rPr>
            </w:pPr>
            <w:r>
              <w:rPr>
                <w:rFonts w:ascii="宋体" w:hAnsi="宋体" w:cs="宋体" w:eastAsia="宋体" w:hint="default"/>
                <w:sz w:val="18"/>
                <w:szCs w:val="18"/>
              </w:rPr>
              <w:t>经董事会薪酬与考核委员会审定后提交董事会审议，决策程序符合《公司法》，《公司章程》，</w:t>
            </w:r>
          </w:p>
          <w:p>
            <w:pPr>
              <w:pStyle w:val="TableParagraph"/>
              <w:spacing w:line="240" w:lineRule="auto" w:before="78"/>
              <w:ind w:left="2" w:right="0"/>
              <w:jc w:val="left"/>
              <w:rPr>
                <w:rFonts w:ascii="宋体" w:hAnsi="宋体" w:cs="宋体" w:eastAsia="宋体" w:hint="default"/>
                <w:sz w:val="18"/>
                <w:szCs w:val="18"/>
              </w:rPr>
            </w:pPr>
            <w:r>
              <w:rPr>
                <w:rFonts w:ascii="宋体" w:hAnsi="宋体" w:cs="宋体" w:eastAsia="宋体" w:hint="default"/>
                <w:sz w:val="18"/>
                <w:szCs w:val="18"/>
              </w:rPr>
              <w:t>《董事会薪酬委员会工作细则》的相关规定。</w:t>
            </w:r>
          </w:p>
        </w:tc>
      </w:tr>
      <w:tr>
        <w:trPr>
          <w:trHeight w:val="1051" w:hRule="exact"/>
        </w:trPr>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董事、监事、高级管理人 员报酬确定依据</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68"/>
              <w:jc w:val="both"/>
              <w:rPr>
                <w:rFonts w:ascii="宋体" w:hAnsi="宋体" w:cs="宋体" w:eastAsia="宋体" w:hint="default"/>
                <w:sz w:val="18"/>
                <w:szCs w:val="18"/>
              </w:rPr>
            </w:pPr>
            <w:r>
              <w:rPr>
                <w:rFonts w:ascii="宋体" w:hAnsi="宋体" w:cs="宋体" w:eastAsia="宋体" w:hint="default"/>
                <w:sz w:val="18"/>
                <w:szCs w:val="18"/>
              </w:rPr>
              <w:t>公司依据《高管人员薪酬管理制度》和股东大会审议通过的〈关于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安徽鑫龙电器股份有限公司 高级管理人员薪酬方案</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的议案〉、《关于公司第六届董事会独立董事津贴的议案》以及董事会 审议通过的《关于调整公司高级管理人员的议案》确定董事、监事、高管人员报酬。</w:t>
            </w:r>
          </w:p>
        </w:tc>
      </w:tr>
      <w:tr>
        <w:trPr>
          <w:trHeight w:val="1051" w:hRule="exact"/>
        </w:trPr>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董事、监事和高级管理人 员报酬的实际支付情况</w:t>
            </w:r>
          </w:p>
        </w:tc>
        <w:tc>
          <w:tcPr>
            <w:tcW w:w="75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公司现任董事、监事、高级管理人员实际在公司领取报酬有</w:t>
            </w:r>
            <w:r>
              <w:rPr>
                <w:rFonts w:ascii="Times New Roman" w:hAnsi="Times New Roman" w:cs="Times New Roman" w:eastAsia="Times New Roman" w:hint="default"/>
                <w:sz w:val="18"/>
                <w:szCs w:val="18"/>
              </w:rPr>
              <w:t>17</w:t>
            </w:r>
            <w:r>
              <w:rPr>
                <w:rFonts w:ascii="宋体" w:hAnsi="宋体" w:cs="宋体" w:eastAsia="宋体" w:hint="default"/>
                <w:sz w:val="18"/>
                <w:szCs w:val="18"/>
              </w:rPr>
              <w:t>人，截止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日，现任董 事、监事、高级管理人员在公司领取的年度报酬的总数为</w:t>
            </w:r>
            <w:r>
              <w:rPr>
                <w:rFonts w:ascii="Times New Roman" w:hAnsi="Times New Roman" w:cs="Times New Roman" w:eastAsia="Times New Roman" w:hint="default"/>
                <w:sz w:val="18"/>
                <w:szCs w:val="18"/>
              </w:rPr>
              <w:t>198.48</w:t>
            </w:r>
            <w:r>
              <w:rPr>
                <w:rFonts w:ascii="宋体" w:hAnsi="宋体" w:cs="宋体" w:eastAsia="宋体" w:hint="default"/>
                <w:sz w:val="18"/>
                <w:szCs w:val="18"/>
              </w:rPr>
              <w:t>万元（税前），其中现任独立董 事在公司领取的津贴总额为</w:t>
            </w:r>
            <w:r>
              <w:rPr>
                <w:rFonts w:ascii="Times New Roman" w:hAnsi="Times New Roman" w:cs="Times New Roman" w:eastAsia="Times New Roman" w:hint="default"/>
                <w:sz w:val="18"/>
                <w:szCs w:val="18"/>
              </w:rPr>
              <w:t>15</w:t>
            </w:r>
            <w:r>
              <w:rPr>
                <w:rFonts w:ascii="宋体" w:hAnsi="宋体" w:cs="宋体" w:eastAsia="宋体" w:hint="default"/>
                <w:sz w:val="18"/>
                <w:szCs w:val="18"/>
              </w:rPr>
              <w:t>万元（税前）。</w:t>
            </w:r>
          </w:p>
        </w:tc>
      </w:tr>
    </w:tbl>
    <w:p>
      <w:pPr>
        <w:spacing w:line="240" w:lineRule="auto" w:before="5"/>
        <w:rPr>
          <w:rFonts w:ascii="宋体" w:hAnsi="宋体" w:cs="宋体" w:eastAsia="宋体" w:hint="default"/>
          <w:sz w:val="24"/>
          <w:szCs w:val="24"/>
        </w:rPr>
      </w:pPr>
    </w:p>
    <w:p>
      <w:pPr>
        <w:spacing w:before="44"/>
        <w:ind w:left="154" w:right="1034"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武文杰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总工程师、董事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w w:val="95"/>
                <w:sz w:val="18"/>
              </w:rPr>
              <w:t>11.4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姚禄仕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汪和俊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江明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陈邦莲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甘洪亮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陈任峰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财务部负责人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付龙胜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程晓龙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陈士保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程绍稳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宛玉超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219.62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195" w:space="3725"/>
            <w:col w:w="2010"/>
          </w:cols>
        </w:sectPr>
      </w:pPr>
    </w:p>
    <w:p>
      <w:pPr>
        <w:spacing w:line="240" w:lineRule="auto" w:before="1"/>
        <w:rPr>
          <w:rFonts w:ascii="宋体" w:hAnsi="宋体" w:cs="宋体" w:eastAsia="宋体" w:hint="default"/>
          <w:sz w:val="8"/>
          <w:szCs w:val="8"/>
        </w:rPr>
      </w:pPr>
      <w:r>
        <w:rPr/>
        <w:pict>
          <v:shape style="position:absolute;margin-left:101.360001pt;margin-top:315.319977pt;width:85.35pt;height:15.6pt;mso-position-horizontal-relative:page;mso-position-vertical-relative:page;z-index:-110989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202,500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114"/>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312" w:lineRule="exact"/>
              <w:ind w:left="-4"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05pt;height:15.6pt;mso-position-horizontal-relative:char;mso-position-vertical-relative:line" coordorigin="0,0" coordsize="861,312">
                  <v:group style="position:absolute;left:0;top:0;width:861;height:312" coordorigin="0,0" coordsize="861,312">
                    <v:shape style="position:absolute;left:0;top:0;width:861;height:312" coordorigin="0,0" coordsize="861,312" path="m0,312l860,312,86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202,500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付龙胜</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离任高管</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程晓龙</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离任高管</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宛玉超</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离任高管</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李骏</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离任高管</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陈士保</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离任高管</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程绍稳</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离任高管</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王金海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（预留）</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2,330,000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1,410,000</w:t>
            </w:r>
          </w:p>
        </w:tc>
      </w:tr>
      <w:tr>
        <w:trPr>
          <w:trHeight w:val="1338"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 w:right="61"/>
              <w:jc w:val="left"/>
              <w:rPr>
                <w:rFonts w:ascii="宋体" w:hAnsi="宋体" w:cs="宋体" w:eastAsia="宋体" w:hint="default"/>
                <w:sz w:val="18"/>
                <w:szCs w:val="18"/>
              </w:rPr>
            </w:pPr>
            <w:r>
              <w:rPr>
                <w:rFonts w:ascii="宋体" w:hAnsi="宋体" w:cs="宋体" w:eastAsia="宋体" w:hint="default"/>
                <w:sz w:val="18"/>
                <w:szCs w:val="18"/>
              </w:rPr>
              <w:t>本报告期，公司第六届董事会第五次会议审议通过了《关于股票期权激励计划首次授予第二个行权 </w:t>
            </w:r>
            <w:r>
              <w:rPr>
                <w:rFonts w:ascii="宋体" w:hAnsi="宋体" w:cs="宋体" w:eastAsia="宋体" w:hint="default"/>
                <w:spacing w:val="-4"/>
                <w:sz w:val="18"/>
                <w:szCs w:val="18"/>
              </w:rPr>
              <w:t>期及预留期权第一个行权期可行权的议案》，可行权日期间即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日止。截止报告期末，公司董事、高级管理人员报告期内已行权</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2,330,000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本期已解锁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920,000</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股，期末共持有限制性股票数量我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line="240" w:lineRule="auto" w:before="2"/>
        <w:rPr>
          <w:rFonts w:ascii="宋体" w:hAnsi="宋体" w:cs="宋体" w:eastAsia="宋体" w:hint="default"/>
          <w:sz w:val="18"/>
          <w:szCs w:val="18"/>
        </w:rPr>
      </w:pPr>
    </w:p>
    <w:p>
      <w:pPr>
        <w:pStyle w:val="Heading4"/>
        <w:spacing w:line="240" w:lineRule="auto" w:before="26"/>
        <w:ind w:left="154" w:right="1034"/>
        <w:jc w:val="left"/>
        <w:rPr>
          <w:b w:val="0"/>
          <w:bCs w:val="0"/>
        </w:rPr>
      </w:pPr>
      <w:bookmarkStart w:name="五、公司员工情况" w:id="126"/>
      <w:bookmarkEnd w:id="126"/>
      <w:r>
        <w:rPr>
          <w:b w:val="0"/>
          <w:bCs w:val="0"/>
        </w:rPr>
      </w:r>
      <w:r>
        <w:rPr/>
        <w:t>五、公司员工情况</w:t>
      </w:r>
      <w:r>
        <w:rPr>
          <w:b w:val="0"/>
          <w:bCs w:val="0"/>
        </w:rPr>
      </w:r>
    </w:p>
    <w:p>
      <w:pPr>
        <w:spacing w:line="240" w:lineRule="auto" w:before="6"/>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、截至</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日，公司在职员工为</w:t>
      </w:r>
      <w:r>
        <w:rPr>
          <w:rFonts w:ascii="Times New Roman" w:hAnsi="Times New Roman" w:cs="Times New Roman" w:eastAsia="Times New Roman" w:hint="default"/>
          <w:b/>
          <w:bCs/>
          <w:sz w:val="18"/>
          <w:szCs w:val="18"/>
        </w:rPr>
        <w:t>1,100</w:t>
      </w:r>
      <w:r>
        <w:rPr>
          <w:rFonts w:ascii="宋体" w:hAnsi="宋体" w:cs="宋体" w:eastAsia="宋体" w:hint="default"/>
          <w:b/>
          <w:bCs/>
          <w:sz w:val="18"/>
          <w:szCs w:val="18"/>
        </w:rPr>
        <w:t>人。公司员工的专业结构、受教育程度和年龄分布如下：</w:t>
      </w:r>
      <w:r>
        <w:rPr>
          <w:rFonts w:ascii="宋体" w:hAnsi="宋体" w:cs="宋体" w:eastAsia="宋体" w:hint="default"/>
          <w:sz w:val="18"/>
          <w:szCs w:val="18"/>
        </w:rPr>
      </w:r>
    </w:p>
    <w:p>
      <w:pPr>
        <w:spacing w:line="240" w:lineRule="auto" w:before="1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2822"/>
        <w:gridCol w:w="1559"/>
        <w:gridCol w:w="3069"/>
      </w:tblGrid>
      <w:tr>
        <w:trPr>
          <w:trHeight w:val="363" w:hRule="exact"/>
        </w:trPr>
        <w:tc>
          <w:tcPr>
            <w:tcW w:w="2822" w:type="dxa"/>
            <w:tcBorders>
              <w:top w:val="single" w:sz="6" w:space="0" w:color="403052"/>
              <w:left w:val="single" w:sz="6" w:space="0" w:color="403052"/>
              <w:bottom w:val="single" w:sz="18" w:space="0" w:color="403052"/>
              <w:right w:val="single" w:sz="18" w:space="0" w:color="403052"/>
            </w:tcBorders>
          </w:tcPr>
          <w:p>
            <w:pPr>
              <w:pStyle w:val="TableParagraph"/>
              <w:spacing w:line="271" w:lineRule="exact"/>
              <w:ind w:left="766" w:right="0"/>
              <w:jc w:val="left"/>
              <w:rPr>
                <w:rFonts w:ascii="宋体" w:hAnsi="宋体" w:cs="宋体" w:eastAsia="宋体" w:hint="default"/>
                <w:sz w:val="21"/>
                <w:szCs w:val="21"/>
              </w:rPr>
            </w:pPr>
            <w:r>
              <w:rPr>
                <w:rFonts w:ascii="宋体" w:hAnsi="宋体" w:cs="宋体" w:eastAsia="宋体" w:hint="default"/>
                <w:b/>
                <w:bCs/>
                <w:sz w:val="21"/>
                <w:szCs w:val="21"/>
              </w:rPr>
              <w:t>员工专业结构</w:t>
            </w:r>
            <w:r>
              <w:rPr>
                <w:rFonts w:ascii="宋体" w:hAnsi="宋体" w:cs="宋体" w:eastAsia="宋体" w:hint="default"/>
                <w:sz w:val="21"/>
                <w:szCs w:val="21"/>
              </w:rPr>
            </w:r>
          </w:p>
        </w:tc>
        <w:tc>
          <w:tcPr>
            <w:tcW w:w="1559" w:type="dxa"/>
            <w:tcBorders>
              <w:top w:val="single" w:sz="6" w:space="0" w:color="403052"/>
              <w:left w:val="single" w:sz="18" w:space="0" w:color="403052"/>
              <w:bottom w:val="single" w:sz="18" w:space="0" w:color="403052"/>
              <w:right w:val="single" w:sz="18" w:space="0" w:color="403052"/>
            </w:tcBorders>
          </w:tcPr>
          <w:p>
            <w:pPr>
              <w:pStyle w:val="TableParagraph"/>
              <w:spacing w:line="271" w:lineRule="exact"/>
              <w:ind w:right="22"/>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3069" w:type="dxa"/>
            <w:tcBorders>
              <w:top w:val="single" w:sz="6" w:space="0" w:color="403052"/>
              <w:left w:val="single" w:sz="18" w:space="0" w:color="403052"/>
              <w:bottom w:val="single" w:sz="18" w:space="0" w:color="403052"/>
              <w:right w:val="single" w:sz="18" w:space="0" w:color="403052"/>
            </w:tcBorders>
          </w:tcPr>
          <w:p>
            <w:pPr>
              <w:pStyle w:val="TableParagraph"/>
              <w:spacing w:line="271" w:lineRule="exact"/>
              <w:ind w:left="761" w:right="0"/>
              <w:jc w:val="left"/>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bl>
    <w:p>
      <w:pPr>
        <w:spacing w:after="0" w:line="271" w:lineRule="exact"/>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822"/>
        <w:gridCol w:w="1559"/>
        <w:gridCol w:w="3069"/>
      </w:tblGrid>
      <w:tr>
        <w:trPr>
          <w:trHeight w:val="362" w:hRule="exact"/>
        </w:trPr>
        <w:tc>
          <w:tcPr>
            <w:tcW w:w="2822" w:type="dxa"/>
            <w:tcBorders>
              <w:top w:val="single" w:sz="6" w:space="0" w:color="403052"/>
              <w:left w:val="single" w:sz="6" w:space="0" w:color="403052"/>
              <w:bottom w:val="single" w:sz="18" w:space="0" w:color="403052"/>
              <w:right w:val="single" w:sz="18" w:space="0" w:color="403052"/>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559" w:type="dxa"/>
            <w:tcBorders>
              <w:top w:val="single" w:sz="6" w:space="0" w:color="403052"/>
              <w:left w:val="single" w:sz="18" w:space="0" w:color="403052"/>
              <w:bottom w:val="single" w:sz="18" w:space="0" w:color="403052"/>
              <w:right w:val="single" w:sz="18" w:space="0" w:color="403052"/>
            </w:tcBorders>
          </w:tcPr>
          <w:p>
            <w:pPr>
              <w:pStyle w:val="TableParagraph"/>
              <w:spacing w:line="240" w:lineRule="auto" w:before="45"/>
              <w:ind w:right="21"/>
              <w:jc w:val="center"/>
              <w:rPr>
                <w:rFonts w:ascii="Times New Roman" w:hAnsi="Times New Roman" w:cs="Times New Roman" w:eastAsia="Times New Roman" w:hint="default"/>
                <w:sz w:val="21"/>
                <w:szCs w:val="21"/>
              </w:rPr>
            </w:pPr>
            <w:r>
              <w:rPr>
                <w:rFonts w:ascii="Times New Roman"/>
                <w:sz w:val="21"/>
              </w:rPr>
              <w:t>643</w:t>
            </w:r>
          </w:p>
        </w:tc>
        <w:tc>
          <w:tcPr>
            <w:tcW w:w="3069" w:type="dxa"/>
            <w:tcBorders>
              <w:top w:val="single" w:sz="6" w:space="0" w:color="403052"/>
              <w:left w:val="single" w:sz="18" w:space="0" w:color="403052"/>
              <w:bottom w:val="single" w:sz="18" w:space="0" w:color="403052"/>
              <w:right w:val="single" w:sz="18" w:space="0" w:color="403052"/>
            </w:tcBorders>
          </w:tcPr>
          <w:p>
            <w:pPr>
              <w:pStyle w:val="TableParagraph"/>
              <w:spacing w:line="240" w:lineRule="auto" w:before="45"/>
              <w:ind w:right="21"/>
              <w:jc w:val="center"/>
              <w:rPr>
                <w:rFonts w:ascii="Times New Roman" w:hAnsi="Times New Roman" w:cs="Times New Roman" w:eastAsia="Times New Roman" w:hint="default"/>
                <w:sz w:val="21"/>
                <w:szCs w:val="21"/>
              </w:rPr>
            </w:pPr>
            <w:r>
              <w:rPr>
                <w:rFonts w:ascii="Times New Roman"/>
                <w:sz w:val="21"/>
              </w:rPr>
              <w:t>58.46%</w:t>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123</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11.18%</w:t>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4"/>
              <w:ind w:right="21"/>
              <w:jc w:val="center"/>
              <w:rPr>
                <w:rFonts w:ascii="Times New Roman" w:hAnsi="Times New Roman" w:cs="Times New Roman" w:eastAsia="Times New Roman" w:hint="default"/>
                <w:sz w:val="21"/>
                <w:szCs w:val="21"/>
              </w:rPr>
            </w:pPr>
            <w:r>
              <w:rPr>
                <w:rFonts w:ascii="Times New Roman"/>
                <w:sz w:val="21"/>
              </w:rPr>
              <w:t>172</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4"/>
              <w:ind w:right="21"/>
              <w:jc w:val="center"/>
              <w:rPr>
                <w:rFonts w:ascii="Times New Roman" w:hAnsi="Times New Roman" w:cs="Times New Roman" w:eastAsia="Times New Roman" w:hint="default"/>
                <w:sz w:val="21"/>
                <w:szCs w:val="21"/>
              </w:rPr>
            </w:pPr>
            <w:r>
              <w:rPr>
                <w:rFonts w:ascii="Times New Roman"/>
                <w:sz w:val="21"/>
              </w:rPr>
              <w:t>15.64%</w:t>
            </w:r>
          </w:p>
        </w:tc>
      </w:tr>
      <w:tr>
        <w:trPr>
          <w:trHeight w:val="368"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4"/>
              <w:ind w:right="21"/>
              <w:jc w:val="center"/>
              <w:rPr>
                <w:rFonts w:ascii="Times New Roman" w:hAnsi="Times New Roman" w:cs="Times New Roman" w:eastAsia="Times New Roman" w:hint="default"/>
                <w:sz w:val="21"/>
                <w:szCs w:val="21"/>
              </w:rPr>
            </w:pPr>
            <w:r>
              <w:rPr>
                <w:rFonts w:ascii="Times New Roman"/>
                <w:sz w:val="21"/>
              </w:rPr>
              <w:t>162</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4"/>
              <w:ind w:right="21"/>
              <w:jc w:val="center"/>
              <w:rPr>
                <w:rFonts w:ascii="Times New Roman" w:hAnsi="Times New Roman" w:cs="Times New Roman" w:eastAsia="Times New Roman" w:hint="default"/>
                <w:sz w:val="21"/>
                <w:szCs w:val="21"/>
              </w:rPr>
            </w:pPr>
            <w:r>
              <w:rPr>
                <w:rFonts w:ascii="Times New Roman"/>
                <w:sz w:val="21"/>
              </w:rPr>
              <w:t>14.72%</w:t>
            </w:r>
          </w:p>
        </w:tc>
      </w:tr>
      <w:tr>
        <w:trPr>
          <w:trHeight w:val="366"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4"/>
              <w:ind w:right="22"/>
              <w:jc w:val="center"/>
              <w:rPr>
                <w:rFonts w:ascii="Times New Roman" w:hAnsi="Times New Roman" w:cs="Times New Roman" w:eastAsia="Times New Roman" w:hint="default"/>
                <w:sz w:val="21"/>
                <w:szCs w:val="21"/>
              </w:rPr>
            </w:pPr>
            <w:r>
              <w:rPr>
                <w:rFonts w:ascii="Times New Roman"/>
                <w:sz w:val="21"/>
              </w:rPr>
              <w:t>1,100</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6"/>
              <w:ind w:right="24"/>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员工受教育程度</w:t>
            </w:r>
            <w:r>
              <w:rPr>
                <w:rFonts w:ascii="宋体" w:hAnsi="宋体" w:cs="宋体" w:eastAsia="宋体" w:hint="default"/>
                <w:sz w:val="21"/>
                <w:szCs w:val="21"/>
              </w:rPr>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61" w:lineRule="exact"/>
              <w:ind w:right="22"/>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61" w:lineRule="exact"/>
              <w:ind w:right="24"/>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大专以上</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452</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41.09%</w:t>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中专及高中</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320</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29.09%</w:t>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4"/>
              <w:ind w:right="21"/>
              <w:jc w:val="center"/>
              <w:rPr>
                <w:rFonts w:ascii="Times New Roman" w:hAnsi="Times New Roman" w:cs="Times New Roman" w:eastAsia="Times New Roman" w:hint="default"/>
                <w:sz w:val="21"/>
                <w:szCs w:val="21"/>
              </w:rPr>
            </w:pPr>
            <w:r>
              <w:rPr>
                <w:rFonts w:ascii="Times New Roman"/>
                <w:sz w:val="21"/>
              </w:rPr>
              <w:t>328</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4"/>
              <w:ind w:right="21"/>
              <w:jc w:val="center"/>
              <w:rPr>
                <w:rFonts w:ascii="Times New Roman" w:hAnsi="Times New Roman" w:cs="Times New Roman" w:eastAsia="Times New Roman" w:hint="default"/>
                <w:sz w:val="21"/>
                <w:szCs w:val="21"/>
              </w:rPr>
            </w:pPr>
            <w:r>
              <w:rPr>
                <w:rFonts w:ascii="Times New Roman"/>
                <w:sz w:val="21"/>
              </w:rPr>
              <w:t>29.82%</w:t>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4"/>
              <w:ind w:right="22"/>
              <w:jc w:val="center"/>
              <w:rPr>
                <w:rFonts w:ascii="Times New Roman" w:hAnsi="Times New Roman" w:cs="Times New Roman" w:eastAsia="Times New Roman" w:hint="default"/>
                <w:sz w:val="21"/>
                <w:szCs w:val="21"/>
              </w:rPr>
            </w:pPr>
            <w:r>
              <w:rPr>
                <w:rFonts w:ascii="Times New Roman"/>
                <w:sz w:val="21"/>
              </w:rPr>
              <w:t>1,100</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6"/>
              <w:ind w:right="24"/>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366"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员工年龄分布</w:t>
            </w:r>
            <w:r>
              <w:rPr>
                <w:rFonts w:ascii="宋体" w:hAnsi="宋体" w:cs="宋体" w:eastAsia="宋体" w:hint="default"/>
                <w:sz w:val="21"/>
                <w:szCs w:val="21"/>
              </w:rPr>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60" w:lineRule="exact"/>
              <w:ind w:right="22"/>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60" w:lineRule="exact"/>
              <w:ind w:right="24"/>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7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岁以下</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163</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14.82%</w:t>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7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宋体" w:hAnsi="宋体" w:cs="宋体" w:eastAsia="宋体" w:hint="default"/>
                <w:sz w:val="21"/>
                <w:szCs w:val="21"/>
              </w:rPr>
              <w:t>岁</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246</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22.36%</w:t>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7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613</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5"/>
              <w:ind w:right="21"/>
              <w:jc w:val="center"/>
              <w:rPr>
                <w:rFonts w:ascii="Times New Roman" w:hAnsi="Times New Roman" w:cs="Times New Roman" w:eastAsia="Times New Roman" w:hint="default"/>
                <w:sz w:val="21"/>
                <w:szCs w:val="21"/>
              </w:rPr>
            </w:pPr>
            <w:r>
              <w:rPr>
                <w:rFonts w:ascii="Times New Roman"/>
                <w:sz w:val="21"/>
              </w:rPr>
              <w:t>55.73%</w:t>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76"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岁以上</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4"/>
              <w:ind w:right="22"/>
              <w:jc w:val="center"/>
              <w:rPr>
                <w:rFonts w:ascii="Times New Roman" w:hAnsi="Times New Roman" w:cs="Times New Roman" w:eastAsia="Times New Roman" w:hint="default"/>
                <w:sz w:val="21"/>
                <w:szCs w:val="21"/>
              </w:rPr>
            </w:pPr>
            <w:r>
              <w:rPr>
                <w:rFonts w:ascii="Times New Roman"/>
                <w:sz w:val="21"/>
              </w:rPr>
              <w:t>78</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4"/>
              <w:ind w:right="21"/>
              <w:jc w:val="center"/>
              <w:rPr>
                <w:rFonts w:ascii="Times New Roman" w:hAnsi="Times New Roman" w:cs="Times New Roman" w:eastAsia="Times New Roman" w:hint="default"/>
                <w:sz w:val="21"/>
                <w:szCs w:val="21"/>
              </w:rPr>
            </w:pPr>
            <w:r>
              <w:rPr>
                <w:rFonts w:ascii="Times New Roman"/>
                <w:sz w:val="21"/>
              </w:rPr>
              <w:t>7.09%</w:t>
            </w:r>
          </w:p>
        </w:tc>
      </w:tr>
      <w:tr>
        <w:trPr>
          <w:trHeight w:val="367" w:hRule="exact"/>
        </w:trPr>
        <w:tc>
          <w:tcPr>
            <w:tcW w:w="2822" w:type="dxa"/>
            <w:tcBorders>
              <w:top w:val="single" w:sz="18" w:space="0" w:color="403052"/>
              <w:left w:val="single" w:sz="6" w:space="0" w:color="403052"/>
              <w:bottom w:val="single" w:sz="18" w:space="0" w:color="403052"/>
              <w:right w:val="single" w:sz="18" w:space="0" w:color="403052"/>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4"/>
              <w:ind w:right="22"/>
              <w:jc w:val="center"/>
              <w:rPr>
                <w:rFonts w:ascii="Times New Roman" w:hAnsi="Times New Roman" w:cs="Times New Roman" w:eastAsia="Times New Roman" w:hint="default"/>
                <w:sz w:val="21"/>
                <w:szCs w:val="21"/>
              </w:rPr>
            </w:pPr>
            <w:r>
              <w:rPr>
                <w:rFonts w:ascii="Times New Roman"/>
                <w:sz w:val="21"/>
              </w:rPr>
              <w:t>1,100</w:t>
            </w:r>
          </w:p>
        </w:tc>
        <w:tc>
          <w:tcPr>
            <w:tcW w:w="3069" w:type="dxa"/>
            <w:tcBorders>
              <w:top w:val="single" w:sz="18" w:space="0" w:color="403052"/>
              <w:left w:val="single" w:sz="18" w:space="0" w:color="403052"/>
              <w:bottom w:val="single" w:sz="18" w:space="0" w:color="403052"/>
              <w:right w:val="single" w:sz="18" w:space="0" w:color="403052"/>
            </w:tcBorders>
          </w:tcPr>
          <w:p>
            <w:pPr>
              <w:pStyle w:val="TableParagraph"/>
              <w:spacing w:line="240" w:lineRule="auto" w:before="36"/>
              <w:ind w:right="24"/>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spacing w:before="44"/>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、公司子公司北京中电兴发科技有限公司截至</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日，公司共有员工</w:t>
      </w:r>
      <w:r>
        <w:rPr>
          <w:rFonts w:ascii="Times New Roman" w:hAnsi="Times New Roman" w:cs="Times New Roman" w:eastAsia="Times New Roman" w:hint="default"/>
          <w:b/>
          <w:bCs/>
          <w:sz w:val="18"/>
          <w:szCs w:val="18"/>
        </w:rPr>
        <w:t>290</w:t>
      </w:r>
      <w:r>
        <w:rPr>
          <w:rFonts w:ascii="宋体" w:hAnsi="宋体" w:cs="宋体" w:eastAsia="宋体" w:hint="default"/>
          <w:b/>
          <w:bCs/>
          <w:sz w:val="18"/>
          <w:szCs w:val="18"/>
        </w:rPr>
        <w:t>人（含子公司），具体情况如下：</w:t>
      </w:r>
      <w:r>
        <w:rPr>
          <w:rFonts w:ascii="宋体" w:hAnsi="宋体" w:cs="宋体" w:eastAsia="宋体" w:hint="default"/>
          <w:sz w:val="18"/>
          <w:szCs w:val="18"/>
        </w:rPr>
      </w:r>
    </w:p>
    <w:p>
      <w:pPr>
        <w:spacing w:line="240" w:lineRule="auto" w:before="13"/>
        <w:rPr>
          <w:rFonts w:ascii="宋体" w:hAnsi="宋体" w:cs="宋体" w:eastAsia="宋体" w:hint="default"/>
          <w:b/>
          <w:bCs/>
          <w:sz w:val="3"/>
          <w:szCs w:val="3"/>
        </w:rPr>
      </w:pPr>
    </w:p>
    <w:tbl>
      <w:tblPr>
        <w:tblW w:w="0" w:type="auto"/>
        <w:jc w:val="left"/>
        <w:tblInd w:w="305" w:type="dxa"/>
        <w:tblLayout w:type="fixed"/>
        <w:tblCellMar>
          <w:top w:w="0" w:type="dxa"/>
          <w:left w:w="0" w:type="dxa"/>
          <w:bottom w:w="0" w:type="dxa"/>
          <w:right w:w="0" w:type="dxa"/>
        </w:tblCellMar>
        <w:tblLook w:val="01E0"/>
      </w:tblPr>
      <w:tblGrid>
        <w:gridCol w:w="2959"/>
        <w:gridCol w:w="1784"/>
        <w:gridCol w:w="2612"/>
      </w:tblGrid>
      <w:tr>
        <w:trPr>
          <w:trHeight w:val="355" w:hRule="exact"/>
        </w:trPr>
        <w:tc>
          <w:tcPr>
            <w:tcW w:w="2959"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专业结构</w:t>
            </w:r>
            <w:r>
              <w:rPr>
                <w:rFonts w:ascii="宋体" w:hAnsi="宋体" w:cs="宋体" w:eastAsia="宋体" w:hint="default"/>
                <w:sz w:val="21"/>
                <w:szCs w:val="21"/>
              </w:rPr>
            </w:r>
          </w:p>
        </w:tc>
        <w:tc>
          <w:tcPr>
            <w:tcW w:w="1784" w:type="dxa"/>
            <w:tcBorders>
              <w:top w:val="single" w:sz="6" w:space="0" w:color="000000"/>
              <w:left w:val="single" w:sz="12" w:space="0" w:color="000000"/>
              <w:bottom w:val="single" w:sz="12" w:space="0" w:color="000000"/>
              <w:right w:val="single" w:sz="12" w:space="0" w:color="000000"/>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12" w:type="dxa"/>
            <w:tcBorders>
              <w:top w:val="single" w:sz="6" w:space="0" w:color="000000"/>
              <w:left w:val="single" w:sz="12" w:space="0" w:color="000000"/>
              <w:bottom w:val="single" w:sz="12" w:space="0" w:color="000000"/>
              <w:right w:val="single" w:sz="12" w:space="0" w:color="000000"/>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40</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13.79%</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190</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65.52%</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40</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13.79%</w:t>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20</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6.90%</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290</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6"/>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大专以上</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273</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94.14%</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中专及高中</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17</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5.86%</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0</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0%</w:t>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5"/>
              <w:jc w:val="center"/>
              <w:rPr>
                <w:rFonts w:ascii="Times New Roman" w:hAnsi="Times New Roman" w:cs="Times New Roman" w:eastAsia="Times New Roman" w:hint="default"/>
                <w:sz w:val="21"/>
                <w:szCs w:val="21"/>
              </w:rPr>
            </w:pPr>
            <w:r>
              <w:rPr>
                <w:rFonts w:ascii="Times New Roman"/>
                <w:b/>
                <w:sz w:val="21"/>
              </w:rPr>
              <w:t>290</w:t>
            </w:r>
            <w:r>
              <w:rPr>
                <w:rFonts w:ascii="Times New Roman"/>
                <w:sz w:val="21"/>
              </w:rPr>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6"/>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年龄分布</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岁以下</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28</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9.66%</w:t>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宋体" w:hAnsi="宋体" w:cs="宋体" w:eastAsia="宋体" w:hint="default"/>
                <w:sz w:val="21"/>
                <w:szCs w:val="21"/>
              </w:rPr>
              <w:t>岁</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113</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38.97%</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133</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45.86%</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岁以上</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16</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5.51%</w:t>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7"/>
              <w:ind w:right="5"/>
              <w:jc w:val="center"/>
              <w:rPr>
                <w:rFonts w:ascii="Times New Roman" w:hAnsi="Times New Roman" w:cs="Times New Roman" w:eastAsia="Times New Roman" w:hint="default"/>
                <w:sz w:val="21"/>
                <w:szCs w:val="21"/>
              </w:rPr>
            </w:pPr>
            <w:r>
              <w:rPr>
                <w:rFonts w:ascii="Times New Roman"/>
                <w:b/>
                <w:sz w:val="21"/>
              </w:rPr>
              <w:t>290</w:t>
            </w:r>
            <w:r>
              <w:rPr>
                <w:rFonts w:ascii="Times New Roman"/>
                <w:sz w:val="21"/>
              </w:rPr>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7"/>
              <w:ind w:right="6"/>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before="1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b/>
          <w:bCs/>
          <w:sz w:val="18"/>
          <w:szCs w:val="18"/>
        </w:rPr>
        <w:t>公司子公司天津泰达工程设计有限公司截至</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日，公司共有员工</w:t>
      </w:r>
      <w:r>
        <w:rPr>
          <w:rFonts w:ascii="Times New Roman" w:hAnsi="Times New Roman" w:cs="Times New Roman" w:eastAsia="Times New Roman" w:hint="default"/>
          <w:b/>
          <w:bCs/>
          <w:sz w:val="18"/>
          <w:szCs w:val="18"/>
        </w:rPr>
        <w:t>111</w:t>
      </w:r>
      <w:r>
        <w:rPr>
          <w:rFonts w:ascii="宋体" w:hAnsi="宋体" w:cs="宋体" w:eastAsia="宋体" w:hint="default"/>
          <w:b/>
          <w:bCs/>
          <w:sz w:val="18"/>
          <w:szCs w:val="18"/>
        </w:rPr>
        <w:t>人，具体情况如下：</w:t>
      </w:r>
      <w:r>
        <w:rPr>
          <w:rFonts w:ascii="宋体" w:hAnsi="宋体" w:cs="宋体" w:eastAsia="宋体" w:hint="default"/>
          <w:sz w:val="18"/>
          <w:szCs w:val="18"/>
        </w:rPr>
      </w:r>
    </w:p>
    <w:p>
      <w:pPr>
        <w:spacing w:line="240" w:lineRule="auto" w:before="13"/>
        <w:rPr>
          <w:rFonts w:ascii="宋体" w:hAnsi="宋体" w:cs="宋体" w:eastAsia="宋体" w:hint="default"/>
          <w:b/>
          <w:bCs/>
          <w:sz w:val="3"/>
          <w:szCs w:val="3"/>
        </w:rPr>
      </w:pPr>
    </w:p>
    <w:tbl>
      <w:tblPr>
        <w:tblW w:w="0" w:type="auto"/>
        <w:jc w:val="left"/>
        <w:tblInd w:w="305" w:type="dxa"/>
        <w:tblLayout w:type="fixed"/>
        <w:tblCellMar>
          <w:top w:w="0" w:type="dxa"/>
          <w:left w:w="0" w:type="dxa"/>
          <w:bottom w:w="0" w:type="dxa"/>
          <w:right w:w="0" w:type="dxa"/>
        </w:tblCellMar>
        <w:tblLook w:val="01E0"/>
      </w:tblPr>
      <w:tblGrid>
        <w:gridCol w:w="2959"/>
        <w:gridCol w:w="1784"/>
        <w:gridCol w:w="2612"/>
      </w:tblGrid>
      <w:tr>
        <w:trPr>
          <w:trHeight w:val="355" w:hRule="exact"/>
        </w:trPr>
        <w:tc>
          <w:tcPr>
            <w:tcW w:w="2959" w:type="dxa"/>
            <w:tcBorders>
              <w:top w:val="single" w:sz="6" w:space="0" w:color="000000"/>
              <w:left w:val="single" w:sz="6" w:space="0" w:color="000000"/>
              <w:bottom w:val="single" w:sz="12" w:space="0" w:color="000000"/>
              <w:right w:val="single" w:sz="12" w:space="0" w:color="000000"/>
            </w:tcBorders>
          </w:tcPr>
          <w:p>
            <w:pPr>
              <w:pStyle w:val="TableParagraph"/>
              <w:spacing w:line="27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专业结构</w:t>
            </w:r>
            <w:r>
              <w:rPr>
                <w:rFonts w:ascii="宋体" w:hAnsi="宋体" w:cs="宋体" w:eastAsia="宋体" w:hint="default"/>
                <w:sz w:val="21"/>
                <w:szCs w:val="21"/>
              </w:rPr>
            </w:r>
          </w:p>
        </w:tc>
        <w:tc>
          <w:tcPr>
            <w:tcW w:w="1784" w:type="dxa"/>
            <w:tcBorders>
              <w:top w:val="single" w:sz="6" w:space="0" w:color="000000"/>
              <w:left w:val="single" w:sz="12" w:space="0" w:color="000000"/>
              <w:bottom w:val="single" w:sz="12" w:space="0" w:color="000000"/>
              <w:right w:val="single" w:sz="12"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12" w:type="dxa"/>
            <w:tcBorders>
              <w:top w:val="single" w:sz="6" w:space="0" w:color="000000"/>
              <w:left w:val="single" w:sz="12" w:space="0" w:color="000000"/>
              <w:bottom w:val="single" w:sz="12" w:space="0" w:color="000000"/>
              <w:right w:val="single" w:sz="12" w:space="0" w:color="000000"/>
            </w:tcBorders>
          </w:tcPr>
          <w:p>
            <w:pPr>
              <w:pStyle w:val="TableParagraph"/>
              <w:spacing w:line="270"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784" w:type="dxa"/>
            <w:tcBorders>
              <w:top w:val="single" w:sz="12" w:space="0" w:color="000000"/>
              <w:left w:val="single" w:sz="12" w:space="0" w:color="000000"/>
              <w:bottom w:val="single" w:sz="12" w:space="0" w:color="000000"/>
              <w:right w:val="single" w:sz="12" w:space="0" w:color="000000"/>
            </w:tcBorders>
          </w:tcPr>
          <w:p>
            <w:pPr/>
          </w:p>
        </w:tc>
        <w:tc>
          <w:tcPr>
            <w:tcW w:w="2612" w:type="dxa"/>
            <w:tcBorders>
              <w:top w:val="single" w:sz="12" w:space="0" w:color="000000"/>
              <w:left w:val="single" w:sz="12" w:space="0" w:color="000000"/>
              <w:bottom w:val="single" w:sz="12" w:space="0" w:color="000000"/>
              <w:right w:val="single" w:sz="12"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305" w:type="dxa"/>
        <w:tblLayout w:type="fixed"/>
        <w:tblCellMar>
          <w:top w:w="0" w:type="dxa"/>
          <w:left w:w="0" w:type="dxa"/>
          <w:bottom w:w="0" w:type="dxa"/>
          <w:right w:w="0" w:type="dxa"/>
        </w:tblCellMar>
        <w:tblLook w:val="01E0"/>
      </w:tblPr>
      <w:tblGrid>
        <w:gridCol w:w="2959"/>
        <w:gridCol w:w="1784"/>
        <w:gridCol w:w="2612"/>
      </w:tblGrid>
      <w:tr>
        <w:trPr>
          <w:trHeight w:val="355" w:hRule="exact"/>
        </w:trPr>
        <w:tc>
          <w:tcPr>
            <w:tcW w:w="2959"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6"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784"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5"/>
              <w:ind w:right="3"/>
              <w:jc w:val="center"/>
              <w:rPr>
                <w:rFonts w:ascii="Times New Roman" w:hAnsi="Times New Roman" w:cs="Times New Roman" w:eastAsia="Times New Roman" w:hint="default"/>
                <w:sz w:val="21"/>
                <w:szCs w:val="21"/>
              </w:rPr>
            </w:pPr>
            <w:r>
              <w:rPr>
                <w:rFonts w:ascii="Times New Roman"/>
                <w:sz w:val="21"/>
              </w:rPr>
              <w:t>92</w:t>
            </w:r>
          </w:p>
        </w:tc>
        <w:tc>
          <w:tcPr>
            <w:tcW w:w="261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82.88%</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9</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8.11%</w:t>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10</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9.01%</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111</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6"/>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大专以上</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111</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100%</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中专及高中</w:t>
            </w:r>
          </w:p>
        </w:tc>
        <w:tc>
          <w:tcPr>
            <w:tcW w:w="1784" w:type="dxa"/>
            <w:tcBorders>
              <w:top w:val="single" w:sz="12" w:space="0" w:color="000000"/>
              <w:left w:val="single" w:sz="12" w:space="0" w:color="000000"/>
              <w:bottom w:val="single" w:sz="12" w:space="0" w:color="000000"/>
              <w:right w:val="single" w:sz="12" w:space="0" w:color="000000"/>
            </w:tcBorders>
          </w:tcPr>
          <w:p>
            <w:pPr/>
          </w:p>
        </w:tc>
        <w:tc>
          <w:tcPr>
            <w:tcW w:w="2612" w:type="dxa"/>
            <w:tcBorders>
              <w:top w:val="single" w:sz="12" w:space="0" w:color="000000"/>
              <w:left w:val="single" w:sz="12" w:space="0" w:color="000000"/>
              <w:bottom w:val="single" w:sz="12" w:space="0" w:color="000000"/>
              <w:right w:val="single" w:sz="12" w:space="0" w:color="000000"/>
            </w:tcBorders>
          </w:tcPr>
          <w:p>
            <w:pP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1784" w:type="dxa"/>
            <w:tcBorders>
              <w:top w:val="single" w:sz="12" w:space="0" w:color="000000"/>
              <w:left w:val="single" w:sz="12" w:space="0" w:color="000000"/>
              <w:bottom w:val="single" w:sz="12" w:space="0" w:color="000000"/>
              <w:right w:val="single" w:sz="12" w:space="0" w:color="000000"/>
            </w:tcBorders>
          </w:tcPr>
          <w:p>
            <w:pPr/>
          </w:p>
        </w:tc>
        <w:tc>
          <w:tcPr>
            <w:tcW w:w="2612" w:type="dxa"/>
            <w:tcBorders>
              <w:top w:val="single" w:sz="12" w:space="0" w:color="000000"/>
              <w:left w:val="single" w:sz="12" w:space="0" w:color="000000"/>
              <w:bottom w:val="single" w:sz="12" w:space="0" w:color="000000"/>
              <w:right w:val="single" w:sz="12" w:space="0" w:color="000000"/>
            </w:tcBorders>
          </w:tcPr>
          <w:p>
            <w:pP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5"/>
              <w:jc w:val="center"/>
              <w:rPr>
                <w:rFonts w:ascii="Times New Roman" w:hAnsi="Times New Roman" w:cs="Times New Roman" w:eastAsia="Times New Roman" w:hint="default"/>
                <w:sz w:val="21"/>
                <w:szCs w:val="21"/>
              </w:rPr>
            </w:pPr>
            <w:r>
              <w:rPr>
                <w:rFonts w:ascii="Times New Roman"/>
                <w:b/>
                <w:sz w:val="21"/>
              </w:rPr>
              <w:t>111</w:t>
            </w:r>
            <w:r>
              <w:rPr>
                <w:rFonts w:ascii="Times New Roman"/>
                <w:sz w:val="21"/>
              </w:rPr>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6"/>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年龄分布</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岁以下</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5</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4.5%</w:t>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宋体" w:hAnsi="宋体" w:cs="宋体" w:eastAsia="宋体" w:hint="default"/>
                <w:sz w:val="21"/>
                <w:szCs w:val="21"/>
              </w:rPr>
              <w:t>岁</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19</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17.12%</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78</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70.27%</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岁以上</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9</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8.11%</w:t>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5"/>
              <w:jc w:val="center"/>
              <w:rPr>
                <w:rFonts w:ascii="Times New Roman" w:hAnsi="Times New Roman" w:cs="Times New Roman" w:eastAsia="Times New Roman" w:hint="default"/>
                <w:sz w:val="21"/>
                <w:szCs w:val="21"/>
              </w:rPr>
            </w:pPr>
            <w:r>
              <w:rPr>
                <w:rFonts w:ascii="Times New Roman"/>
                <w:b/>
                <w:sz w:val="21"/>
              </w:rPr>
              <w:t>111</w:t>
            </w:r>
            <w:r>
              <w:rPr>
                <w:rFonts w:ascii="Times New Roman"/>
                <w:sz w:val="21"/>
              </w:rPr>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6"/>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8"/>
        <w:rPr>
          <w:rFonts w:ascii="宋体" w:hAnsi="宋体" w:cs="宋体" w:eastAsia="宋体" w:hint="default"/>
          <w:b/>
          <w:bCs/>
          <w:sz w:val="6"/>
          <w:szCs w:val="6"/>
        </w:rPr>
      </w:pPr>
    </w:p>
    <w:p>
      <w:pPr>
        <w:spacing w:before="44"/>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、公司子公司苏州开关二厂截至</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日，公司共有员工</w:t>
      </w:r>
      <w:r>
        <w:rPr>
          <w:rFonts w:ascii="Times New Roman" w:hAnsi="Times New Roman" w:cs="Times New Roman" w:eastAsia="Times New Roman" w:hint="default"/>
          <w:b/>
          <w:bCs/>
          <w:sz w:val="18"/>
          <w:szCs w:val="18"/>
        </w:rPr>
        <w:t>124</w:t>
      </w:r>
      <w:r>
        <w:rPr>
          <w:rFonts w:ascii="宋体" w:hAnsi="宋体" w:cs="宋体" w:eastAsia="宋体" w:hint="default"/>
          <w:b/>
          <w:bCs/>
          <w:sz w:val="18"/>
          <w:szCs w:val="18"/>
        </w:rPr>
        <w:t>人（含子公司），具体情况如下：</w:t>
      </w:r>
      <w:r>
        <w:rPr>
          <w:rFonts w:ascii="宋体" w:hAnsi="宋体" w:cs="宋体" w:eastAsia="宋体" w:hint="default"/>
          <w:sz w:val="18"/>
          <w:szCs w:val="18"/>
        </w:rPr>
      </w:r>
    </w:p>
    <w:p>
      <w:pPr>
        <w:spacing w:line="240" w:lineRule="auto" w:before="13"/>
        <w:rPr>
          <w:rFonts w:ascii="宋体" w:hAnsi="宋体" w:cs="宋体" w:eastAsia="宋体" w:hint="default"/>
          <w:b/>
          <w:bCs/>
          <w:sz w:val="3"/>
          <w:szCs w:val="3"/>
        </w:rPr>
      </w:pPr>
    </w:p>
    <w:tbl>
      <w:tblPr>
        <w:tblW w:w="0" w:type="auto"/>
        <w:jc w:val="left"/>
        <w:tblInd w:w="305" w:type="dxa"/>
        <w:tblLayout w:type="fixed"/>
        <w:tblCellMar>
          <w:top w:w="0" w:type="dxa"/>
          <w:left w:w="0" w:type="dxa"/>
          <w:bottom w:w="0" w:type="dxa"/>
          <w:right w:w="0" w:type="dxa"/>
        </w:tblCellMar>
        <w:tblLook w:val="01E0"/>
      </w:tblPr>
      <w:tblGrid>
        <w:gridCol w:w="2959"/>
        <w:gridCol w:w="1784"/>
        <w:gridCol w:w="2612"/>
      </w:tblGrid>
      <w:tr>
        <w:trPr>
          <w:trHeight w:val="355" w:hRule="exact"/>
        </w:trPr>
        <w:tc>
          <w:tcPr>
            <w:tcW w:w="2959"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专业结构</w:t>
            </w:r>
            <w:r>
              <w:rPr>
                <w:rFonts w:ascii="宋体" w:hAnsi="宋体" w:cs="宋体" w:eastAsia="宋体" w:hint="default"/>
                <w:sz w:val="21"/>
                <w:szCs w:val="21"/>
              </w:rPr>
            </w:r>
          </w:p>
        </w:tc>
        <w:tc>
          <w:tcPr>
            <w:tcW w:w="1784" w:type="dxa"/>
            <w:tcBorders>
              <w:top w:val="single" w:sz="6" w:space="0" w:color="000000"/>
              <w:left w:val="single" w:sz="12" w:space="0" w:color="000000"/>
              <w:bottom w:val="single" w:sz="12" w:space="0" w:color="000000"/>
              <w:right w:val="single" w:sz="12" w:space="0" w:color="000000"/>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12" w:type="dxa"/>
            <w:tcBorders>
              <w:top w:val="single" w:sz="6" w:space="0" w:color="000000"/>
              <w:left w:val="single" w:sz="12" w:space="0" w:color="000000"/>
              <w:bottom w:val="single" w:sz="12" w:space="0" w:color="000000"/>
              <w:right w:val="single" w:sz="12" w:space="0" w:color="000000"/>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60</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48.38%</w:t>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27</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21.78%</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11</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8.88%</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26</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20.96%</w:t>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z w:val="21"/>
              </w:rPr>
              <w:t>124</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6"/>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大专以上</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54</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43.55%</w:t>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中专及高中</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22</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17.74%</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48</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38.71%</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5"/>
              <w:jc w:val="center"/>
              <w:rPr>
                <w:rFonts w:ascii="Times New Roman" w:hAnsi="Times New Roman" w:cs="Times New Roman" w:eastAsia="Times New Roman" w:hint="default"/>
                <w:sz w:val="21"/>
                <w:szCs w:val="21"/>
              </w:rPr>
            </w:pPr>
            <w:r>
              <w:rPr>
                <w:rFonts w:ascii="Times New Roman"/>
                <w:b/>
                <w:sz w:val="21"/>
              </w:rPr>
              <w:t>124</w:t>
            </w:r>
            <w:r>
              <w:rPr>
                <w:rFonts w:ascii="Times New Roman"/>
                <w:sz w:val="21"/>
              </w:rPr>
            </w:r>
          </w:p>
        </w:tc>
        <w:tc>
          <w:tcPr>
            <w:tcW w:w="2612" w:type="dxa"/>
            <w:tcBorders>
              <w:top w:val="single" w:sz="12" w:space="0" w:color="000000"/>
              <w:left w:val="single" w:sz="12" w:space="0" w:color="000000"/>
              <w:bottom w:val="single" w:sz="12" w:space="0" w:color="000000"/>
              <w:right w:val="single" w:sz="12" w:space="0" w:color="000000"/>
            </w:tcBorders>
          </w:tcPr>
          <w:p>
            <w:pP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年龄分布</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宋体" w:hAnsi="宋体" w:cs="宋体" w:eastAsia="宋体" w:hint="default"/>
                <w:sz w:val="21"/>
                <w:szCs w:val="21"/>
              </w:rPr>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岁以下</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19</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15.32%</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宋体" w:hAnsi="宋体" w:cs="宋体" w:eastAsia="宋体" w:hint="default"/>
                <w:sz w:val="21"/>
                <w:szCs w:val="21"/>
              </w:rPr>
              <w:t>岁</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29</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23.39%</w:t>
            </w:r>
          </w:p>
        </w:tc>
      </w:tr>
      <w:tr>
        <w:trPr>
          <w:trHeight w:val="353"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45</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36.29%</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7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岁以上</w:t>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31</w:t>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25%</w:t>
            </w:r>
          </w:p>
        </w:tc>
      </w:tr>
      <w:tr>
        <w:trPr>
          <w:trHeight w:val="352" w:hRule="exact"/>
        </w:trPr>
        <w:tc>
          <w:tcPr>
            <w:tcW w:w="2959"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5"/>
              <w:jc w:val="center"/>
              <w:rPr>
                <w:rFonts w:ascii="Times New Roman" w:hAnsi="Times New Roman" w:cs="Times New Roman" w:eastAsia="Times New Roman" w:hint="default"/>
                <w:sz w:val="21"/>
                <w:szCs w:val="21"/>
              </w:rPr>
            </w:pPr>
            <w:r>
              <w:rPr>
                <w:rFonts w:ascii="Times New Roman"/>
                <w:b/>
                <w:sz w:val="21"/>
              </w:rPr>
              <w:t>124</w:t>
            </w:r>
            <w:r>
              <w:rPr>
                <w:rFonts w:ascii="Times New Roman"/>
                <w:sz w:val="21"/>
              </w:rPr>
            </w:r>
          </w:p>
        </w:tc>
        <w:tc>
          <w:tcPr>
            <w:tcW w:w="26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6"/>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1"/>
        <w:rPr>
          <w:rFonts w:ascii="宋体" w:hAnsi="宋体" w:cs="宋体" w:eastAsia="宋体" w:hint="default"/>
          <w:b/>
          <w:bCs/>
          <w:sz w:val="29"/>
          <w:szCs w:val="29"/>
        </w:rPr>
      </w:pPr>
    </w:p>
    <w:p>
      <w:pPr>
        <w:spacing w:line="2790" w:lineRule="exact"/>
        <w:ind w:left="154"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134360" cy="177165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3134360" cy="1771650"/>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3"/>
        <w:rPr>
          <w:rFonts w:ascii="宋体" w:hAnsi="宋体" w:cs="宋体" w:eastAsia="宋体" w:hint="default"/>
          <w:b/>
          <w:bCs/>
          <w:sz w:val="29"/>
          <w:szCs w:val="29"/>
        </w:rPr>
      </w:pPr>
    </w:p>
    <w:p>
      <w:pPr>
        <w:spacing w:line="3000" w:lineRule="exact"/>
        <w:ind w:left="154"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238499" cy="19050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3238499" cy="1905000"/>
                    </a:xfrm>
                    <a:prstGeom prst="rect">
                      <a:avLst/>
                    </a:prstGeom>
                  </pic:spPr>
                </pic:pic>
              </a:graphicData>
            </a:graphic>
          </wp:inline>
        </w:drawing>
      </w:r>
      <w:r>
        <w:rPr>
          <w:rFonts w:ascii="宋体" w:hAnsi="宋体" w:cs="宋体" w:eastAsia="宋体" w:hint="default"/>
          <w:position w:val="-59"/>
          <w:sz w:val="20"/>
          <w:szCs w:val="20"/>
        </w:rPr>
      </w:r>
    </w:p>
    <w:p>
      <w:pPr>
        <w:spacing w:line="316" w:lineRule="auto" w:before="71"/>
        <w:ind w:left="154" w:right="1034" w:firstLine="0"/>
        <w:jc w:val="left"/>
        <w:rPr>
          <w:rFonts w:ascii="宋体" w:hAnsi="宋体" w:cs="宋体" w:eastAsia="宋体" w:hint="default"/>
          <w:sz w:val="18"/>
          <w:szCs w:val="18"/>
        </w:rPr>
      </w:pPr>
      <w:r>
        <w:rPr>
          <w:rFonts w:ascii="宋体" w:hAnsi="宋体" w:cs="宋体" w:eastAsia="宋体" w:hint="default"/>
          <w:b/>
          <w:bCs/>
          <w:w w:val="95"/>
          <w:sz w:val="18"/>
          <w:szCs w:val="18"/>
        </w:rPr>
        <w:t>公司已与全体员工签署了劳动合同，为员工办理了社会保险，同时建立了住房公积金制度，在执行国家用工制度、劳动保</w:t>
      </w:r>
      <w:r>
        <w:rPr>
          <w:rFonts w:ascii="宋体" w:hAnsi="宋体" w:cs="宋体" w:eastAsia="宋体" w:hint="default"/>
          <w:b/>
          <w:bCs/>
          <w:spacing w:val="37"/>
          <w:w w:val="95"/>
          <w:sz w:val="18"/>
          <w:szCs w:val="18"/>
        </w:rPr>
        <w:t> </w:t>
      </w:r>
      <w:r>
        <w:rPr>
          <w:rFonts w:ascii="宋体" w:hAnsi="宋体" w:cs="宋体" w:eastAsia="宋体" w:hint="default"/>
          <w:b/>
          <w:bCs/>
          <w:spacing w:val="37"/>
          <w:w w:val="95"/>
          <w:sz w:val="18"/>
          <w:szCs w:val="18"/>
        </w:rPr>
      </w:r>
      <w:r>
        <w:rPr>
          <w:rFonts w:ascii="宋体" w:hAnsi="宋体" w:cs="宋体" w:eastAsia="宋体" w:hint="default"/>
          <w:b/>
          <w:bCs/>
          <w:sz w:val="18"/>
          <w:szCs w:val="18"/>
        </w:rPr>
        <w:t>护制度、社会保障制度和医疗保障制度等方面不存在违法、违规情况。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before="136"/>
        <w:ind w:left="154" w:right="1034" w:firstLine="0"/>
        <w:jc w:val="left"/>
        <w:rPr>
          <w:rFonts w:ascii="宋体" w:hAnsi="宋体" w:cs="宋体" w:eastAsia="宋体" w:hint="default"/>
          <w:sz w:val="18"/>
          <w:szCs w:val="18"/>
        </w:rPr>
      </w:pPr>
      <w:r>
        <w:rPr>
          <w:rFonts w:ascii="宋体" w:hAnsi="宋体" w:cs="宋体" w:eastAsia="宋体" w:hint="default"/>
          <w:sz w:val="18"/>
          <w:szCs w:val="18"/>
        </w:rPr>
        <w:t>企业薪酬成本情况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5855"/>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10,935.6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2" w:id="127"/>
      <w:bookmarkStart w:name="第九节 公司治理" w:id="128"/>
      <w:r>
        <w:rPr>
          <w:b w:val="0"/>
          <w:bCs w:val="0"/>
        </w:rPr>
      </w:r>
      <w:r>
        <w:rPr/>
        <w:t>第九节</w:t>
      </w:r>
      <w:r>
        <w:rPr>
          <w:spacing w:val="-5"/>
        </w:rPr>
        <w:t> </w:t>
      </w:r>
      <w:r>
        <w:rPr/>
        <w:t>公司治理</w:t>
      </w:r>
      <w:bookmarkEnd w:id="12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both"/>
        <w:rPr>
          <w:b w:val="0"/>
          <w:bCs w:val="0"/>
        </w:rPr>
      </w:pPr>
      <w:bookmarkStart w:name="一、公司治理的基本状况" w:id="129"/>
      <w:bookmarkEnd w:id="12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129" w:firstLine="368"/>
        <w:jc w:val="both"/>
        <w:rPr>
          <w:rFonts w:ascii="宋体" w:hAnsi="宋体" w:cs="宋体" w:eastAsia="宋体" w:hint="default"/>
          <w:sz w:val="18"/>
          <w:szCs w:val="18"/>
        </w:rPr>
      </w:pPr>
      <w:r>
        <w:rPr>
          <w:rFonts w:ascii="宋体" w:hAnsi="宋体" w:cs="宋体" w:eastAsia="宋体" w:hint="default"/>
          <w:spacing w:val="-2"/>
          <w:sz w:val="18"/>
          <w:szCs w:val="18"/>
        </w:rPr>
        <w:t>报告期内，公司严格按照《公司法》、《证券法》、《上市公司治理准则》、《深圳证券交易所股票上市规则》、《深</w:t>
      </w:r>
      <w:r>
        <w:rPr>
          <w:rFonts w:ascii="宋体" w:hAnsi="宋体" w:cs="宋体" w:eastAsia="宋体" w:hint="default"/>
          <w:sz w:val="18"/>
          <w:szCs w:val="18"/>
        </w:rPr>
        <w:t> </w:t>
      </w:r>
      <w:r>
        <w:rPr>
          <w:rFonts w:ascii="宋体" w:hAnsi="宋体" w:cs="宋体" w:eastAsia="宋体" w:hint="default"/>
          <w:spacing w:val="-2"/>
          <w:sz w:val="18"/>
          <w:szCs w:val="18"/>
        </w:rPr>
        <w:t>圳证券交易所中小企业板上市公司规范运作指引》和中国证监会有关法律法规的要求，不断完善公司治理结构，建立健全内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部管理和控制制度，进一步提高公司治理水平。截止报告期末，公司治理的实际运行情况与中国证监会、深证证券交易所上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市公司治理规范性文件基本相符，不存在尚未解决的治理问题。截止报告期末，公司对照中国证监会发布的有关上市公司治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理的规范性文件，公司认为：公司法人治理结构的实际状况基本符合中国证监会发布的有关上市公司治理的规范性文件。</w:t>
      </w:r>
    </w:p>
    <w:p>
      <w:pPr>
        <w:spacing w:before="19"/>
        <w:ind w:left="633" w:right="1034" w:firstLine="0"/>
        <w:jc w:val="left"/>
        <w:rPr>
          <w:rFonts w:ascii="宋体" w:hAnsi="宋体" w:cs="宋体" w:eastAsia="宋体" w:hint="default"/>
          <w:sz w:val="18"/>
          <w:szCs w:val="18"/>
        </w:rPr>
      </w:pPr>
      <w:r>
        <w:rPr>
          <w:rFonts w:ascii="宋体" w:hAnsi="宋体" w:cs="宋体" w:eastAsia="宋体" w:hint="default"/>
          <w:sz w:val="18"/>
          <w:szCs w:val="18"/>
        </w:rPr>
        <w:t>公司治理的具体情况如下：</w:t>
      </w:r>
    </w:p>
    <w:p>
      <w:pPr>
        <w:spacing w:line="300" w:lineRule="auto" w:before="76"/>
        <w:ind w:left="63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 </w:t>
      </w:r>
      <w:r>
        <w:rPr>
          <w:rFonts w:ascii="宋体" w:hAnsi="宋体" w:cs="宋体" w:eastAsia="宋体" w:hint="default"/>
          <w:spacing w:val="-1"/>
          <w:sz w:val="18"/>
          <w:szCs w:val="18"/>
        </w:rPr>
        <w:t>公司严格按照《公司章程》和《股东大会议事规则》的规定，规范股东大会的召集、召开及表决程序，并聘请律师出</w:t>
      </w:r>
    </w:p>
    <w:p>
      <w:pPr>
        <w:spacing w:line="316" w:lineRule="auto" w:before="31"/>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席见证，确保全体股东、特别是中小股东享有平等地位，公司通过建立与股东沟通的有效渠道，确保全体股东充分地行使自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己的合法权利。</w:t>
      </w:r>
    </w:p>
    <w:p>
      <w:pPr>
        <w:spacing w:line="300" w:lineRule="auto" w:before="19"/>
        <w:ind w:left="634" w:right="1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、关于公司与控股股东 公司控股股东对公司依法通过股东大会行使出资人的权利，没有超越股东大会直接或间接干预公司的决策和经营活</w:t>
      </w:r>
    </w:p>
    <w:p>
      <w:pPr>
        <w:spacing w:line="316" w:lineRule="auto" w:before="31"/>
        <w:ind w:left="154" w:right="1050" w:firstLine="0"/>
        <w:jc w:val="both"/>
        <w:rPr>
          <w:rFonts w:ascii="宋体" w:hAnsi="宋体" w:cs="宋体" w:eastAsia="宋体" w:hint="default"/>
          <w:sz w:val="18"/>
          <w:szCs w:val="18"/>
        </w:rPr>
      </w:pPr>
      <w:r>
        <w:rPr>
          <w:rFonts w:ascii="宋体" w:hAnsi="宋体" w:cs="宋体" w:eastAsia="宋体" w:hint="default"/>
          <w:spacing w:val="-2"/>
          <w:sz w:val="18"/>
          <w:szCs w:val="18"/>
        </w:rPr>
        <w:t>动。公司拥有独立的业务和经营自主能力，在业务、人员、资产、机构、财务上独立于控股股东，公司董事会、监事会和内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部机构独立运作。公司控股股东能严格规范自己的行为，依法行使其权利并承担相应义务，没有超越公司股东大会直接或间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接干预公司的决策和经营活动的行为。公司不存在控股股东占用公司资金的现象，公司也没有为控股股东提供担保的情形。</w:t>
      </w:r>
    </w:p>
    <w:p>
      <w:pPr>
        <w:spacing w:line="300" w:lineRule="auto" w:before="19"/>
        <w:ind w:left="63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、关于董事与董事会 </w:t>
      </w:r>
      <w:r>
        <w:rPr>
          <w:rFonts w:ascii="宋体" w:hAnsi="宋体" w:cs="宋体" w:eastAsia="宋体" w:hint="default"/>
          <w:spacing w:val="-3"/>
          <w:sz w:val="18"/>
          <w:szCs w:val="18"/>
        </w:rPr>
        <w:t>公司严格按照《公司法》、《公司章程》的规定，严格董事的选聘程序，确保公司董事选聘公开、公平、公正、独立。</w:t>
      </w:r>
    </w:p>
    <w:p>
      <w:pPr>
        <w:spacing w:line="312" w:lineRule="auto" w:before="31"/>
        <w:ind w:left="154" w:right="1130" w:firstLine="0"/>
        <w:jc w:val="both"/>
        <w:rPr>
          <w:rFonts w:ascii="宋体" w:hAnsi="宋体" w:cs="宋体" w:eastAsia="宋体" w:hint="default"/>
          <w:sz w:val="18"/>
          <w:szCs w:val="18"/>
        </w:rPr>
      </w:pPr>
      <w:r>
        <w:rPr>
          <w:rFonts w:ascii="宋体" w:hAnsi="宋体" w:cs="宋体" w:eastAsia="宋体" w:hint="default"/>
          <w:sz w:val="18"/>
          <w:szCs w:val="18"/>
        </w:rPr>
        <w:t>公司目前有董事</w:t>
      </w:r>
      <w:r>
        <w:rPr>
          <w:rFonts w:ascii="Times New Roman" w:hAnsi="Times New Roman" w:cs="Times New Roman" w:eastAsia="Times New Roman" w:hint="default"/>
          <w:sz w:val="18"/>
          <w:szCs w:val="18"/>
        </w:rPr>
        <w:t>9</w:t>
      </w:r>
      <w:r>
        <w:rPr>
          <w:rFonts w:ascii="宋体" w:hAnsi="宋体" w:cs="宋体" w:eastAsia="宋体" w:hint="default"/>
          <w:sz w:val="18"/>
          <w:szCs w:val="18"/>
        </w:rPr>
        <w:t>名，其中独立董事三名，占全体董事的三分之一，董事会成员构成符合法律法规的要求。公司全体董事能 </w:t>
      </w:r>
      <w:r>
        <w:rPr>
          <w:rFonts w:ascii="宋体" w:hAnsi="宋体" w:cs="宋体" w:eastAsia="宋体" w:hint="default"/>
          <w:spacing w:val="-2"/>
          <w:sz w:val="18"/>
          <w:szCs w:val="18"/>
        </w:rPr>
        <w:t>够按照《董事会议事规则》、《公司独立董事制度》、《深圳证券交易所中小企业板上市公司规范运作指引》的要求开展工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作，认真出席董事会和股东大会，认真履行董事诚实守信、勤勉尽责的义务。董事会下设战略委员会、审计委员会、薪酬与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考核委员会、提名委员会四个专门委员会，各尽其责，提高了董事会的办事效率。</w:t>
      </w:r>
    </w:p>
    <w:p>
      <w:pPr>
        <w:spacing w:line="300" w:lineRule="auto" w:before="22"/>
        <w:ind w:left="63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、关于监事与监事会 </w:t>
      </w:r>
      <w:r>
        <w:rPr>
          <w:rFonts w:ascii="宋体" w:hAnsi="宋体" w:cs="宋体" w:eastAsia="宋体" w:hint="default"/>
          <w:spacing w:val="-1"/>
          <w:sz w:val="18"/>
          <w:szCs w:val="18"/>
        </w:rPr>
        <w:t>公司严格按照《公司章程》、《监事会议事规则》的规定，严格监事的选聘程序，确保公司监事选聘公开、公平、公</w:t>
      </w:r>
    </w:p>
    <w:p>
      <w:pPr>
        <w:spacing w:line="316" w:lineRule="auto" w:before="31"/>
        <w:ind w:left="153" w:right="1131" w:firstLine="0"/>
        <w:jc w:val="both"/>
        <w:rPr>
          <w:rFonts w:ascii="宋体" w:hAnsi="宋体" w:cs="宋体" w:eastAsia="宋体" w:hint="default"/>
          <w:sz w:val="18"/>
          <w:szCs w:val="18"/>
        </w:rPr>
      </w:pPr>
      <w:r>
        <w:rPr>
          <w:rFonts w:ascii="宋体" w:hAnsi="宋体" w:cs="宋体" w:eastAsia="宋体" w:hint="default"/>
          <w:sz w:val="18"/>
          <w:szCs w:val="18"/>
        </w:rPr>
        <w:t>正、独立。公司监事会由三名监事组成，其中一名为职工代表监事，监事会成员构成符合相关法律法规的要求。</w:t>
      </w:r>
      <w:r>
        <w:rPr>
          <w:rFonts w:ascii="宋体" w:hAnsi="宋体" w:cs="宋体" w:eastAsia="宋体" w:hint="default"/>
          <w:spacing w:val="-16"/>
          <w:sz w:val="18"/>
          <w:szCs w:val="18"/>
        </w:rPr>
        <w:t> </w:t>
      </w:r>
      <w:r>
        <w:rPr>
          <w:rFonts w:ascii="宋体" w:hAnsi="宋体" w:cs="宋体" w:eastAsia="宋体" w:hint="default"/>
          <w:sz w:val="18"/>
          <w:szCs w:val="18"/>
        </w:rPr>
        <w:t>公司全体</w:t>
      </w:r>
      <w:r>
        <w:rPr>
          <w:rFonts w:ascii="宋体" w:hAnsi="宋体" w:cs="宋体" w:eastAsia="宋体" w:hint="default"/>
          <w:sz w:val="18"/>
          <w:szCs w:val="18"/>
        </w:rPr>
        <w:t> </w:t>
      </w:r>
      <w:r>
        <w:rPr>
          <w:rFonts w:ascii="宋体" w:hAnsi="宋体" w:cs="宋体" w:eastAsia="宋体" w:hint="default"/>
          <w:spacing w:val="-2"/>
          <w:sz w:val="18"/>
          <w:szCs w:val="18"/>
        </w:rPr>
        <w:t>监事能够按照《公司章程》、《监事会议事规则》等制度，认真履行自己的职责，能够本着对股东负责的精神，认真出席监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事会和股东大会，列席董事会，对公司财务以及公司董事、总经理和其他高级管理人员履行职责的合法合规性进行监督，维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护公司及股东的合法权益。对公司运营情况、重大事项、关联交易对关联交易以及公司董事的选举、高级管理人员的聘任履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行程序、职责的合法合规性进行监督，维护了公司及股东的合法权益。</w:t>
      </w:r>
    </w:p>
    <w:p>
      <w:pPr>
        <w:spacing w:line="300" w:lineRule="auto" w:before="19"/>
        <w:ind w:left="63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、关于绩效评价与激励约束机制 </w:t>
      </w:r>
      <w:r>
        <w:rPr>
          <w:rFonts w:ascii="宋体" w:hAnsi="宋体" w:cs="宋体" w:eastAsia="宋体" w:hint="default"/>
          <w:spacing w:val="-1"/>
          <w:sz w:val="18"/>
          <w:szCs w:val="18"/>
        </w:rPr>
        <w:t>公司已建立较为完善的员工绩效评价和激励约束机制，同时建立了公正、透明的董事、监事和经营层人员等的绩效评</w:t>
      </w:r>
    </w:p>
    <w:p>
      <w:pPr>
        <w:spacing w:line="316" w:lineRule="auto" w:before="31"/>
        <w:ind w:left="153" w:right="1133" w:firstLine="0"/>
        <w:jc w:val="both"/>
        <w:rPr>
          <w:rFonts w:ascii="宋体" w:hAnsi="宋体" w:cs="宋体" w:eastAsia="宋体" w:hint="default"/>
          <w:sz w:val="18"/>
          <w:szCs w:val="18"/>
        </w:rPr>
      </w:pPr>
      <w:r>
        <w:rPr>
          <w:rFonts w:ascii="宋体" w:hAnsi="宋体" w:cs="宋体" w:eastAsia="宋体" w:hint="default"/>
          <w:spacing w:val="-2"/>
          <w:sz w:val="18"/>
          <w:szCs w:val="18"/>
        </w:rPr>
        <w:t>价标准和激励约束机制，公司管理人员的聘任公开、透明，符合法律法规的规定。根据公司的发展，公司将进一步明确高级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管理人员的职责范围和工作指引。</w:t>
      </w:r>
    </w:p>
    <w:p>
      <w:pPr>
        <w:spacing w:line="300" w:lineRule="auto" w:before="19"/>
        <w:ind w:left="63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、关于相关利益者 </w:t>
      </w:r>
      <w:r>
        <w:rPr>
          <w:rFonts w:ascii="宋体" w:hAnsi="宋体" w:cs="宋体" w:eastAsia="宋体" w:hint="default"/>
          <w:spacing w:val="-1"/>
          <w:sz w:val="18"/>
          <w:szCs w:val="18"/>
        </w:rPr>
        <w:t>公司在保持稳健发展、实现股东利益最大化的同时，充分尊重和维护相关利益者的合法利益，积极与相关利益者沟通</w:t>
      </w:r>
    </w:p>
    <w:p>
      <w:pPr>
        <w:spacing w:line="316" w:lineRule="auto" w:before="32"/>
        <w:ind w:left="154" w:right="1133" w:firstLine="0"/>
        <w:jc w:val="both"/>
        <w:rPr>
          <w:rFonts w:ascii="宋体" w:hAnsi="宋体" w:cs="宋体" w:eastAsia="宋体" w:hint="default"/>
          <w:sz w:val="18"/>
          <w:szCs w:val="18"/>
        </w:rPr>
      </w:pPr>
      <w:r>
        <w:rPr>
          <w:rFonts w:ascii="宋体" w:hAnsi="宋体" w:cs="宋体" w:eastAsia="宋体" w:hint="default"/>
          <w:spacing w:val="-2"/>
          <w:sz w:val="18"/>
          <w:szCs w:val="18"/>
        </w:rPr>
        <w:t>和交流，努力实现股东、员工、社会等各方利益的均衡，在经营中秉承诚实守信，公平公开的原则，共同推进公司持续、健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康地发展。</w:t>
      </w:r>
    </w:p>
    <w:p>
      <w:pPr>
        <w:spacing w:line="300" w:lineRule="auto" w:before="19"/>
        <w:ind w:left="516" w:right="1034" w:firstLine="117"/>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、关于信息披露与透明度 </w:t>
      </w:r>
      <w:r>
        <w:rPr>
          <w:rFonts w:ascii="宋体" w:hAnsi="宋体" w:cs="宋体" w:eastAsia="宋体" w:hint="default"/>
          <w:spacing w:val="-2"/>
          <w:sz w:val="18"/>
          <w:szCs w:val="18"/>
        </w:rPr>
        <w:t>公司已指定董事会秘书为公司的投资者关系管理负责人，负责公司的信息披露与投资者关系的管理，接待股东的来访和</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2" w:lineRule="auto" w:before="44"/>
        <w:ind w:left="153" w:right="1034" w:firstLine="0"/>
        <w:jc w:val="left"/>
        <w:rPr>
          <w:rFonts w:ascii="宋体" w:hAnsi="宋体" w:cs="宋体" w:eastAsia="宋体" w:hint="default"/>
          <w:sz w:val="18"/>
          <w:szCs w:val="18"/>
        </w:rPr>
      </w:pPr>
      <w:r>
        <w:rPr>
          <w:rFonts w:ascii="宋体" w:hAnsi="宋体" w:cs="宋体" w:eastAsia="宋体" w:hint="default"/>
          <w:spacing w:val="-1"/>
          <w:sz w:val="18"/>
          <w:szCs w:val="18"/>
        </w:rPr>
        <w:t>咨询；指定《证券时报》、《中国证券报》、《上海证券报》和巨潮资讯网</w:t>
      </w:r>
      <w:r>
        <w:rPr>
          <w:rFonts w:ascii="Times New Roman" w:hAnsi="Times New Roman" w:cs="Times New Roman" w:eastAsia="Times New Roman" w:hint="default"/>
          <w:spacing w:val="-1"/>
          <w:sz w:val="18"/>
          <w:szCs w:val="18"/>
        </w:rPr>
        <w:t>(www.cinfo.com.cn)</w:t>
      </w:r>
      <w:r>
        <w:rPr>
          <w:rFonts w:ascii="宋体" w:hAnsi="宋体" w:cs="宋体" w:eastAsia="宋体" w:hint="default"/>
          <w:spacing w:val="-1"/>
          <w:sz w:val="18"/>
          <w:szCs w:val="18"/>
        </w:rPr>
        <w:t>作为公司指定信息披露媒体，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公司严格按照有关法律法规和《公司信息披露管理制度》的规定，做到公平、真实、准确、及时、完整的披露公司信息，并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确保所有股东有公平的机会获得信息。公司注重与投资者沟通交流，并通过深圳证券交易所互动平台和接待来访等方式与投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资者的沟通和交流。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4"/>
        <w:spacing w:line="240" w:lineRule="auto"/>
        <w:ind w:right="1034"/>
        <w:jc w:val="left"/>
        <w:rPr>
          <w:b w:val="0"/>
          <w:bCs w:val="0"/>
        </w:rPr>
      </w:pPr>
      <w:bookmarkStart w:name="二、公司相对于控股股东在业务、人员、资产、机构、财务等方面的独立情况" w:id="130"/>
      <w:bookmarkEnd w:id="130"/>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1123" w:firstLine="0"/>
        <w:jc w:val="left"/>
        <w:rPr>
          <w:rFonts w:ascii="宋体" w:hAnsi="宋体" w:cs="宋体" w:eastAsia="宋体" w:hint="default"/>
          <w:sz w:val="18"/>
          <w:szCs w:val="18"/>
        </w:rPr>
      </w:pPr>
      <w:r>
        <w:rPr>
          <w:rFonts w:ascii="宋体" w:hAnsi="宋体" w:cs="宋体" w:eastAsia="宋体" w:hint="default"/>
          <w:spacing w:val="-2"/>
          <w:sz w:val="18"/>
          <w:szCs w:val="18"/>
        </w:rPr>
        <w:t>公司与控股股东在业务、资产、人员、财务、机构等方面完全分开，具有独立完整的业务及自主经营能力。具体的独立运营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情况如下：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、人员方面：公司在劳动、人事及工资管理与控股股东完全分开，公司高级管理人员均未在股东单位兼职或领取薪酬；公</w:t>
      </w:r>
    </w:p>
    <w:p>
      <w:pPr>
        <w:spacing w:line="218" w:lineRule="exact" w:before="0"/>
        <w:ind w:left="154" w:right="1034" w:firstLine="0"/>
        <w:jc w:val="left"/>
        <w:rPr>
          <w:rFonts w:ascii="宋体" w:hAnsi="宋体" w:cs="宋体" w:eastAsia="宋体" w:hint="default"/>
          <w:sz w:val="18"/>
          <w:szCs w:val="18"/>
        </w:rPr>
      </w:pPr>
      <w:r>
        <w:rPr>
          <w:rFonts w:ascii="宋体" w:hAnsi="宋体" w:cs="宋体" w:eastAsia="宋体" w:hint="default"/>
          <w:sz w:val="18"/>
          <w:szCs w:val="18"/>
        </w:rPr>
        <w:t>司在员工管理、社会保障、工资报酬等方面均独立于股东和其他关联方。</w:t>
      </w:r>
    </w:p>
    <w:p>
      <w:pPr>
        <w:spacing w:line="302" w:lineRule="auto" w:before="116"/>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、资产方面：公司拥有独立的采购、销售、研发、服务体系及配套设施，公司股东与公司的资产产权界定明确。公司拥有 的土地使用权证、房屋所有权证、商标注册证及其他产权证明的取得手续完备，资产完整、权属清晰。</w:t>
      </w:r>
    </w:p>
    <w:p>
      <w:pPr>
        <w:spacing w:line="302" w:lineRule="auto" w:before="68"/>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、财务方面：公司设有独立的财务会计部门，配备了专门的财务人员，建立了符合有关会计制度要求、独立的会计核算体 系和财务管理制度。</w:t>
      </w:r>
    </w:p>
    <w:p>
      <w:pPr>
        <w:spacing w:line="302" w:lineRule="auto" w:before="68"/>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、机构方面：公司健全了股东大会、董事会、监事会、经理层等法人治理机构，各组织机构依法行使各自的职权；建立了 独立的、适应自身发展需要的组织机构，制订了完善的岗位职责和管理制度，各部门按照规定的职责独立运作。</w:t>
      </w:r>
    </w:p>
    <w:p>
      <w:pPr>
        <w:spacing w:line="302" w:lineRule="auto" w:before="69"/>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、内控独立：公司设立独立的审计部门，配备专职的审计人员，审计部直属于公司董事会领导，在业务、人员等方面完全 独立，对董事会负责，向董事会报告。</w:t>
      </w:r>
    </w:p>
    <w:p>
      <w:pPr>
        <w:spacing w:line="302" w:lineRule="auto" w:before="68"/>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、业务方面：公司在经营管理上独立运作，独立对外签订合同，开展业务，形成了独立完整的业务体系，具备面向市场自 主经营的能力。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61"/>
        <w:ind w:right="1034"/>
        <w:jc w:val="left"/>
        <w:rPr>
          <w:b w:val="0"/>
          <w:bCs w:val="0"/>
        </w:rPr>
      </w:pPr>
      <w:bookmarkStart w:name="三、同业竞争情况" w:id="131"/>
      <w:bookmarkEnd w:id="13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1034"/>
        <w:jc w:val="left"/>
        <w:rPr>
          <w:b w:val="0"/>
          <w:bCs w:val="0"/>
        </w:rPr>
      </w:pPr>
      <w:bookmarkStart w:name="四、报告期内召开的年度股东大会和临时股东大会的有关情况" w:id="132"/>
      <w:bookmarkEnd w:id="13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4"/>
        <w:jc w:val="left"/>
        <w:rPr>
          <w:b w:val="0"/>
          <w:bCs w:val="0"/>
        </w:rPr>
      </w:pPr>
      <w:bookmarkStart w:name="1、本报告期股东大会情况" w:id="133"/>
      <w:bookmarkEnd w:id="13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64.29%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02" w:lineRule="auto" w:before="19"/>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5">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bl>
    <w:p>
      <w:pPr>
        <w:spacing w:after="0" w:line="30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第一次临时股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02" w:lineRule="auto" w:before="19"/>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5">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第二次临时股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02" w:lineRule="auto" w:before="19"/>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5">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第三次临时股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02" w:lineRule="auto" w:before="19"/>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5">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第四次临时股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02" w:lineRule="auto" w:before="19"/>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5">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第五次临时股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02" w:lineRule="auto" w:before="17"/>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5">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机构投资者情况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机构投资者名称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表决权恢复的优先股股东请求召开临时股东大会" w:id="134"/>
      <w:bookmarkEnd w:id="13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1034"/>
        <w:jc w:val="left"/>
        <w:rPr>
          <w:b w:val="0"/>
          <w:bCs w:val="0"/>
        </w:rPr>
      </w:pPr>
      <w:bookmarkStart w:name="五、报告期内独立董事履行职责的情况" w:id="135"/>
      <w:bookmarkEnd w:id="135"/>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独立董事出席董事会及股东大会的情况" w:id="136"/>
      <w:bookmarkEnd w:id="13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姚禄仕</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6"/>
        <w:spacing w:line="240" w:lineRule="auto"/>
        <w:ind w:left="154" w:right="1034"/>
        <w:jc w:val="left"/>
        <w:rPr>
          <w:b w:val="0"/>
          <w:bCs w:val="0"/>
        </w:rPr>
      </w:pPr>
      <w:bookmarkStart w:name="2、独立董事对公司有关事项提出异议的情况" w:id="137"/>
      <w:bookmarkEnd w:id="13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2"/>
        <w:rPr>
          <w:rFonts w:ascii="宋体" w:hAnsi="宋体" w:cs="宋体" w:eastAsia="宋体" w:hint="default"/>
          <w:sz w:val="21"/>
          <w:szCs w:val="21"/>
        </w:rPr>
      </w:pPr>
    </w:p>
    <w:p>
      <w:pPr>
        <w:pStyle w:val="Heading6"/>
        <w:spacing w:line="240" w:lineRule="auto"/>
        <w:ind w:right="1034"/>
        <w:jc w:val="left"/>
        <w:rPr>
          <w:b w:val="0"/>
          <w:bCs w:val="0"/>
        </w:rPr>
      </w:pPr>
      <w:bookmarkStart w:name="3、独立董事履行职责的其他说明" w:id="138"/>
      <w:bookmarkEnd w:id="13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16" w:lineRule="auto" w:before="41"/>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报告期内，公司独立董事根据《公司法》、《证券法》、《股票上市规则》、《上市公司治理准则》、《公司章程》等</w:t>
      </w:r>
      <w:r>
        <w:rPr>
          <w:rFonts w:ascii="宋体" w:hAnsi="宋体" w:cs="宋体" w:eastAsia="宋体" w:hint="default"/>
          <w:sz w:val="18"/>
          <w:szCs w:val="18"/>
        </w:rPr>
        <w:t> </w:t>
      </w:r>
      <w:r>
        <w:rPr>
          <w:rFonts w:ascii="宋体" w:hAnsi="宋体" w:cs="宋体" w:eastAsia="宋体" w:hint="default"/>
          <w:spacing w:val="-2"/>
          <w:sz w:val="18"/>
          <w:szCs w:val="18"/>
        </w:rPr>
        <w:t>规定，关注公司运作的规范性，认真独立履行职责，对公司的制度完善和日常经营决策等方面提出了很多专业性建议，对报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告期内公司发生的日常关联及其他需要独立董事发表意见的事项进行审核并出具了独立董事意见，</w:t>
      </w:r>
      <w:r>
        <w:rPr>
          <w:rFonts w:ascii="宋体" w:hAnsi="宋体" w:cs="宋体" w:eastAsia="宋体" w:hint="default"/>
          <w:spacing w:val="-18"/>
          <w:sz w:val="18"/>
          <w:szCs w:val="18"/>
        </w:rPr>
        <w:t> </w:t>
      </w:r>
      <w:r>
        <w:rPr>
          <w:rFonts w:ascii="宋体" w:hAnsi="宋体" w:cs="宋体" w:eastAsia="宋体" w:hint="default"/>
          <w:sz w:val="18"/>
          <w:szCs w:val="18"/>
        </w:rPr>
        <w:t>为完善公司监督机制，</w:t>
      </w:r>
      <w:r>
        <w:rPr>
          <w:rFonts w:ascii="宋体" w:hAnsi="宋体" w:cs="宋体" w:eastAsia="宋体" w:hint="default"/>
          <w:sz w:val="18"/>
          <w:szCs w:val="18"/>
        </w:rPr>
        <w:t> 切实维护了公司和中小股东的利益。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4"/>
        <w:spacing w:line="240" w:lineRule="auto"/>
        <w:ind w:right="1034"/>
        <w:jc w:val="left"/>
        <w:rPr>
          <w:b w:val="0"/>
          <w:bCs w:val="0"/>
        </w:rPr>
      </w:pPr>
      <w:bookmarkStart w:name="六、董事会下设专门委员会在报告期内履行职责情况" w:id="139"/>
      <w:bookmarkEnd w:id="139"/>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spacing w:line="309" w:lineRule="auto" w:before="0"/>
        <w:ind w:left="153" w:right="1033" w:firstLine="145"/>
        <w:jc w:val="left"/>
        <w:rPr>
          <w:rFonts w:ascii="宋体" w:hAnsi="宋体" w:cs="宋体" w:eastAsia="宋体" w:hint="default"/>
          <w:sz w:val="18"/>
          <w:szCs w:val="18"/>
        </w:rPr>
      </w:pPr>
      <w:r>
        <w:rPr>
          <w:rFonts w:ascii="宋体" w:hAnsi="宋体" w:cs="宋体" w:eastAsia="宋体" w:hint="default"/>
          <w:spacing w:val="-5"/>
          <w:sz w:val="18"/>
          <w:szCs w:val="18"/>
        </w:rPr>
        <w:t>公司董事会下设审计委员会、提名委员会、薪酬与考核委员会、战略委员会四个专业委员会，</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年，专业委员会根据《上</w:t>
      </w:r>
      <w:r>
        <w:rPr>
          <w:rFonts w:ascii="宋体" w:hAnsi="宋体" w:cs="宋体" w:eastAsia="宋体" w:hint="default"/>
          <w:sz w:val="18"/>
          <w:szCs w:val="18"/>
        </w:rPr>
        <w:t> 市公司治理准则》、《公司章程》、《董事会议事规则》以及各专业委员会实施细则赋予的职权和义务，认真履行了职责。 现将各专门委员会具体工作报告如下：</w:t>
      </w:r>
    </w:p>
    <w:p>
      <w:pPr>
        <w:spacing w:line="300" w:lineRule="auto" w:before="24"/>
        <w:ind w:left="153" w:right="38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、董事会审计委员会的履职情况 公司董事会审计委员会由</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名董事组成，其中主任委员由专业会计人士汪和俊先生担任。</w:t>
      </w:r>
    </w:p>
    <w:p>
      <w:pPr>
        <w:spacing w:line="300" w:lineRule="auto" w:before="13"/>
        <w:ind w:left="514" w:right="1034"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）对会计师事务所审计工作的督促情况 </w:t>
      </w:r>
      <w:r>
        <w:rPr>
          <w:rFonts w:ascii="宋体" w:hAnsi="宋体" w:cs="宋体" w:eastAsia="宋体" w:hint="default"/>
          <w:spacing w:val="-2"/>
          <w:sz w:val="18"/>
          <w:szCs w:val="18"/>
        </w:rPr>
        <w:t>在本次年度审计前，审计委员会与会计师事务所协商制订了公司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年度财务报告审计工作计划，并进行了深入沟通和</w:t>
      </w:r>
    </w:p>
    <w:p>
      <w:pPr>
        <w:spacing w:line="300" w:lineRule="auto" w:before="13"/>
        <w:ind w:left="154" w:right="1034" w:firstLine="0"/>
        <w:jc w:val="left"/>
        <w:rPr>
          <w:rFonts w:ascii="宋体" w:hAnsi="宋体" w:cs="宋体" w:eastAsia="宋体" w:hint="default"/>
          <w:sz w:val="18"/>
          <w:szCs w:val="18"/>
        </w:rPr>
      </w:pPr>
      <w:r>
        <w:rPr>
          <w:rFonts w:ascii="宋体" w:hAnsi="宋体" w:cs="宋体" w:eastAsia="宋体" w:hint="default"/>
          <w:spacing w:val="-2"/>
          <w:sz w:val="18"/>
          <w:szCs w:val="18"/>
        </w:rPr>
        <w:t>交流。审计委员会认为大华会计师事务所（特殊普通合伙）</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年度审计工作完全按照审计工作安排时间表进行，会计师事</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务所完全履行其审计责任。</w:t>
      </w:r>
    </w:p>
    <w:p>
      <w:pPr>
        <w:spacing w:line="300" w:lineRule="auto" w:before="31"/>
        <w:ind w:left="153" w:right="1130" w:firstLine="360"/>
        <w:jc w:val="both"/>
        <w:rPr>
          <w:rFonts w:ascii="宋体" w:hAnsi="宋体" w:cs="宋体" w:eastAsia="宋体" w:hint="default"/>
          <w:sz w:val="18"/>
          <w:szCs w:val="18"/>
        </w:rPr>
      </w:pPr>
      <w:r>
        <w:rPr>
          <w:rFonts w:ascii="宋体" w:hAnsi="宋体" w:cs="宋体" w:eastAsia="宋体" w:hint="default"/>
          <w:spacing w:val="-2"/>
          <w:sz w:val="18"/>
          <w:szCs w:val="18"/>
        </w:rPr>
        <w:t>本年度审计工作进展顺利，大华会计师事务所（特殊普通合伙）在双方约定时间内完成了公司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年年度审计工作，并</w:t>
      </w:r>
      <w:r>
        <w:rPr>
          <w:rFonts w:ascii="宋体" w:hAnsi="宋体" w:cs="宋体" w:eastAsia="宋体" w:hint="default"/>
          <w:sz w:val="18"/>
          <w:szCs w:val="18"/>
        </w:rPr>
        <w:t> 出具了审计意见，审计委员会对审计结果进行了审核。</w:t>
      </w:r>
    </w:p>
    <w:p>
      <w:pPr>
        <w:spacing w:line="300" w:lineRule="auto" w:before="31"/>
        <w:ind w:left="514" w:right="1034"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）对会计师事务所出具的财务报告的审计意见 </w:t>
      </w:r>
      <w:r>
        <w:rPr>
          <w:rFonts w:ascii="宋体" w:hAnsi="宋体" w:cs="宋体" w:eastAsia="宋体" w:hint="default"/>
          <w:spacing w:val="-2"/>
          <w:sz w:val="18"/>
          <w:szCs w:val="18"/>
        </w:rPr>
        <w:t>大华会计师事务所（特殊普通合伙）审计小组在本年度审计中按照中国注册会计师审计准则的要求执行了恰当的审计程</w:t>
      </w:r>
    </w:p>
    <w:p>
      <w:pPr>
        <w:spacing w:line="316" w:lineRule="auto" w:before="31"/>
        <w:ind w:left="154" w:right="1132" w:firstLine="0"/>
        <w:jc w:val="both"/>
        <w:rPr>
          <w:rFonts w:ascii="宋体" w:hAnsi="宋体" w:cs="宋体" w:eastAsia="宋体" w:hint="default"/>
          <w:sz w:val="18"/>
          <w:szCs w:val="18"/>
        </w:rPr>
      </w:pPr>
      <w:r>
        <w:rPr>
          <w:rFonts w:ascii="宋体" w:hAnsi="宋体" w:cs="宋体" w:eastAsia="宋体" w:hint="default"/>
          <w:spacing w:val="-2"/>
          <w:sz w:val="18"/>
          <w:szCs w:val="18"/>
        </w:rPr>
        <w:t>序。董事会审计委员会根据会计师事务所对相关财务报表审计后出具的初步审计意见，对相关财务会计报表及附注进行了审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阅，认为：公司财务报表已经按照《企业会计准则》的规定编制，符合国家颁布的《企业会计准则》的要求，在所有重大方</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面公允地反映了公司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日的财务状况以及</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年度的经营成果和现金流量。</w:t>
      </w:r>
    </w:p>
    <w:p>
      <w:pPr>
        <w:spacing w:line="300" w:lineRule="auto" w:before="0"/>
        <w:ind w:left="514" w:right="1034"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）关于续聘会计师事务所决议 </w:t>
      </w:r>
      <w:r>
        <w:rPr>
          <w:rFonts w:ascii="宋体" w:hAnsi="宋体" w:cs="宋体" w:eastAsia="宋体" w:hint="default"/>
          <w:spacing w:val="-2"/>
          <w:sz w:val="18"/>
          <w:szCs w:val="18"/>
        </w:rPr>
        <w:t>大华会计师事务所（特殊普通合伙）在担任公司审计机构以来，公司与该所保持了良好的合作关系，审计委员会同意公</w:t>
      </w:r>
    </w:p>
    <w:p>
      <w:pPr>
        <w:spacing w:before="31"/>
        <w:ind w:left="154" w:right="1034" w:firstLine="0"/>
        <w:jc w:val="left"/>
        <w:rPr>
          <w:rFonts w:ascii="宋体" w:hAnsi="宋体" w:cs="宋体" w:eastAsia="宋体" w:hint="default"/>
          <w:sz w:val="18"/>
          <w:szCs w:val="18"/>
        </w:rPr>
      </w:pPr>
      <w:r>
        <w:rPr>
          <w:rFonts w:ascii="宋体" w:hAnsi="宋体" w:cs="宋体" w:eastAsia="宋体" w:hint="default"/>
          <w:sz w:val="18"/>
          <w:szCs w:val="18"/>
        </w:rPr>
        <w:t>司续聘大华会计师事务所（特殊普通合伙）为公司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年度财务审计机构。</w:t>
      </w:r>
    </w:p>
    <w:p>
      <w:pPr>
        <w:spacing w:before="63"/>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、董事会提名委员会的履职情况</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1034" w:firstLine="360"/>
        <w:jc w:val="left"/>
        <w:rPr>
          <w:rFonts w:ascii="宋体" w:hAnsi="宋体" w:cs="宋体" w:eastAsia="宋体" w:hint="default"/>
          <w:sz w:val="18"/>
          <w:szCs w:val="18"/>
        </w:rPr>
      </w:pPr>
      <w:r>
        <w:rPr>
          <w:rFonts w:ascii="宋体" w:hAnsi="宋体" w:cs="宋体" w:eastAsia="宋体" w:hint="default"/>
          <w:spacing w:val="-2"/>
          <w:sz w:val="18"/>
          <w:szCs w:val="18"/>
        </w:rPr>
        <w:t>为强化董事会决策功能，董事会下设提名委员会，由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名董事组成，其中</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名为独立董事、并由</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名独立董事担任召集人，</w:t>
      </w:r>
      <w:r>
        <w:rPr>
          <w:rFonts w:ascii="宋体" w:hAnsi="宋体" w:cs="宋体" w:eastAsia="宋体" w:hint="default"/>
          <w:sz w:val="18"/>
          <w:szCs w:val="18"/>
        </w:rPr>
        <w:t> 主要负责对公司董事、高级管理人员的人选、选择标准和程序审核并提出建议。</w:t>
      </w:r>
    </w:p>
    <w:p>
      <w:pPr>
        <w:spacing w:line="319" w:lineRule="auto" w:before="31"/>
        <w:ind w:left="153" w:right="1034" w:firstLine="360"/>
        <w:jc w:val="left"/>
        <w:rPr>
          <w:rFonts w:ascii="宋体" w:hAnsi="宋体" w:cs="宋体" w:eastAsia="宋体" w:hint="default"/>
          <w:sz w:val="18"/>
          <w:szCs w:val="18"/>
        </w:rPr>
      </w:pPr>
      <w:r>
        <w:rPr>
          <w:rFonts w:ascii="宋体" w:hAnsi="宋体" w:cs="宋体" w:eastAsia="宋体" w:hint="default"/>
          <w:spacing w:val="-4"/>
          <w:sz w:val="18"/>
          <w:szCs w:val="18"/>
        </w:rPr>
        <w:t>报告期内，公司董事会提名委员会严格按照《独立董事制度》、《董事会提名委员会实施细则》等相关制度的规定工作，</w:t>
      </w:r>
      <w:r>
        <w:rPr>
          <w:rFonts w:ascii="宋体" w:hAnsi="宋体" w:cs="宋体" w:eastAsia="宋体" w:hint="default"/>
          <w:sz w:val="18"/>
          <w:szCs w:val="18"/>
        </w:rPr>
        <w:t> 持续研究与关注董事、高级管理人员选拔制度，认真审核与评价公司董事、高级管理人员候选，勤勉尽责地履行职责。 </w:t>
      </w:r>
      <w:r>
        <w:rPr>
          <w:rFonts w:ascii="Times New Roman" w:hAnsi="Times New Roman" w:cs="Times New Roman" w:eastAsia="Times New Roman" w:hint="default"/>
          <w:sz w:val="18"/>
          <w:szCs w:val="18"/>
        </w:rPr>
        <w:t>3</w:t>
      </w:r>
      <w:r>
        <w:rPr>
          <w:rFonts w:ascii="宋体" w:hAnsi="宋体" w:cs="宋体" w:eastAsia="宋体" w:hint="default"/>
          <w:sz w:val="18"/>
          <w:szCs w:val="18"/>
        </w:rPr>
        <w:t>、董事会薪酬与考核委员会履职情况</w:t>
      </w:r>
    </w:p>
    <w:p>
      <w:pPr>
        <w:spacing w:line="312" w:lineRule="auto" w:before="0"/>
        <w:ind w:left="153" w:right="1130" w:firstLine="360"/>
        <w:jc w:val="both"/>
        <w:rPr>
          <w:rFonts w:ascii="宋体" w:hAnsi="宋体" w:cs="宋体" w:eastAsia="宋体" w:hint="default"/>
          <w:sz w:val="18"/>
          <w:szCs w:val="18"/>
        </w:rPr>
      </w:pPr>
      <w:r>
        <w:rPr>
          <w:rFonts w:ascii="宋体" w:hAnsi="宋体" w:cs="宋体" w:eastAsia="宋体" w:hint="default"/>
          <w:sz w:val="18"/>
          <w:szCs w:val="18"/>
        </w:rPr>
        <w:t>为强化董事会决策功能，董事会下设薪酬与考核委员会，由</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名董事组成，其中</w:t>
      </w:r>
      <w:r>
        <w:rPr>
          <w:rFonts w:ascii="Times New Roman" w:hAnsi="Times New Roman" w:cs="Times New Roman" w:eastAsia="Times New Roman" w:hint="default"/>
          <w:sz w:val="18"/>
          <w:szCs w:val="18"/>
        </w:rPr>
        <w:t>2</w:t>
      </w:r>
      <w:r>
        <w:rPr>
          <w:rFonts w:ascii="宋体" w:hAnsi="宋体" w:cs="宋体" w:eastAsia="宋体" w:hint="default"/>
          <w:sz w:val="18"/>
          <w:szCs w:val="18"/>
        </w:rPr>
        <w:t>名为独立董事、并由</w:t>
      </w:r>
      <w:r>
        <w:rPr>
          <w:rFonts w:ascii="Times New Roman" w:hAnsi="Times New Roman" w:cs="Times New Roman" w:eastAsia="Times New Roman" w:hint="default"/>
          <w:sz w:val="18"/>
          <w:szCs w:val="18"/>
        </w:rPr>
        <w:t>1</w:t>
      </w:r>
      <w:r>
        <w:rPr>
          <w:rFonts w:ascii="宋体" w:hAnsi="宋体" w:cs="宋体" w:eastAsia="宋体" w:hint="default"/>
          <w:sz w:val="18"/>
          <w:szCs w:val="18"/>
        </w:rPr>
        <w:t>名独立董事担任 </w:t>
      </w:r>
      <w:r>
        <w:rPr>
          <w:rFonts w:ascii="宋体" w:hAnsi="宋体" w:cs="宋体" w:eastAsia="宋体" w:hint="default"/>
          <w:spacing w:val="-2"/>
          <w:sz w:val="18"/>
          <w:szCs w:val="18"/>
        </w:rPr>
        <w:t>召集人，主要负责制定公司董事及高级管理人员的考核标准并进行考核、制定和审查公司董事及高级管理人员的薪酬政策与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方案等。公司董事会薪酬与考核委员会成立以来，积极参加公司关于薪酬与考核方面的会议，委员会成员积极工作，指导公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司董事会完善了公司薪酬体系。</w:t>
      </w:r>
    </w:p>
    <w:p>
      <w:pPr>
        <w:spacing w:line="300" w:lineRule="auto" w:before="22"/>
        <w:ind w:left="514" w:right="1122"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、董事会战略委员会履职情况 为强化董事会决策功能，董事会下设战略委员会，由</w:t>
      </w:r>
      <w:r>
        <w:rPr>
          <w:rFonts w:ascii="Times New Roman" w:hAnsi="Times New Roman" w:cs="Times New Roman" w:eastAsia="Times New Roman" w:hint="default"/>
          <w:sz w:val="18"/>
          <w:szCs w:val="18"/>
        </w:rPr>
        <w:t>5</w:t>
      </w:r>
      <w:r>
        <w:rPr>
          <w:rFonts w:ascii="宋体" w:hAnsi="宋体" w:cs="宋体" w:eastAsia="宋体" w:hint="default"/>
          <w:sz w:val="18"/>
          <w:szCs w:val="18"/>
        </w:rPr>
        <w:t>名董事组成，主要负责公司长期发展战略和重大投资决策研究并</w:t>
      </w:r>
    </w:p>
    <w:p>
      <w:pPr>
        <w:spacing w:before="13"/>
        <w:ind w:left="154" w:right="1034" w:firstLine="0"/>
        <w:jc w:val="left"/>
        <w:rPr>
          <w:rFonts w:ascii="宋体" w:hAnsi="宋体" w:cs="宋体" w:eastAsia="宋体" w:hint="default"/>
          <w:sz w:val="18"/>
          <w:szCs w:val="18"/>
        </w:rPr>
      </w:pPr>
      <w:r>
        <w:rPr>
          <w:rFonts w:ascii="宋体" w:hAnsi="宋体" w:cs="宋体" w:eastAsia="宋体" w:hint="default"/>
          <w:sz w:val="18"/>
          <w:szCs w:val="18"/>
        </w:rPr>
        <w:t>提出建议。</w:t>
      </w:r>
    </w:p>
    <w:p>
      <w:pPr>
        <w:spacing w:line="316" w:lineRule="auto" w:before="76"/>
        <w:ind w:left="154" w:right="1034" w:firstLine="360"/>
        <w:jc w:val="left"/>
        <w:rPr>
          <w:rFonts w:ascii="宋体" w:hAnsi="宋体" w:cs="宋体" w:eastAsia="宋体" w:hint="default"/>
          <w:sz w:val="18"/>
          <w:szCs w:val="18"/>
        </w:rPr>
      </w:pPr>
      <w:r>
        <w:rPr>
          <w:rFonts w:ascii="宋体" w:hAnsi="宋体" w:cs="宋体" w:eastAsia="宋体" w:hint="default"/>
          <w:spacing w:val="-4"/>
          <w:sz w:val="18"/>
          <w:szCs w:val="18"/>
        </w:rPr>
        <w:t>报告期内，公司董事会战略委员会密切跟踪和关注国家宏观经济政策、结构调整对公司的影响，结合公司战略发展要求，</w:t>
      </w:r>
      <w:r>
        <w:rPr>
          <w:rFonts w:ascii="宋体" w:hAnsi="宋体" w:cs="宋体" w:eastAsia="宋体" w:hint="default"/>
          <w:sz w:val="18"/>
          <w:szCs w:val="18"/>
        </w:rPr>
        <w:t> </w:t>
      </w:r>
      <w:r>
        <w:rPr>
          <w:rFonts w:ascii="宋体" w:hAnsi="宋体" w:cs="宋体" w:eastAsia="宋体" w:hint="default"/>
          <w:spacing w:val="-2"/>
          <w:sz w:val="18"/>
          <w:szCs w:val="18"/>
        </w:rPr>
        <w:t>向公司董事会提出有关结构调整、资本运作、长远发展等事项的建议，对促进公司持续、稳定发展，规避市场风险，起到了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积极良好的作用。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4"/>
        <w:spacing w:line="240" w:lineRule="auto"/>
        <w:ind w:left="154" w:right="1034"/>
        <w:jc w:val="left"/>
        <w:rPr>
          <w:b w:val="0"/>
          <w:bCs w:val="0"/>
        </w:rPr>
      </w:pPr>
      <w:bookmarkStart w:name="七、监事会工作情况" w:id="140"/>
      <w:bookmarkEnd w:id="14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4"/>
        <w:spacing w:line="240" w:lineRule="auto"/>
        <w:ind w:right="1034"/>
        <w:jc w:val="left"/>
        <w:rPr>
          <w:b w:val="0"/>
          <w:bCs w:val="0"/>
        </w:rPr>
      </w:pPr>
      <w:bookmarkStart w:name="八、高级管理人员的考评及激励情况" w:id="141"/>
      <w:bookmarkEnd w:id="14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2" w:lineRule="auto" w:before="0"/>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、公司根据年度财务预算、生产经营指标、管理目标的完成情况，对高级管理人员的绩效进行全面综合考核，将工作绩效 </w:t>
      </w:r>
      <w:r>
        <w:rPr>
          <w:rFonts w:ascii="宋体" w:hAnsi="宋体" w:cs="宋体" w:eastAsia="宋体" w:hint="default"/>
          <w:spacing w:val="-2"/>
          <w:sz w:val="18"/>
          <w:szCs w:val="18"/>
        </w:rPr>
        <w:t>与其收入直接挂钩，完善了绩效考核体系。为了加快企业发展，促进公司的规范运作，增强公司高管人员的诚信意识，责任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意识，提升公司法人治理水平，建立和健全年薪绩效评价和激励、约束机制，最大限度地调动公司高管人员的积极性及创造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 </w:t>
      </w:r>
      <w:r>
        <w:rPr>
          <w:rFonts w:ascii="Times New Roman" w:hAnsi="Times New Roman" w:cs="Times New Roman" w:eastAsia="Times New Roman" w:hint="default"/>
          <w:sz w:val="18"/>
          <w:szCs w:val="18"/>
        </w:rPr>
        <w:t>2</w:t>
      </w:r>
      <w:r>
        <w:rPr>
          <w:rFonts w:ascii="宋体" w:hAnsi="宋体" w:cs="宋体" w:eastAsia="宋体" w:hint="default"/>
          <w:sz w:val="18"/>
          <w:szCs w:val="18"/>
        </w:rPr>
        <w:t>、为了更好激发管理团队的积极，提高经营效率，促进公司业绩提升，对高级管理人员、核心技术及业务骨干人员实施股 权激励计划。</w:t>
      </w:r>
    </w:p>
    <w:p>
      <w:pPr>
        <w:spacing w:line="240" w:lineRule="auto" w:before="0"/>
        <w:rPr>
          <w:rFonts w:ascii="宋体" w:hAnsi="宋体" w:cs="宋体" w:eastAsia="宋体" w:hint="default"/>
          <w:sz w:val="21"/>
          <w:szCs w:val="21"/>
        </w:rPr>
      </w:pPr>
    </w:p>
    <w:p>
      <w:pPr>
        <w:pStyle w:val="Heading4"/>
        <w:spacing w:line="240" w:lineRule="auto"/>
        <w:ind w:right="1034"/>
        <w:jc w:val="left"/>
        <w:rPr>
          <w:b w:val="0"/>
          <w:bCs w:val="0"/>
        </w:rPr>
      </w:pPr>
      <w:bookmarkStart w:name="九、内部控制评价报告" w:id="142"/>
      <w:bookmarkEnd w:id="142"/>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报告期内发现的内部控制重大缺陷的具体情况" w:id="143"/>
      <w:bookmarkEnd w:id="14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2、内控自我评价报告" w:id="144"/>
      <w:bookmarkEnd w:id="14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刊登于巨潮资讯网</w:t>
            </w:r>
            <w:r>
              <w:rPr>
                <w:rFonts w:ascii="宋体" w:hAnsi="宋体" w:cs="宋体" w:eastAsia="宋体" w:hint="default"/>
                <w:spacing w:val="-53"/>
                <w:sz w:val="18"/>
                <w:szCs w:val="18"/>
              </w:rPr>
              <w:t> </w:t>
            </w:r>
            <w:hyperlink r:id="rId9">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上的《安徽中电兴发与鑫龙科技股份 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年度内部控制评价报告》。</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spacing w:before="44"/>
        <w:ind w:left="0" w:right="1139" w:firstLine="0"/>
        <w:jc w:val="right"/>
        <w:rPr>
          <w:rFonts w:ascii="宋体" w:hAnsi="宋体" w:cs="宋体" w:eastAsia="宋体" w:hint="default"/>
          <w:sz w:val="18"/>
          <w:szCs w:val="18"/>
        </w:rPr>
      </w:pPr>
      <w:r>
        <w:rPr/>
        <w:pict>
          <v:shape style="position:absolute;margin-left:56.459999pt;margin-top:-284.068268pt;width:479.2pt;height:653.950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3"/>
                    <w:gridCol w:w="3335"/>
                    <w:gridCol w:w="3051"/>
                  </w:tblGrid>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9" w:space="0" w:color="FFFFFF"/>
                        </w:tcBorders>
                      </w:tcPr>
                      <w:p>
                        <w:pPr>
                          <w:pStyle w:val="TableParagraph"/>
                          <w:tabs>
                            <w:tab w:pos="1004" w:val="left" w:leader="none"/>
                          </w:tabs>
                          <w:spacing w:line="314" w:lineRule="auto" w:before="51"/>
                          <w:ind w:left="28" w:right="-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）重大缺陷的迹象包括：①公司董事、 监事和高级管理人员舞弊；②公司更正已 公布的财务报告；③注册会计师发现当期 财务报告存在重大错报，而内部控制在运 行过程中未能发现该错报；④公司审计委 员会和内部审计机构对内部控制的监督无 效。</w:t>
                          <w:tab/>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）重要缺陷的迹象包括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① 未依照公认会计准则选择和应用会计政 策；②未建立反舞弊程序和控制措施；③ 对于非常规或特殊交易的账务处理没有建 立相应的控制机制或没有实施且没有相应 的补偿性控制；④对于期末财务报告过程 的控制存在一项或多项缺陷且不能合理保 </w:t>
                        </w:r>
                        <w:r>
                          <w:rPr>
                            <w:rFonts w:ascii="宋体" w:hAnsi="宋体" w:cs="宋体" w:eastAsia="宋体" w:hint="default"/>
                            <w:spacing w:val="-6"/>
                            <w:sz w:val="18"/>
                            <w:szCs w:val="18"/>
                          </w:rPr>
                          <w:t>证编制的财务报表达到真实、准确的目标。</w:t>
                        </w:r>
                        <w:r>
                          <w:rPr>
                            <w:rFonts w:ascii="宋体" w:hAnsi="宋体" w:cs="宋体" w:eastAsia="宋体" w:hint="default"/>
                            <w:sz w:val="18"/>
                            <w:szCs w:val="18"/>
                          </w:rPr>
                        </w:r>
                      </w:p>
                      <w:p>
                        <w:pPr>
                          <w:pStyle w:val="TableParagraph"/>
                          <w:spacing w:line="302" w:lineRule="auto" w:before="20"/>
                          <w:ind w:left="28" w:right="1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）一般缺陷是指除上述重大缺陷、重要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缺陷之外的其他控制缺陷。</w:t>
                        </w:r>
                      </w:p>
                    </w:tc>
                    <w:tc>
                      <w:tcPr>
                        <w:tcW w:w="3051" w:type="dxa"/>
                        <w:vMerge w:val="restart"/>
                        <w:tcBorders>
                          <w:top w:val="single" w:sz="4" w:space="0" w:color="000000"/>
                          <w:left w:val="single" w:sz="9" w:space="0" w:color="FFFFFF"/>
                          <w:right w:val="nil" w:sz="6" w:space="0" w:color="auto"/>
                        </w:tcBorders>
                      </w:tcPr>
                      <w:p>
                        <w:pPr>
                          <w:pStyle w:val="TableParagraph"/>
                          <w:tabs>
                            <w:tab w:pos="903" w:val="left" w:leader="none"/>
                            <w:tab w:pos="1143" w:val="left" w:leader="none"/>
                          </w:tabs>
                          <w:spacing w:line="312" w:lineRule="auto" w:before="51"/>
                          <w:ind w:left="16"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）重大缺陷的迹象包括：①违反国 </w:t>
                        </w:r>
                        <w:r>
                          <w:rPr>
                            <w:rFonts w:ascii="宋体" w:hAnsi="宋体" w:cs="宋体" w:eastAsia="宋体" w:hint="default"/>
                            <w:spacing w:val="-4"/>
                            <w:sz w:val="18"/>
                            <w:szCs w:val="18"/>
                          </w:rPr>
                          <w:t>家法律、法规或规范性文件；②决策程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序不科学导致重大决策失误；③重要业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务制度性缺失或系统性失效；④重大或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重要缺陷不能得到有效整改；⑤安全、 环保事故对公司造成重大负面影响的 情形。</w:t>
                          <w:tab/>
                          <w:tab/>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）重要缺陷的迹象包 括</w:t>
                        </w:r>
                        <w:r>
                          <w:rPr>
                            <w:rFonts w:ascii="Times New Roman" w:hAnsi="Times New Roman" w:cs="Times New Roman" w:eastAsia="Times New Roman" w:hint="default"/>
                            <w:sz w:val="18"/>
                            <w:szCs w:val="18"/>
                          </w:rPr>
                          <w:t>:</w:t>
                        </w:r>
                        <w:r>
                          <w:rPr>
                            <w:rFonts w:ascii="宋体" w:hAnsi="宋体" w:cs="宋体" w:eastAsia="宋体" w:hint="default"/>
                            <w:sz w:val="18"/>
                            <w:szCs w:val="18"/>
                          </w:rPr>
                          <w:t>①重要业务制度或系统存在的缺 </w:t>
                        </w:r>
                        <w:r>
                          <w:rPr>
                            <w:rFonts w:ascii="宋体" w:hAnsi="宋体" w:cs="宋体" w:eastAsia="宋体" w:hint="default"/>
                            <w:spacing w:val="-4"/>
                            <w:sz w:val="18"/>
                            <w:szCs w:val="18"/>
                          </w:rPr>
                          <w:t>陷；②内部控制内部监督发现的重要缺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陷未及时整改；③重要业务系统运转效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率低下；④关键岗位业务人员流失严 重。</w:t>
                          <w:tab/>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）一般缺陷的迹象包括</w:t>
                        </w:r>
                      </w:p>
                      <w:p>
                        <w:pPr>
                          <w:pStyle w:val="TableParagraph"/>
                          <w:spacing w:line="319" w:lineRule="auto" w:before="3"/>
                          <w:ind w:left="16" w:right="25"/>
                          <w:jc w:val="left"/>
                          <w:rPr>
                            <w:rFonts w:ascii="宋体" w:hAnsi="宋体" w:cs="宋体" w:eastAsia="宋体" w:hint="default"/>
                            <w:sz w:val="18"/>
                            <w:szCs w:val="18"/>
                          </w:rPr>
                        </w:pPr>
                        <w:r>
                          <w:rPr>
                            <w:rFonts w:ascii="宋体" w:hAnsi="宋体" w:cs="宋体" w:eastAsia="宋体" w:hint="default"/>
                            <w:spacing w:val="-4"/>
                            <w:sz w:val="18"/>
                            <w:szCs w:val="18"/>
                          </w:rPr>
                          <w:t>①一般业务制度或系统存在缺陷；②内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部控制内部监督发现的一般缺陷未得 到整改；③一般业务系统运转效率低 下；④一般岗位业务人员流失严重。</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9" w:space="0" w:color="FFFFFF"/>
                        </w:tcBorders>
                      </w:tcPr>
                      <w:p>
                        <w:pPr/>
                      </w:p>
                    </w:tc>
                    <w:tc>
                      <w:tcPr>
                        <w:tcW w:w="3051" w:type="dxa"/>
                        <w:vMerge/>
                        <w:tcBorders>
                          <w:left w:val="single" w:sz="9" w:space="0" w:color="FFFFFF"/>
                          <w:right w:val="nil" w:sz="6" w:space="0" w:color="auto"/>
                        </w:tcBorders>
                      </w:tcPr>
                      <w:p>
                        <w:pPr/>
                      </w:p>
                    </w:tc>
                  </w:tr>
                  <w:tr>
                    <w:trPr>
                      <w:trHeight w:val="2345"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nil" w:sz="6" w:space="0" w:color="auto"/>
                        </w:tcBorders>
                      </w:tcPr>
                      <w:p>
                        <w:pPr/>
                      </w:p>
                    </w:tc>
                  </w:tr>
                  <w:tr>
                    <w:trPr>
                      <w:trHeight w:val="1877"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spacing w:line="300" w:lineRule="auto" w:before="51"/>
                          <w:ind w:left="28"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）重大缺陷：资产总额潜在错报金额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；营业收入潜在错报金额</w:t>
                        </w:r>
                      </w:p>
                      <w:p>
                        <w:pPr>
                          <w:pStyle w:val="TableParagraph"/>
                          <w:tabs>
                            <w:tab w:pos="2331" w:val="left" w:leader="none"/>
                          </w:tabs>
                          <w:spacing w:line="304" w:lineRule="auto" w:before="13"/>
                          <w:ind w:left="28"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；利润总额潜在错报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tab/>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w:t>
                        </w:r>
                        <w:r>
                          <w:rPr>
                            <w:rFonts w:ascii="宋体" w:hAnsi="宋体" w:cs="宋体" w:eastAsia="宋体" w:hint="default"/>
                            <w:sz w:val="18"/>
                            <w:szCs w:val="18"/>
                          </w:rPr>
                          <w:t> 陷：资产总额的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资产总额潜在错报金 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营业收入潜在错报金额＜主营业务收入的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；利润总额的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利润总额潜在错报金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tab/>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陷：资产总额潜在错报金额＜资产总额的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；营业收入潜在错报金额＜主营业务收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；利润总额潜在错报金额＜利润总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2" w:right="136"/>
                          <w:jc w:val="left"/>
                          <w:rPr>
                            <w:rFonts w:ascii="宋体" w:hAnsi="宋体" w:cs="宋体" w:eastAsia="宋体" w:hint="default"/>
                            <w:sz w:val="18"/>
                            <w:szCs w:val="18"/>
                          </w:rPr>
                        </w:pPr>
                        <w:r>
                          <w:rPr>
                            <w:rFonts w:ascii="宋体" w:hAnsi="宋体" w:cs="宋体" w:eastAsia="宋体" w:hint="default"/>
                            <w:sz w:val="18"/>
                            <w:szCs w:val="18"/>
                          </w:rPr>
                          <w:t>参照财务报告内部控制缺陷评价的定 量标准执行。</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877"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11"/>
        <w:rPr>
          <w:rFonts w:ascii="宋体" w:hAnsi="宋体" w:cs="宋体" w:eastAsia="宋体" w:hint="default"/>
          <w:sz w:val="28"/>
          <w:szCs w:val="28"/>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4"/>
        <w:spacing w:line="240" w:lineRule="auto" w:before="26"/>
        <w:ind w:right="1034"/>
        <w:jc w:val="left"/>
        <w:rPr>
          <w:b w:val="0"/>
          <w:bCs w:val="0"/>
        </w:rPr>
      </w:pPr>
      <w:bookmarkStart w:name="十、内部控制审计报告或鉴证报告" w:id="145"/>
      <w:bookmarkEnd w:id="14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0"/>
        <w:jc w:val="center"/>
        <w:rPr>
          <w:b w:val="0"/>
          <w:bCs w:val="0"/>
        </w:rPr>
      </w:pPr>
      <w:bookmarkStart w:name="_TOC_250001" w:id="146"/>
      <w:bookmarkStart w:name="第十节 财务报告" w:id="147"/>
      <w:r>
        <w:rPr>
          <w:b w:val="0"/>
          <w:bCs w:val="0"/>
        </w:rPr>
      </w:r>
      <w:r>
        <w:rPr/>
        <w:t>第十节</w:t>
      </w:r>
      <w:r>
        <w:rPr>
          <w:spacing w:val="-5"/>
        </w:rPr>
        <w:t> </w:t>
      </w:r>
      <w:r>
        <w:rPr/>
        <w:t>财务报告</w:t>
      </w:r>
      <w:bookmarkEnd w:id="14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034"/>
        <w:jc w:val="left"/>
        <w:rPr>
          <w:b w:val="0"/>
          <w:bCs w:val="0"/>
        </w:rPr>
      </w:pPr>
      <w:bookmarkStart w:name="一、审计报告" w:id="148"/>
      <w:bookmarkEnd w:id="14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[2016]002873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李静、吴琳</w:t>
            </w:r>
          </w:p>
        </w:tc>
      </w:tr>
    </w:tbl>
    <w:p>
      <w:pPr>
        <w:spacing w:before="51"/>
        <w:ind w:left="1882" w:right="285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6"/>
        <w:rPr>
          <w:rFonts w:ascii="宋体" w:hAnsi="宋体" w:cs="宋体" w:eastAsia="宋体" w:hint="default"/>
          <w:sz w:val="14"/>
          <w:szCs w:val="14"/>
        </w:rPr>
      </w:pPr>
    </w:p>
    <w:p>
      <w:pPr>
        <w:spacing w:line="408" w:lineRule="auto" w:before="0"/>
        <w:ind w:left="714" w:right="1034" w:hanging="561"/>
        <w:jc w:val="left"/>
        <w:rPr>
          <w:rFonts w:ascii="宋体" w:hAnsi="宋体" w:cs="宋体" w:eastAsia="宋体" w:hint="default"/>
          <w:sz w:val="28"/>
          <w:szCs w:val="28"/>
        </w:rPr>
      </w:pPr>
      <w:r>
        <w:rPr>
          <w:rFonts w:ascii="宋体" w:hAnsi="宋体" w:cs="宋体" w:eastAsia="宋体" w:hint="default"/>
          <w:b/>
          <w:bCs/>
          <w:sz w:val="28"/>
          <w:szCs w:val="28"/>
        </w:rPr>
        <w:t>安徽中电兴发与鑫龙科技股份有限公司全体股东：</w:t>
      </w:r>
      <w:r>
        <w:rPr>
          <w:rFonts w:ascii="宋体" w:hAnsi="宋体" w:cs="宋体" w:eastAsia="宋体" w:hint="default"/>
          <w:b/>
          <w:bCs/>
          <w:w w:val="99"/>
          <w:sz w:val="28"/>
          <w:szCs w:val="28"/>
        </w:rPr>
        <w:t> </w:t>
      </w:r>
      <w:r>
        <w:rPr>
          <w:rFonts w:ascii="宋体" w:hAnsi="宋体" w:cs="宋体" w:eastAsia="宋体" w:hint="default"/>
          <w:sz w:val="28"/>
          <w:szCs w:val="28"/>
        </w:rPr>
        <w:t>我们审计了后附的安徽中电兴发与鑫龙科技股份有限公司</w:t>
      </w:r>
      <w:r>
        <w:rPr>
          <w:rFonts w:ascii="Times New Roman" w:hAnsi="Times New Roman" w:cs="Times New Roman" w:eastAsia="Times New Roman" w:hint="default"/>
          <w:sz w:val="28"/>
          <w:szCs w:val="28"/>
        </w:rPr>
        <w:t>(</w:t>
      </w:r>
      <w:r>
        <w:rPr>
          <w:rFonts w:ascii="宋体" w:hAnsi="宋体" w:cs="宋体" w:eastAsia="宋体" w:hint="default"/>
          <w:sz w:val="28"/>
          <w:szCs w:val="28"/>
        </w:rPr>
        <w:t>原名：安徽鑫龙</w:t>
      </w:r>
    </w:p>
    <w:p>
      <w:pPr>
        <w:pStyle w:val="Heading3"/>
        <w:spacing w:line="386" w:lineRule="auto" w:before="19"/>
        <w:ind w:left="154" w:right="1129"/>
        <w:jc w:val="both"/>
      </w:pPr>
      <w:r>
        <w:rPr/>
        <w:t>电器股份有限公司，以下简称中电鑫龙公司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r>
        <w:rPr>
          <w:spacing w:val="-126"/>
        </w:rPr>
        <w:t> </w:t>
      </w:r>
      <w:r>
        <w:rPr>
          <w:spacing w:val="3"/>
        </w:rPr>
        <w:t>合并及母公司资产负债表，</w:t>
      </w:r>
      <w:r>
        <w:rPr>
          <w:rFonts w:ascii="Times New Roman" w:hAnsi="Times New Roman" w:cs="Times New Roman" w:eastAsia="Times New Roman" w:hint="default"/>
          <w:spacing w:val="3"/>
        </w:rPr>
        <w:t>2015</w:t>
      </w:r>
      <w:r>
        <w:rPr>
          <w:spacing w:val="3"/>
        </w:rPr>
        <w:t>年度的合并及母公司利润表、合并及母公司现</w:t>
      </w:r>
      <w:r>
        <w:rPr>
          <w:w w:val="99"/>
        </w:rPr>
        <w:t> </w:t>
      </w:r>
      <w:r>
        <w:rPr/>
        <w:t>金流量表、合并及母公司股东权益变动表，以及财务报表附注。</w:t>
      </w:r>
    </w:p>
    <w:p>
      <w:pPr>
        <w:pStyle w:val="Heading2"/>
        <w:spacing w:line="240" w:lineRule="auto" w:before="86"/>
        <w:ind w:left="154" w:right="0"/>
        <w:jc w:val="both"/>
        <w:rPr>
          <w:b w:val="0"/>
          <w:bCs w:val="0"/>
        </w:rPr>
      </w:pPr>
      <w:r>
        <w:rPr>
          <w:rFonts w:ascii="宋体" w:hAnsi="宋体" w:cs="宋体" w:eastAsia="宋体" w:hint="default"/>
        </w:rPr>
        <w:t>1.</w:t>
      </w:r>
      <w:r>
        <w:rPr>
          <w:rFonts w:ascii="宋体" w:hAnsi="宋体" w:cs="宋体" w:eastAsia="宋体" w:hint="default"/>
          <w:spacing w:val="-79"/>
        </w:rPr>
        <w:t> </w:t>
      </w:r>
      <w:r>
        <w:rPr/>
        <w:t>对财务报表出具的审计报告</w:t>
      </w:r>
      <w:r>
        <w:rPr>
          <w:b w:val="0"/>
          <w:bCs w:val="0"/>
        </w:rPr>
      </w:r>
    </w:p>
    <w:p>
      <w:pPr>
        <w:spacing w:line="240" w:lineRule="auto" w:before="9"/>
        <w:rPr>
          <w:rFonts w:ascii="宋体" w:hAnsi="宋体" w:cs="宋体" w:eastAsia="宋体" w:hint="default"/>
          <w:b/>
          <w:bCs/>
          <w:sz w:val="19"/>
          <w:szCs w:val="19"/>
        </w:rPr>
      </w:pPr>
    </w:p>
    <w:p>
      <w:pPr>
        <w:spacing w:line="408" w:lineRule="auto" w:before="0"/>
        <w:ind w:left="714" w:right="1136" w:firstLine="1"/>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3"/>
          <w:sz w:val="28"/>
          <w:szCs w:val="28"/>
        </w:rPr>
        <w:t>编制和公允列报财务报表是中电鑫龙公司管理层的责任，这种责任包括：</w:t>
      </w:r>
    </w:p>
    <w:p>
      <w:pPr>
        <w:pStyle w:val="Heading3"/>
        <w:spacing w:line="398" w:lineRule="auto"/>
        <w:ind w:left="154" w:right="1127"/>
        <w:jc w:val="both"/>
      </w:pPr>
      <w:r>
        <w:rPr>
          <w:spacing w:val="3"/>
        </w:rPr>
        <w:t>（</w:t>
      </w:r>
      <w:r>
        <w:rPr>
          <w:rFonts w:ascii="Times New Roman" w:hAnsi="Times New Roman" w:cs="Times New Roman" w:eastAsia="Times New Roman" w:hint="default"/>
          <w:spacing w:val="3"/>
        </w:rPr>
        <w:t>1</w:t>
      </w:r>
      <w:r>
        <w:rPr>
          <w:spacing w:val="3"/>
        </w:rPr>
        <w:t>）按照企业会计准则的规定编制财务报表，并使其实现公允反映；（</w:t>
      </w:r>
      <w:r>
        <w:rPr>
          <w:rFonts w:ascii="Times New Roman" w:hAnsi="Times New Roman" w:cs="Times New Roman" w:eastAsia="Times New Roman" w:hint="default"/>
          <w:spacing w:val="3"/>
        </w:rPr>
        <w:t>2</w:t>
      </w:r>
      <w:r>
        <w:rPr>
          <w:spacing w:val="3"/>
        </w:rPr>
        <w:t>）设</w:t>
      </w:r>
      <w:r>
        <w:rPr>
          <w:spacing w:val="-137"/>
        </w:rPr>
        <w:t> </w:t>
      </w:r>
      <w:r>
        <w:rPr>
          <w:spacing w:val="3"/>
        </w:rPr>
        <w:t>计、执行和维护必要的内部控制，以使财务报表不存在由于舞弊或错误导致的</w:t>
      </w:r>
      <w:r>
        <w:rPr>
          <w:w w:val="99"/>
        </w:rPr>
        <w:t> </w:t>
      </w:r>
      <w:r>
        <w:rPr/>
        <w:t>重大错报。</w:t>
      </w:r>
    </w:p>
    <w:p>
      <w:pPr>
        <w:spacing w:line="408" w:lineRule="auto" w:before="72"/>
        <w:ind w:left="714" w:right="1034" w:firstLine="1"/>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3"/>
          <w:sz w:val="28"/>
          <w:szCs w:val="28"/>
        </w:rPr>
        <w:t>我们的责任是在执行审计工作的基础上对财务报表发表审计意见。我们按</w:t>
      </w:r>
    </w:p>
    <w:p>
      <w:pPr>
        <w:pStyle w:val="Heading3"/>
        <w:spacing w:line="408" w:lineRule="auto" w:before="62"/>
        <w:ind w:left="154" w:right="1143"/>
        <w:jc w:val="both"/>
      </w:pPr>
      <w:r>
        <w:rPr>
          <w:spacing w:val="3"/>
        </w:rPr>
        <w:t>照中国注册会计师审计准则的规定执行了审计工作。中国注册会计师审计准则</w:t>
      </w:r>
      <w:r>
        <w:rPr>
          <w:w w:val="99"/>
        </w:rPr>
        <w:t> </w:t>
      </w:r>
      <w:r>
        <w:rPr>
          <w:spacing w:val="3"/>
        </w:rPr>
        <w:t>要求我们遵守职业道德守则，计划和执行审计工作以对财务报表是否不存在重</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3"/>
        <w:ind w:left="714" w:right="985" w:hanging="561"/>
        <w:jc w:val="left"/>
      </w:pPr>
      <w:r>
        <w:rPr/>
        <w:t>大错报获取合理保证。</w:t>
      </w:r>
      <w:r>
        <w:rPr>
          <w:w w:val="99"/>
        </w:rPr>
        <w:t> </w:t>
      </w:r>
      <w:r>
        <w:rPr>
          <w:spacing w:val="-1"/>
        </w:rPr>
        <w:t>审计工作涉及实施审计程序，以获取有关财务报表金额和披露的审计证据。</w:t>
      </w:r>
    </w:p>
    <w:p>
      <w:pPr>
        <w:pStyle w:val="Heading3"/>
        <w:spacing w:line="408" w:lineRule="auto" w:before="62"/>
        <w:ind w:right="1128"/>
        <w:jc w:val="both"/>
      </w:pPr>
      <w:r>
        <w:rPr>
          <w:spacing w:val="3"/>
        </w:rPr>
        <w:t>选择的审计程序取决于注册会计师的判断，包括对由于舞弊或错误导致的财务</w:t>
      </w:r>
      <w:r>
        <w:rPr>
          <w:w w:val="99"/>
        </w:rPr>
        <w:t> </w:t>
      </w:r>
      <w:r>
        <w:rPr>
          <w:spacing w:val="3"/>
        </w:rPr>
        <w:t>报表重大错报风险的评估。在进行风险评估时，注册会计师考虑与财务报表编</w:t>
      </w:r>
      <w:r>
        <w:rPr>
          <w:w w:val="99"/>
        </w:rPr>
        <w:t> </w:t>
      </w:r>
      <w:r>
        <w:rPr>
          <w:spacing w:val="3"/>
        </w:rPr>
        <w:t>制和公允列报相关的内部控制，以设计恰当的审计程序，但目的并非对内部控</w:t>
      </w:r>
      <w:r>
        <w:rPr>
          <w:w w:val="99"/>
        </w:rPr>
        <w:t> </w:t>
      </w:r>
      <w:r>
        <w:rPr>
          <w:spacing w:val="3"/>
        </w:rPr>
        <w:t>制的有效性发表意见。审计工作还包括评价管理层选用会计政策的恰当性和作</w:t>
      </w:r>
      <w:r>
        <w:rPr>
          <w:spacing w:val="-136"/>
        </w:rPr>
        <w:t> </w:t>
      </w:r>
      <w:r>
        <w:rPr>
          <w:spacing w:val="-136"/>
        </w:rPr>
      </w:r>
      <w:r>
        <w:rPr/>
        <w:t>出会计估计的合理性，以及评价财务报表的总体列报。</w:t>
      </w:r>
    </w:p>
    <w:p>
      <w:pPr>
        <w:pStyle w:val="Heading3"/>
        <w:spacing w:line="408" w:lineRule="auto"/>
        <w:ind w:right="1137" w:firstLine="560"/>
        <w:jc w:val="left"/>
      </w:pPr>
      <w:r>
        <w:rPr>
          <w:spacing w:val="3"/>
        </w:rPr>
        <w:t>我们相信，我们获取的审计证据是充分、适当的，为发表审计意见提供了</w:t>
      </w:r>
      <w:r>
        <w:rPr>
          <w:w w:val="99"/>
        </w:rPr>
        <w:t> </w:t>
      </w:r>
      <w:r>
        <w:rPr/>
        <w:t>基础。</w:t>
      </w:r>
    </w:p>
    <w:p>
      <w:pPr>
        <w:pStyle w:val="Heading3"/>
        <w:spacing w:line="400" w:lineRule="auto"/>
        <w:ind w:right="1034" w:firstLine="562"/>
        <w:jc w:val="left"/>
      </w:pPr>
      <w:r>
        <w:rPr>
          <w:rFonts w:ascii="宋体" w:hAnsi="宋体" w:cs="宋体" w:eastAsia="宋体" w:hint="default"/>
          <w:b/>
          <w:bCs/>
        </w:rPr>
        <w:t>（三）审计意见</w:t>
      </w:r>
      <w:r>
        <w:rPr>
          <w:rFonts w:ascii="宋体" w:hAnsi="宋体" w:cs="宋体" w:eastAsia="宋体" w:hint="default"/>
          <w:b/>
          <w:bCs/>
          <w:w w:val="99"/>
        </w:rPr>
        <w:t> </w:t>
      </w:r>
      <w:r>
        <w:rPr>
          <w:w w:val="95"/>
        </w:rPr>
        <w:t>我们认为，中电鑫龙公司的财务报表在所有重大方面按照企业会计准则的规定</w:t>
      </w:r>
      <w:r>
        <w:rPr>
          <w:spacing w:val="63"/>
          <w:w w:val="95"/>
        </w:rPr>
        <w:t> </w:t>
      </w:r>
      <w:r>
        <w:rPr>
          <w:w w:val="95"/>
        </w:rPr>
        <w:t>编制，公允反映了中电鑫龙公司</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日的合并及母公司财务状况以及</w:t>
      </w:r>
      <w:r>
        <w:rPr>
          <w:spacing w:val="62"/>
          <w:w w:val="95"/>
        </w:rPr>
        <w:t> </w:t>
      </w:r>
      <w:r>
        <w:rPr>
          <w:rFonts w:ascii="Times New Roman" w:hAnsi="Times New Roman" w:cs="Times New Roman" w:eastAsia="Times New Roman" w:hint="default"/>
        </w:rPr>
        <w:t>2015</w:t>
      </w:r>
      <w:r>
        <w:rPr/>
        <w:t>年度的合并及母公司经营成果和现金流量。</w:t>
      </w:r>
    </w:p>
    <w:p>
      <w:pPr>
        <w:spacing w:line="240" w:lineRule="auto" w:before="9"/>
        <w:rPr>
          <w:rFonts w:ascii="宋体" w:hAnsi="宋体" w:cs="宋体" w:eastAsia="宋体" w:hint="default"/>
          <w:sz w:val="39"/>
          <w:szCs w:val="39"/>
        </w:rPr>
      </w:pPr>
    </w:p>
    <w:p>
      <w:pPr>
        <w:pStyle w:val="Heading4"/>
        <w:spacing w:line="240" w:lineRule="auto"/>
        <w:ind w:right="0"/>
        <w:jc w:val="both"/>
        <w:rPr>
          <w:b w:val="0"/>
          <w:bCs w:val="0"/>
        </w:rPr>
      </w:pPr>
      <w:bookmarkStart w:name="二、财务报表" w:id="149"/>
      <w:bookmarkEnd w:id="14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6"/>
        <w:spacing w:line="240" w:lineRule="auto"/>
        <w:ind w:right="0"/>
        <w:jc w:val="both"/>
        <w:rPr>
          <w:b w:val="0"/>
          <w:bCs w:val="0"/>
        </w:rPr>
      </w:pPr>
      <w:bookmarkStart w:name="1、合并资产负债表" w:id="150"/>
      <w:bookmarkEnd w:id="15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编制单位：安徽中电兴发与鑫龙科技股份有限公司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7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4115" w:space="40"/>
            <w:col w:w="1562"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451,183,324.53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286,017,613.33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83,353,029.86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57,925,594.08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1,060,570,242.36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683,977,250.76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24,889,896.78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11,406,326.79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597,923.89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84,675,501.56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26,730,275.04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834,833,176.62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575,149,728.83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17,308,621.72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2,587,361,717.32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1,641,206,788.83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67,380,117.50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21,473,141.69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26,069,598.77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13,422,753.90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743,360,099.29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321,371,396.05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35,762,213.00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90,046,982.82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115,731,659.46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85,993,733.78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1,465,424,211.79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78,884,309.82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4,855,853.79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1,781,789.12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31,493,602.77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16,534,519.21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3,222,725.13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2,910,402.29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2,508,126,378.32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629,592,731.86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5,095,488,095.64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2,270,799,520.69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69,576,551.71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102,567,210.00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339,792,717.84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114,685,436.35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400,808,939.86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48,885,852.53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12,626,771.17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18,917,719.94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59,682,607.72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16,302,307.59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1,590,025.16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4,520,775.97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8,280,083.76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6,968,499.05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49,646,779.49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148,462,081.53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1,577,004,476.71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801,309,882.96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26,969,534.92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24,592,193.80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20,068,998.31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3,115,127.61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405,038,533.23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148,707,321.41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1,982,043,009.94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950,017,204.37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632,918,760.00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413,848,300.00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1,942,277,395.46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517,051,810.07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43,564,661.41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43,564,661.41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372,400,284.04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306,051,489.11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2,991,161,100.91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1,280,516,260.59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122,283,984.79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40,266,055.73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3,113,445,085.70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1,320,782,316.32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5,095,488,095.64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2,270,799,520.69</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法定代表人：束龙胜</w:t>
        <w:tab/>
        <w:t>主管会计工作负责人：陶黎明</w:t>
        <w:tab/>
        <w:t>会计机构负责人：杨勇</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2、母公司资产负债表" w:id="151"/>
      <w:bookmarkEnd w:id="15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6"/>
        <w:gridCol w:w="3300"/>
        <w:gridCol w:w="3290"/>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36" w:right="0"/>
              <w:jc w:val="left"/>
              <w:rPr>
                <w:rFonts w:ascii="Times New Roman" w:hAnsi="Times New Roman" w:cs="Times New Roman" w:eastAsia="Times New Roman" w:hint="default"/>
                <w:sz w:val="18"/>
                <w:szCs w:val="18"/>
              </w:rPr>
            </w:pPr>
            <w:r>
              <w:rPr>
                <w:rFonts w:ascii="Times New Roman"/>
                <w:sz w:val="18"/>
              </w:rPr>
              <w:t>138,480,118.05</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4" w:right="0"/>
              <w:jc w:val="left"/>
              <w:rPr>
                <w:rFonts w:ascii="Times New Roman" w:hAnsi="Times New Roman" w:cs="Times New Roman" w:eastAsia="Times New Roman" w:hint="default"/>
                <w:sz w:val="18"/>
                <w:szCs w:val="18"/>
              </w:rPr>
            </w:pPr>
            <w:r>
              <w:rPr>
                <w:rFonts w:ascii="Times New Roman"/>
                <w:sz w:val="18"/>
              </w:rPr>
              <w:t>212,202,097.13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68,507,988.49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46,464,669.20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539,021,818.45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646,147,042.16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5,710,429.78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14,159,004.85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59,696,879.37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24,502,993.83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561,585,104.92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541,794,274.18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1,373,002,339.06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1,485,270,081.35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2,716,169,563.47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698,470,461.07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317,263,342.61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244,595,118.00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35,762,213.00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90,046,982.82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56,603,676.61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57,931,079.89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15,784,062.83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13,183,949.35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2,910,402.29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3,147,582,858.52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1,113,137,993.42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4,520,585,197.58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2,598,408,074.77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68,435,500.00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172,924,338.08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142,857,739.83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44,208,595.17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44,934,470.84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2,020,304.57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13,081,758.38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6,106,830.23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7,769,332.96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1,317,009.68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4,515,309.31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573,791,976.14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494,469,758.14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49,646,779.49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148,462,081.53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1,311,015,833.36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1,264,525,950.99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26,794,534.92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24,452,193.80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380,794,534.92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142,452,193.80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1,691,810,368.28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1,406,978,144.79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632,918,760.00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413,848,300.00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1,936,188,115.41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517,174,001.57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42,086,551.16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42,086,551.16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217,581,402.73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218,321,077.25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2,828,774,829.30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1,191,429,929.98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4,520,585,197.58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2,598,408,074.77</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1034"/>
        <w:jc w:val="left"/>
        <w:rPr>
          <w:b w:val="0"/>
          <w:bCs w:val="0"/>
        </w:rPr>
      </w:pPr>
      <w:bookmarkStart w:name="3、合并利润表" w:id="152"/>
      <w:bookmarkEnd w:id="15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872,705,875.47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809,408,929.77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872,705,875.47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809,408,929.77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794,377,438.49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793,482,747.21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517,690,164.05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489,819,787.87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14,362,326.07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5,596,884.88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77,657,735.68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103,199,089.98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139,966,862.85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147,636,252.97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28,922,365.66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35,440,701.32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15,777,984.18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11,790,030.19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4"/>
              <w:jc w:val="right"/>
              <w:rPr>
                <w:rFonts w:ascii="宋体" w:hAnsi="宋体" w:cs="宋体" w:eastAsia="宋体" w:hint="default"/>
                <w:sz w:val="18"/>
                <w:szCs w:val="18"/>
              </w:rPr>
            </w:pPr>
            <w:r>
              <w:rPr>
                <w:rFonts w:ascii="宋体" w:hAnsi="宋体" w:cs="宋体" w:eastAsia="宋体" w:hint="default"/>
                <w:sz w:val="18"/>
                <w:szCs w:val="18"/>
              </w:rPr>
              <w:t>加：公允价值变动收益（损失以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62.019989pt;width:157.7pt;height:19.650pt;mso-position-horizontal-relative:page;mso-position-vertical-relative:page;z-index:-1109824" coordorigin="4242,3240" coordsize="3154,393">
            <v:shape style="position:absolute;left:4242;top:3240;width:3154;height:393" coordorigin="4242,3240" coordsize="3154,393" path="m4242,3633l7396,3633,7396,3240,4242,3240,4242,3633xe" filled="true" fillcolor="#ffffff" stroked="false">
              <v:path arrowok="t"/>
              <v:fill type="solid"/>
            </v:shape>
            <w10:wrap type="none"/>
          </v:group>
        </w:pict>
      </w:r>
      <w:r>
        <w:rPr/>
        <w:pict>
          <v:group style="position:absolute;margin-left:212.119995pt;margin-top:282.619995pt;width:157.7pt;height:19.650pt;mso-position-horizontal-relative:page;mso-position-vertical-relative:page;z-index:-1109800" coordorigin="4242,5652" coordsize="3154,393">
            <v:shape style="position:absolute;left:4242;top:5652;width:3154;height:393" coordorigin="4242,5652" coordsize="3154,393" path="m4242,6045l7396,6045,7396,5652,4242,5652,4242,604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-3,485,702.06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-6,776,286.90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-4,596,457.08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-6,886,055.22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74,842,734.92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9,180,675.66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16,605,998.31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11,320,467.66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619,770.95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14,308.43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1,511,746.59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150,086.59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597,083.67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119,756.99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89,936,986.64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20,351,056.73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12,161,417.91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3,696,564.88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77,775,568.73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16,654,491.85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66,348,794.93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14,998,539.05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11,426,773.80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1,655,952.80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77,775,568.73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16,654,491.85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66,348,794.93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14,998,539.05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11,426,773.80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1,655,952.80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0.0362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0.0362</w:t>
            </w:r>
          </w:p>
        </w:tc>
      </w:tr>
    </w:tbl>
    <w:p>
      <w:pPr>
        <w:tabs>
          <w:tab w:pos="3664" w:val="left" w:leader="none"/>
          <w:tab w:pos="7895" w:val="left" w:leader="none"/>
        </w:tabs>
        <w:spacing w:line="624" w:lineRule="auto" w:before="51"/>
        <w:ind w:left="15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法定代表人：束龙胜</w:t>
        <w:tab/>
        <w:t>主管会计工作负责人：陶黎明</w:t>
        <w:tab/>
        <w:t>会计机构负责人：杨勇</w:t>
      </w:r>
    </w:p>
    <w:p>
      <w:pPr>
        <w:pStyle w:val="Heading6"/>
        <w:spacing w:line="240" w:lineRule="auto" w:before="63"/>
        <w:ind w:right="1034"/>
        <w:jc w:val="left"/>
        <w:rPr>
          <w:b w:val="0"/>
          <w:bCs w:val="0"/>
        </w:rPr>
      </w:pPr>
      <w:bookmarkStart w:name="4、母公司利润表" w:id="153"/>
      <w:bookmarkEnd w:id="15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462,492,269.12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672,301,244.88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315,722,140.00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474,921,839.07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2,609,392.90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3,284,092.52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38,735,262.23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44,914,139.11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78,356,261.41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97,156,591.05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28,883,790.88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38,546,651.54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13,375,163.67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11,691,528.61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2,118,140.00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134,486.07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-13,071,601.97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1,920,889.05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11,346,468.67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9,590,032.99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347,414.88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11,908.50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382,718.45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70,831.35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359,549.19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50,124.08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-2,107,851.75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11,440,090.69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-1,368,177.23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416,851.59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-739,674.52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11,023,239.10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-739,674.52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11,023,239.10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5、合并现金流量表" w:id="154"/>
      <w:bookmarkEnd w:id="15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1,129,153,426.37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1,010,492,580.68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38,679,820.28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53,908,688.01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1,167,833,246.65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1,064,401,268.69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629,528,747.18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739,731,141.52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105,346,196.50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106,533,485.85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99,655,775.48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76,789,840.97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88,670,197.41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119,224,730.87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923,200,916.57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1,042,279,199.21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244,632,330.08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22,122,069.48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738,148.00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512,831.13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152,062.25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3,864,737.06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368,060.73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4,377,568.19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1,258,270.98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25,671,970.05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58,788,177.82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786,268,814.41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95,764,730.14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832,390,784.46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154,552,907.96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-828,013,216.27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-153,294,636.98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478,518,760.00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1,431,518,760.00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660,748,718.16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39,635,238.12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52,488,521.15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1,027,860.00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5,434,179.98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705,818,136.26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710,568,521.15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725,700,623.74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-12,568,521.15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22,548.60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1,339.77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142,342,286.15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-143,739,748.88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264,930,396.53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408,670,145.41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407,272,682.68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264,930,396.53</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1034"/>
        <w:jc w:val="left"/>
        <w:rPr>
          <w:b w:val="0"/>
          <w:bCs w:val="0"/>
        </w:rPr>
      </w:pPr>
      <w:bookmarkStart w:name="6、母公司现金流量表" w:id="155"/>
      <w:bookmarkEnd w:id="15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614,203,645.22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849,846,193.74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71,758,636.70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134,327,757.11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685,962,281.92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984,173,950.85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430,052,898.07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648,314,120.61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51,769,088.99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64,671,744.00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37,663,804.78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45,616,911.39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47,134,579.24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66,148,650.80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566,620,371.08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824,751,426.80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119,341,910.84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159,422,524.05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684,778.00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2,118,140.00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2,072,540.00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74,656.41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4,190,680.00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905,434.41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17,302,617.20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54,760,592.66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163,940,000.00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880,302,617.20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218,700,592.66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-876,111,937.20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-217,795,158.25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478,518,760.00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1,330,518,760.00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33,431,878.97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52,009,499.66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5,434,179.98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636,866,058.95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699,009,499.66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693,652,701.05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-14,009,499.66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-63,117,325.31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-72,382,133.86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194,852,369.07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267,234,502.93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131,735,043.76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194,852,369.07</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1034"/>
        <w:jc w:val="left"/>
        <w:rPr>
          <w:b w:val="0"/>
          <w:bCs w:val="0"/>
        </w:rPr>
      </w:pPr>
      <w:bookmarkStart w:name="7、合并所有者权益变动表" w:id="156"/>
      <w:bookmarkEnd w:id="15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03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70"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413,84</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517,051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,810.07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661.41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306,051</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,489.11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40,266,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055.73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413,84</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517,051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,810.07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661.41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306,051</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,489.11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40,266,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055.73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219,07</w:t>
            </w:r>
          </w:p>
          <w:p>
            <w:pPr>
              <w:pStyle w:val="TableParagraph"/>
              <w:spacing w:line="240" w:lineRule="auto" w:before="105"/>
              <w:ind w:left="68" w:right="0"/>
              <w:jc w:val="left"/>
              <w:rPr>
                <w:rFonts w:ascii="Times New Roman" w:hAnsi="Times New Roman" w:cs="Times New Roman" w:eastAsia="Times New Roman" w:hint="default"/>
                <w:sz w:val="18"/>
                <w:szCs w:val="18"/>
              </w:rPr>
            </w:pPr>
            <w:r>
              <w:rPr>
                <w:rFonts w:ascii="Times New Roman"/>
                <w:sz w:val="18"/>
              </w:rPr>
              <w:t>0,460.</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1,425,2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25,585.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66,348,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794.93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82,017,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929.06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62,769.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66,348,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794.93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11,426,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773.80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77,775,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568.73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219,07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0,460.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1,425,2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25,585.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71,619,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015.26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219,07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0,460.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1,419,0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2"/>
                <w:sz w:val="18"/>
              </w:rPr>
              <w:t>14,113.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77,830,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486.81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6,211,4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71.55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-6,211,4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71.55</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-1,027,8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-1,027,8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-1,027,8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-1,027,8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632,91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8,760.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1,942,2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77,395.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661.41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372,400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,284.04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122,283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,984.79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45,085.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413,84</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514,694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,436.86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42,462,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337.50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306,639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,964.47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16,718,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941.60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1,294,3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413,84</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514,694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,436.86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42,462,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337.50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306,639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,964.47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16,718,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941.60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1,294,3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2,357,3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73.21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-588,47</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5.36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23,547,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114.13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26,418,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335.89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14,998,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539.05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1,655,9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52.80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16,654,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491.85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2,357,3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73.21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21,891,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161.33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24,248,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534.54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17,707,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796.06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17,707,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796.06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-3,529,2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91.42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3,529,2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91.42</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5,886,6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64.63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654,073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6,540,7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38.48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23.91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-15,587,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014.41</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-14,484,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690.50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23.91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23.91</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-14,484,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690.50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-14,484,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690.50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413,84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517,051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,810.07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661.41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306,051</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,489.11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40,266,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055.73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8、母公司所有者权益变动表" w:id="157"/>
      <w:bookmarkEnd w:id="15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03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413,848,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517,174,0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01.57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42,086,55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218,321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,077.25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1,191,429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,929.98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413,848,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517,174,0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01.57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42,086,55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218,321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,077.25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1,191,429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,929.98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219,070,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1,419,014</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,113.84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-739,67</w:t>
            </w:r>
          </w:p>
          <w:p>
            <w:pPr>
              <w:pStyle w:val="TableParagraph"/>
              <w:spacing w:line="240" w:lineRule="auto" w:before="106"/>
              <w:ind w:left="328" w:right="0"/>
              <w:jc w:val="left"/>
              <w:rPr>
                <w:rFonts w:ascii="Times New Roman" w:hAnsi="Times New Roman" w:cs="Times New Roman" w:eastAsia="Times New Roman" w:hint="default"/>
                <w:sz w:val="18"/>
                <w:szCs w:val="18"/>
              </w:rPr>
            </w:pPr>
            <w:r>
              <w:rPr>
                <w:rFonts w:ascii="Times New Roman"/>
                <w:sz w:val="18"/>
              </w:rPr>
              <w:t>4.52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1,637,344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,899.32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-739,67</w:t>
            </w:r>
          </w:p>
          <w:p>
            <w:pPr>
              <w:pStyle w:val="TableParagraph"/>
              <w:spacing w:line="240" w:lineRule="auto" w:before="106"/>
              <w:ind w:left="328" w:right="0"/>
              <w:jc w:val="left"/>
              <w:rPr>
                <w:rFonts w:ascii="Times New Roman" w:hAnsi="Times New Roman" w:cs="Times New Roman" w:eastAsia="Times New Roman" w:hint="default"/>
                <w:sz w:val="18"/>
                <w:szCs w:val="18"/>
              </w:rPr>
            </w:pPr>
            <w:r>
              <w:rPr>
                <w:rFonts w:ascii="Times New Roman"/>
                <w:sz w:val="18"/>
              </w:rPr>
              <w:t>4.52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-739,674.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219,070,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1,419,014</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,113.84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1,638,084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,573.84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219,070,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1,419,014</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,113.84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1,638,084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,573.84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632,918,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1,936,188</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42,086,55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217,581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,402.73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2,828,774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,829.30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413,848,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517,174,0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01.57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40,984,22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222,884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,852.56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1,194,891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,381.38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413,848,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517,174,0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01.57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40,984,22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222,884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,852.56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1,194,891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,381.38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1,102,323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-4,563,7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75.31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-3,461,45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1.40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239.10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11,023,23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9.10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1,102,323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-15,587,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014.41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-14,484,6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90.50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1,102,323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23.91</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-14,484,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690.50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-14,484,6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90.50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413,848,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517,174,0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42,086,55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218,321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,077.25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1,191,429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,929.98</w:t>
            </w:r>
          </w:p>
        </w:tc>
      </w:tr>
    </w:tbl>
    <w:p>
      <w:pPr>
        <w:spacing w:line="240" w:lineRule="auto" w:before="7"/>
        <w:rPr>
          <w:rFonts w:ascii="Times New Roman" w:hAnsi="Times New Roman" w:cs="Times New Roman" w:eastAsia="Times New Roman" w:hint="default"/>
          <w:sz w:val="20"/>
          <w:szCs w:val="20"/>
        </w:rPr>
      </w:pPr>
    </w:p>
    <w:p>
      <w:pPr>
        <w:pStyle w:val="Heading4"/>
        <w:spacing w:line="240" w:lineRule="auto" w:before="26"/>
        <w:ind w:left="154" w:right="1034"/>
        <w:jc w:val="left"/>
        <w:rPr>
          <w:b w:val="0"/>
          <w:bCs w:val="0"/>
        </w:rPr>
      </w:pPr>
      <w:bookmarkStart w:name="三、公司基本情况" w:id="158"/>
      <w:bookmarkEnd w:id="158"/>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spacing w:line="273" w:lineRule="auto" w:before="0"/>
        <w:ind w:left="934" w:right="1034"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公司注册地、组织形式和总部地址</w:t>
      </w:r>
      <w:r>
        <w:rPr>
          <w:rFonts w:ascii="宋体" w:hAnsi="宋体" w:cs="宋体" w:eastAsia="宋体" w:hint="default"/>
          <w:b/>
          <w:bCs/>
          <w:w w:val="99"/>
          <w:sz w:val="21"/>
          <w:szCs w:val="21"/>
        </w:rPr>
        <w:t> </w:t>
      </w:r>
      <w:r>
        <w:rPr>
          <w:rFonts w:ascii="宋体" w:hAnsi="宋体" w:cs="宋体" w:eastAsia="宋体" w:hint="default"/>
          <w:spacing w:val="-6"/>
          <w:sz w:val="21"/>
          <w:szCs w:val="21"/>
        </w:rPr>
        <w:t>安徽中电兴发与鑫龙科技股份有限公司（原名：安徽鑫龙电器股份有限公司，以下简称</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公司</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或</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本</w:t>
      </w:r>
    </w:p>
    <w:p>
      <w:pPr>
        <w:pStyle w:val="BodyText"/>
        <w:spacing w:line="256" w:lineRule="auto" w:before="0"/>
        <w:ind w:left="513" w:right="1131"/>
        <w:jc w:val="both"/>
      </w:pPr>
      <w:r>
        <w:rPr/>
        <w:t>公司</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日，经安徽省工商行政管理局核准登记注册，企业法人营业执照的统一社 </w:t>
      </w:r>
      <w:r>
        <w:rPr>
          <w:spacing w:val="-2"/>
        </w:rPr>
        <w:t>会信用代码为：</w:t>
      </w:r>
      <w:r>
        <w:rPr>
          <w:rFonts w:ascii="Times New Roman" w:hAnsi="Times New Roman" w:cs="Times New Roman" w:eastAsia="Times New Roman" w:hint="default"/>
          <w:spacing w:val="-2"/>
        </w:rPr>
        <w:t>91340200149661982L</w:t>
      </w:r>
      <w:r>
        <w:rPr>
          <w:spacing w:val="-2"/>
        </w:rPr>
        <w:t>，注册资本</w:t>
      </w:r>
      <w:r>
        <w:rPr>
          <w:rFonts w:ascii="Times New Roman" w:hAnsi="Times New Roman" w:cs="Times New Roman" w:eastAsia="Times New Roman" w:hint="default"/>
          <w:spacing w:val="-2"/>
        </w:rPr>
        <w:t>63,291.876</w:t>
      </w:r>
      <w:r>
        <w:rPr>
          <w:spacing w:val="-2"/>
        </w:rPr>
        <w:t>万元，注册地址：安徽省芜湖市经济技术开</w:t>
      </w:r>
      <w:r>
        <w:rPr>
          <w:spacing w:val="-80"/>
        </w:rPr>
        <w:t> </w:t>
      </w:r>
      <w:r>
        <w:rPr>
          <w:spacing w:val="-80"/>
        </w:rPr>
      </w:r>
      <w:r>
        <w:rPr/>
        <w:t>发区电器部件园（九华北路</w:t>
      </w:r>
      <w:r>
        <w:rPr>
          <w:rFonts w:ascii="Times New Roman" w:hAnsi="Times New Roman" w:cs="Times New Roman" w:eastAsia="Times New Roman" w:hint="default"/>
        </w:rPr>
        <w:t>118</w:t>
      </w:r>
      <w:r>
        <w:rPr/>
        <w:t>号），法定代表人：束龙胜。</w:t>
      </w:r>
    </w:p>
    <w:p>
      <w:pPr>
        <w:pStyle w:val="BodyText"/>
        <w:spacing w:line="256" w:lineRule="auto" w:before="5"/>
        <w:ind w:left="513" w:right="1121" w:firstLine="420"/>
        <w:jc w:val="left"/>
      </w:pPr>
      <w:r>
        <w:rPr/>
        <w:t>根据本公司</w:t>
      </w:r>
      <w:r>
        <w:rPr>
          <w:rFonts w:ascii="Times New Roman" w:hAnsi="Times New Roman" w:cs="Times New Roman" w:eastAsia="Times New Roman" w:hint="default"/>
        </w:rPr>
        <w:t>2008</w:t>
      </w:r>
      <w:r>
        <w:rPr/>
        <w:t>年第一次临时股东大会决议及中国证券监督管理委员会证监许可</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rFonts w:ascii="Times New Roman" w:hAnsi="Times New Roman" w:cs="Times New Roman" w:eastAsia="Times New Roman" w:hint="default"/>
        </w:rPr>
        <w:t>929</w:t>
      </w:r>
      <w:r>
        <w:rPr/>
        <w:t>号文 </w:t>
      </w:r>
      <w:r>
        <w:rPr>
          <w:rFonts w:ascii="Times New Roman" w:hAnsi="Times New Roman" w:cs="Times New Roman" w:eastAsia="Times New Roman" w:hint="default"/>
          <w:spacing w:val="-1"/>
        </w:rPr>
        <w:t>“</w:t>
      </w:r>
      <w:r>
        <w:rPr>
          <w:spacing w:val="-1"/>
        </w:rPr>
        <w:t>关于核准安徽鑫龙电器股份有限公司首次公开发行股票的批复</w:t>
      </w:r>
      <w:r>
        <w:rPr>
          <w:rFonts w:ascii="Times New Roman" w:hAnsi="Times New Roman" w:cs="Times New Roman" w:eastAsia="Times New Roman" w:hint="default"/>
          <w:spacing w:val="-1"/>
        </w:rPr>
        <w:t>”</w:t>
      </w:r>
      <w:r>
        <w:rPr>
          <w:spacing w:val="-1"/>
        </w:rPr>
        <w:t>，本公司分别于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日采用网</w:t>
      </w:r>
      <w:r>
        <w:rPr/>
        <w:t> 下配售方式向询价对象公开发行人民币普通股（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560</w:t>
      </w:r>
      <w:r>
        <w:rPr/>
        <w:t>万股，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日采用网上定价方式公 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2,240</w:t>
      </w:r>
      <w:r>
        <w:rPr/>
        <w:t>万股，共计公开发行人民币普通股（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2,800</w:t>
      </w:r>
      <w:r>
        <w:rPr/>
        <w:t>万股，每股发行价 格为</w:t>
      </w:r>
      <w:r>
        <w:rPr>
          <w:rFonts w:ascii="Times New Roman" w:hAnsi="Times New Roman" w:cs="Times New Roman" w:eastAsia="Times New Roman" w:hint="default"/>
        </w:rPr>
        <w:t>9.50</w:t>
      </w:r>
      <w:r>
        <w:rPr/>
        <w:t>元。公司发行后社会公众股为</w:t>
      </w:r>
      <w:r>
        <w:rPr>
          <w:rFonts w:ascii="Times New Roman" w:hAnsi="Times New Roman" w:cs="Times New Roman" w:eastAsia="Times New Roman" w:hint="default"/>
        </w:rPr>
        <w:t>2800</w:t>
      </w:r>
      <w:r>
        <w:rPr/>
        <w:t>万股，出资方式全部为货币资金。本次发行后本公司的注 册资本为</w:t>
      </w:r>
      <w:r>
        <w:rPr>
          <w:rFonts w:ascii="Times New Roman" w:hAnsi="Times New Roman" w:cs="Times New Roman" w:eastAsia="Times New Roman" w:hint="default"/>
        </w:rPr>
        <w:t>11,000</w:t>
      </w:r>
      <w:r>
        <w:rPr/>
        <w:t>万元。</w:t>
      </w:r>
    </w:p>
    <w:p>
      <w:pPr>
        <w:pStyle w:val="BodyText"/>
        <w:spacing w:line="256" w:lineRule="auto" w:before="5"/>
        <w:ind w:left="513" w:right="1153" w:firstLine="422"/>
        <w:jc w:val="left"/>
      </w:pPr>
      <w:r>
        <w:rPr/>
        <w:t>根据本公司</w:t>
      </w:r>
      <w:r>
        <w:rPr>
          <w:rFonts w:ascii="Times New Roman" w:hAnsi="Times New Roman" w:cs="Times New Roman" w:eastAsia="Times New Roman" w:hint="default"/>
        </w:rPr>
        <w:t>2009</w:t>
      </w:r>
      <w:r>
        <w:rPr/>
        <w:t>年度股东大会审议通过的《关于公司</w:t>
      </w:r>
      <w:r>
        <w:rPr>
          <w:rFonts w:ascii="Times New Roman" w:hAnsi="Times New Roman" w:cs="Times New Roman" w:eastAsia="Times New Roman" w:hint="default"/>
        </w:rPr>
        <w:t>2009</w:t>
      </w:r>
      <w:r>
        <w:rPr/>
        <w:t>年度利润分配的预案》，以</w:t>
      </w:r>
      <w:r>
        <w:rPr>
          <w:rFonts w:ascii="Times New Roman" w:hAnsi="Times New Roman" w:cs="Times New Roman" w:eastAsia="Times New Roman" w:hint="default"/>
        </w:rPr>
        <w:t>2009</w:t>
      </w:r>
      <w:r>
        <w:rPr/>
        <w:t>年末 </w:t>
      </w:r>
      <w:r>
        <w:rPr>
          <w:rFonts w:ascii="Times New Roman" w:hAnsi="Times New Roman" w:cs="Times New Roman" w:eastAsia="Times New Roman" w:hint="default"/>
        </w:rPr>
        <w:t>11,000</w:t>
      </w:r>
      <w:r>
        <w:rPr/>
        <w:t>万股本为基数，以资本公积向全体股东每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股的利润分配方案，公司总股本由</w:t>
      </w:r>
      <w:r>
        <w:rPr>
          <w:rFonts w:ascii="Times New Roman" w:hAnsi="Times New Roman" w:cs="Times New Roman" w:eastAsia="Times New Roman" w:hint="default"/>
        </w:rPr>
        <w:t>11,000</w:t>
      </w:r>
      <w:r>
        <w:rPr/>
        <w:t>万 股增加到</w:t>
      </w:r>
      <w:r>
        <w:rPr>
          <w:rFonts w:ascii="Times New Roman" w:hAnsi="Times New Roman" w:cs="Times New Roman" w:eastAsia="Times New Roman" w:hint="default"/>
        </w:rPr>
        <w:t>16,500</w:t>
      </w:r>
      <w:r>
        <w:rPr/>
        <w:t>万股。本次资本公积转增资本后公司的注册资本变更为</w:t>
      </w:r>
      <w:r>
        <w:rPr>
          <w:rFonts w:ascii="Times New Roman" w:hAnsi="Times New Roman" w:cs="Times New Roman" w:eastAsia="Times New Roman" w:hint="default"/>
        </w:rPr>
        <w:t>16,500</w:t>
      </w:r>
      <w:r>
        <w:rPr/>
        <w:t>万元。</w:t>
      </w:r>
    </w:p>
    <w:p>
      <w:pPr>
        <w:pStyle w:val="BodyText"/>
        <w:spacing w:line="256" w:lineRule="auto" w:before="5"/>
        <w:ind w:left="513" w:right="1205" w:firstLine="424"/>
        <w:jc w:val="left"/>
      </w:pPr>
      <w:r>
        <w:rPr/>
        <w:t>根据本公司</w:t>
      </w:r>
      <w:r>
        <w:rPr>
          <w:rFonts w:ascii="Times New Roman" w:hAnsi="Times New Roman" w:cs="Times New Roman" w:eastAsia="Times New Roman" w:hint="default"/>
        </w:rPr>
        <w:t>2011</w:t>
      </w:r>
      <w:r>
        <w:rPr/>
        <w:t>年度股东大会审议通过的《关于公司</w:t>
      </w:r>
      <w:r>
        <w:rPr>
          <w:rFonts w:ascii="Times New Roman" w:hAnsi="Times New Roman" w:cs="Times New Roman" w:eastAsia="Times New Roman" w:hint="default"/>
        </w:rPr>
        <w:t>2011</w:t>
      </w:r>
      <w:r>
        <w:rPr/>
        <w:t>年度利润分配的预案》，以</w:t>
      </w:r>
      <w:r>
        <w:rPr>
          <w:rFonts w:ascii="Times New Roman" w:hAnsi="Times New Roman" w:cs="Times New Roman" w:eastAsia="Times New Roman" w:hint="default"/>
        </w:rPr>
        <w:t>2011</w:t>
      </w:r>
      <w:r>
        <w:rPr/>
        <w:t>年末 </w:t>
      </w:r>
      <w:r>
        <w:rPr>
          <w:rFonts w:ascii="Times New Roman" w:hAnsi="Times New Roman" w:cs="Times New Roman" w:eastAsia="Times New Roman" w:hint="default"/>
        </w:rPr>
        <w:t>16,500</w:t>
      </w:r>
      <w:r>
        <w:rPr/>
        <w:t>万股本为基数，公司按每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股的比例，以资本公积、未分配利润向全体股东转增股份 总额</w:t>
      </w:r>
      <w:r>
        <w:rPr>
          <w:rFonts w:ascii="Times New Roman" w:hAnsi="Times New Roman" w:cs="Times New Roman" w:eastAsia="Times New Roman" w:hint="default"/>
        </w:rPr>
        <w:t>16,500</w:t>
      </w:r>
      <w:r>
        <w:rPr/>
        <w:t>万股，其中：由资本公积转增</w:t>
      </w:r>
      <w:r>
        <w:rPr>
          <w:rFonts w:ascii="Times New Roman" w:hAnsi="Times New Roman" w:cs="Times New Roman" w:eastAsia="Times New Roman" w:hint="default"/>
        </w:rPr>
        <w:t>13,200</w:t>
      </w:r>
      <w:r>
        <w:rPr/>
        <w:t>万股，由未分配利润转增</w:t>
      </w:r>
      <w:r>
        <w:rPr>
          <w:rFonts w:ascii="Times New Roman" w:hAnsi="Times New Roman" w:cs="Times New Roman" w:eastAsia="Times New Roman" w:hint="default"/>
        </w:rPr>
        <w:t>3,300</w:t>
      </w:r>
      <w:r>
        <w:rPr/>
        <w:t>万股。本次转增资本后 公司的注册资本变更为</w:t>
      </w:r>
      <w:r>
        <w:rPr>
          <w:rFonts w:ascii="Times New Roman" w:hAnsi="Times New Roman" w:cs="Times New Roman" w:eastAsia="Times New Roman" w:hint="default"/>
        </w:rPr>
        <w:t>33,000</w:t>
      </w:r>
      <w:r>
        <w:rPr/>
        <w:t>万元。</w:t>
      </w:r>
    </w:p>
    <w:p>
      <w:pPr>
        <w:pStyle w:val="BodyText"/>
        <w:spacing w:line="256" w:lineRule="auto" w:before="5"/>
        <w:ind w:left="513" w:right="1130" w:firstLine="424"/>
        <w:jc w:val="both"/>
      </w:pPr>
      <w:r>
        <w:rPr/>
        <w:t>根据公司第五届董事会第十八次会议、</w:t>
      </w:r>
      <w:r>
        <w:rPr>
          <w:rFonts w:ascii="Times New Roman" w:hAnsi="Times New Roman" w:cs="Times New Roman" w:eastAsia="Times New Roman" w:hint="default"/>
        </w:rPr>
        <w:t>2011</w:t>
      </w:r>
      <w:r>
        <w:rPr/>
        <w:t>年第四次临时股东大会的决议和修改后章程的规定， 并经中国证券监督管理委员会证监许可</w:t>
      </w:r>
      <w:r>
        <w:rPr>
          <w:rFonts w:ascii="Times New Roman" w:hAnsi="Times New Roman" w:cs="Times New Roman" w:eastAsia="Times New Roman" w:hint="default"/>
        </w:rPr>
        <w:t>[2012]648</w:t>
      </w:r>
      <w:r>
        <w:rPr/>
        <w:t>号文《关于核准安徽鑫龙电器股份有限公司非公开发 </w:t>
      </w:r>
      <w:r>
        <w:rPr>
          <w:spacing w:val="-3"/>
        </w:rPr>
        <w:t>行股票的批复》核准，鑫龙电器公司于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15</w:t>
      </w:r>
      <w:r>
        <w:rPr>
          <w:spacing w:val="-3"/>
        </w:rPr>
        <w:t>日向特定对象定价发行人民币普通股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 </w:t>
      </w:r>
      <w:r>
        <w:rPr>
          <w:rFonts w:ascii="Times New Roman" w:hAnsi="Times New Roman" w:cs="Times New Roman" w:eastAsia="Times New Roman" w:hint="default"/>
        </w:rPr>
        <w:t>7,886.90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万股，每股发行认购价格为人民币</w:t>
      </w:r>
      <w:r>
        <w:rPr>
          <w:rFonts w:ascii="Times New Roman" w:hAnsi="Times New Roman" w:cs="Times New Roman" w:eastAsia="Times New Roman" w:hint="default"/>
        </w:rPr>
        <w:t>6.72</w:t>
      </w:r>
      <w:r>
        <w:rPr/>
        <w:t>元。经此发行后，注册资本变更为人民币</w:t>
      </w:r>
      <w:r>
        <w:rPr>
          <w:rFonts w:ascii="Times New Roman" w:hAnsi="Times New Roman" w:cs="Times New Roman" w:eastAsia="Times New Roman" w:hint="default"/>
        </w:rPr>
        <w:t>40,886.90</w:t>
      </w:r>
      <w:r>
        <w:rPr/>
        <w:t>万元。</w:t>
      </w:r>
    </w:p>
    <w:p>
      <w:pPr>
        <w:pStyle w:val="BodyText"/>
        <w:spacing w:line="240" w:lineRule="auto" w:before="5"/>
        <w:ind w:left="934" w:right="1034"/>
        <w:jc w:val="left"/>
      </w:pPr>
      <w:r>
        <w:rPr/>
        <w:t>根据公司</w:t>
      </w:r>
      <w:r>
        <w:rPr>
          <w:spacing w:val="-70"/>
        </w:rPr>
        <w:t> </w:t>
      </w:r>
      <w:r>
        <w:rPr>
          <w:rFonts w:ascii="Times New Roman" w:hAnsi="Times New Roman" w:cs="Times New Roman" w:eastAsia="Times New Roman" w:hint="default"/>
        </w:rPr>
        <w:t>2011</w:t>
      </w:r>
      <w:r>
        <w:rPr/>
        <w:t>年第一次临时股东大会审议通过的《安徽鑫龙电器股份有限公司股票期权激励计划</w:t>
      </w:r>
    </w:p>
    <w:p>
      <w:pPr>
        <w:pStyle w:val="BodyText"/>
        <w:spacing w:line="268" w:lineRule="auto" w:before="21"/>
        <w:ind w:left="513" w:right="1131"/>
        <w:jc w:val="both"/>
      </w:pPr>
      <w:r>
        <w:rPr/>
        <w:t>（修订稿）》的相关规定，公司首期股票期权激励计划首次授予第一个行权期的行权条件已经满足， 经公司第五届董事会第二十九次会议审议通过了《关于公司股票期权激励计划首次授予第一个行权期 </w:t>
      </w:r>
      <w:r>
        <w:rPr>
          <w:spacing w:val="-6"/>
        </w:rPr>
        <w:t>可行权的议案》。公司实际有</w:t>
      </w:r>
      <w:r>
        <w:rPr>
          <w:spacing w:val="-44"/>
        </w:rPr>
        <w:t> </w:t>
      </w:r>
      <w:r>
        <w:rPr>
          <w:rFonts w:ascii="Times New Roman" w:hAnsi="Times New Roman" w:cs="Times New Roman" w:eastAsia="Times New Roman" w:hint="default"/>
        </w:rPr>
        <w:t>101</w:t>
      </w:r>
      <w:r>
        <w:rPr/>
        <w:t>名股权激励对象合计行权</w:t>
      </w:r>
      <w:r>
        <w:rPr>
          <w:rFonts w:ascii="Times New Roman" w:hAnsi="Times New Roman" w:cs="Times New Roman" w:eastAsia="Times New Roman" w:hint="default"/>
        </w:rPr>
        <w:t>497.93</w:t>
      </w:r>
      <w:r>
        <w:rPr/>
        <w:t>万份股票期权，每份股票期权行权价 格为人民币</w:t>
      </w:r>
      <w:r>
        <w:rPr>
          <w:rFonts w:ascii="Times New Roman" w:hAnsi="Times New Roman" w:cs="Times New Roman" w:eastAsia="Times New Roman" w:hint="default"/>
        </w:rPr>
        <w:t>7.63</w:t>
      </w:r>
      <w:r>
        <w:rPr/>
        <w:t>元，行权后的注册资本变更为人民币</w:t>
      </w:r>
      <w:r>
        <w:rPr>
          <w:rFonts w:ascii="Times New Roman" w:hAnsi="Times New Roman" w:cs="Times New Roman" w:eastAsia="Times New Roman" w:hint="default"/>
        </w:rPr>
        <w:t>41,384.83</w:t>
      </w:r>
      <w:r>
        <w:rPr/>
        <w:t>万元。</w:t>
      </w:r>
    </w:p>
    <w:p>
      <w:pPr>
        <w:pStyle w:val="BodyText"/>
        <w:spacing w:line="284" w:lineRule="exact" w:before="0"/>
        <w:ind w:left="934" w:right="1034"/>
        <w:jc w:val="left"/>
      </w:pPr>
      <w:r>
        <w:rPr/>
        <w:t>根据鑫龙电器公司</w:t>
      </w:r>
      <w:r>
        <w:rPr>
          <w:spacing w:val="-70"/>
        </w:rPr>
        <w:t> </w:t>
      </w:r>
      <w:r>
        <w:rPr>
          <w:rFonts w:ascii="Times New Roman" w:hAnsi="Times New Roman" w:cs="Times New Roman" w:eastAsia="Times New Roman" w:hint="default"/>
        </w:rPr>
        <w:t>2011</w:t>
      </w:r>
      <w:r>
        <w:rPr/>
        <w:t>年第一次临时股东大会审议通过的《安徽鑫龙电器股份有限公司股票期权</w:t>
      </w:r>
    </w:p>
    <w:p>
      <w:pPr>
        <w:spacing w:after="0" w:line="284"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left="513" w:right="1130"/>
        <w:jc w:val="both"/>
      </w:pPr>
      <w:r>
        <w:rPr/>
        <w:t>激励计划（修订稿）》的相关规定，公司首期股票期权激励计划首次授予第二个行权期及预留期权第 一个行权期的行权条件已经满足，经公司第六届董事会第五次会议审议通过的《关于股票期权激励计 划首次授予第二个行权期及预留期权第一个行权期可行权的议案》，公司</w:t>
      </w:r>
      <w:r>
        <w:rPr>
          <w:spacing w:val="-22"/>
        </w:rPr>
        <w:t> </w:t>
      </w:r>
      <w:r>
        <w:rPr>
          <w:rFonts w:ascii="Times New Roman" w:hAnsi="Times New Roman" w:cs="Times New Roman" w:eastAsia="Times New Roman" w:hint="default"/>
        </w:rPr>
        <w:t>147</w:t>
      </w:r>
      <w:r>
        <w:rPr/>
        <w:t>名股权激励对象共计可 行权</w:t>
      </w:r>
      <w:r>
        <w:rPr>
          <w:rFonts w:ascii="Times New Roman" w:hAnsi="Times New Roman" w:cs="Times New Roman" w:eastAsia="Times New Roman" w:hint="default"/>
        </w:rPr>
        <w:t>818.20</w:t>
      </w:r>
      <w:r>
        <w:rPr/>
        <w:t>万份股票期权。公司实际有</w:t>
      </w:r>
      <w:r>
        <w:rPr>
          <w:spacing w:val="-65"/>
        </w:rPr>
        <w:t> </w:t>
      </w:r>
      <w:r>
        <w:rPr>
          <w:rFonts w:ascii="Times New Roman" w:hAnsi="Times New Roman" w:cs="Times New Roman" w:eastAsia="Times New Roman" w:hint="default"/>
        </w:rPr>
        <w:t>137</w:t>
      </w:r>
      <w:r>
        <w:rPr/>
        <w:t>名股权激励对象共计行权</w:t>
      </w:r>
      <w:r>
        <w:rPr>
          <w:rFonts w:ascii="Times New Roman" w:hAnsi="Times New Roman" w:cs="Times New Roman" w:eastAsia="Times New Roman" w:hint="default"/>
        </w:rPr>
        <w:t>753.20</w:t>
      </w:r>
      <w:r>
        <w:rPr/>
        <w:t>万份股票期权，行权后的注 册资本变更为人民币</w:t>
      </w:r>
      <w:r>
        <w:rPr>
          <w:rFonts w:ascii="Times New Roman" w:hAnsi="Times New Roman" w:cs="Times New Roman" w:eastAsia="Times New Roman" w:hint="default"/>
        </w:rPr>
        <w:t>42,138.03</w:t>
      </w:r>
      <w:r>
        <w:rPr/>
        <w:t>万元。</w:t>
      </w:r>
    </w:p>
    <w:p>
      <w:pPr>
        <w:pStyle w:val="BodyText"/>
        <w:spacing w:line="264" w:lineRule="auto" w:before="0"/>
        <w:ind w:left="513" w:right="1130" w:firstLine="420"/>
        <w:jc w:val="both"/>
      </w:pPr>
      <w:r>
        <w:rPr>
          <w:spacing w:val="-3"/>
        </w:rPr>
        <w:t>根据鑫龙电器</w:t>
      </w:r>
      <w:r>
        <w:rPr>
          <w:rFonts w:ascii="Times New Roman" w:hAnsi="Times New Roman" w:cs="Times New Roman" w:eastAsia="Times New Roman" w:hint="default"/>
          <w:spacing w:val="-3"/>
        </w:rPr>
        <w:t>2015</w:t>
      </w:r>
      <w:r>
        <w:rPr>
          <w:spacing w:val="-3"/>
        </w:rPr>
        <w:t>年第一次临时股东大会决议，并经中国证券监督管理委员会证监许可</w:t>
      </w:r>
      <w:r>
        <w:rPr>
          <w:rFonts w:ascii="Times New Roman" w:hAnsi="Times New Roman" w:cs="Times New Roman" w:eastAsia="Times New Roman" w:hint="default"/>
          <w:spacing w:val="-3"/>
        </w:rPr>
        <w:t>[2015]1726</w:t>
      </w:r>
      <w:r>
        <w:rPr>
          <w:rFonts w:ascii="Times New Roman" w:hAnsi="Times New Roman" w:cs="Times New Roman" w:eastAsia="Times New Roman" w:hint="default"/>
        </w:rPr>
        <w:t> </w:t>
      </w:r>
      <w:r>
        <w:rPr/>
        <w:t>号文《关于核准安徽鑫龙电器股份有限公司向瞿洪桂等发行股份购买资产并募集配套资金的批复》的 核准，鑫龙电器申请增加注册资本人民币</w:t>
      </w:r>
      <w:r>
        <w:rPr>
          <w:rFonts w:ascii="Times New Roman" w:hAnsi="Times New Roman" w:cs="Times New Roman" w:eastAsia="Times New Roman" w:hint="default"/>
        </w:rPr>
        <w:t>21,153.846</w:t>
      </w:r>
      <w:r>
        <w:rPr/>
        <w:t>万元，变更后的注册资本为</w:t>
      </w:r>
      <w:r>
        <w:rPr>
          <w:rFonts w:ascii="Times New Roman" w:hAnsi="Times New Roman" w:cs="Times New Roman" w:eastAsia="Times New Roman" w:hint="default"/>
        </w:rPr>
        <w:t>63,291.876</w:t>
      </w:r>
      <w:r>
        <w:rPr/>
        <w:t>万元。</w:t>
      </w:r>
    </w:p>
    <w:p>
      <w:pPr>
        <w:pStyle w:val="Heading6"/>
        <w:spacing w:line="240" w:lineRule="auto" w:before="118"/>
        <w:ind w:left="154" w:right="1034"/>
        <w:jc w:val="left"/>
        <w:rPr>
          <w:b w:val="0"/>
          <w:bCs w:val="0"/>
        </w:rPr>
      </w:pPr>
      <w:r>
        <w:rPr>
          <w:rFonts w:ascii="宋体" w:hAnsi="宋体" w:cs="宋体" w:eastAsia="宋体" w:hint="default"/>
        </w:rPr>
        <w:t>1.</w:t>
      </w:r>
      <w:r>
        <w:rPr>
          <w:rFonts w:ascii="宋体" w:hAnsi="宋体" w:cs="宋体" w:eastAsia="宋体" w:hint="default"/>
          <w:spacing w:val="42"/>
        </w:rPr>
        <w:t> </w:t>
      </w:r>
      <w:r>
        <w:rPr/>
        <w:t>经营范围</w:t>
      </w:r>
      <w:r>
        <w:rPr>
          <w:b w:val="0"/>
          <w:bCs w:val="0"/>
        </w:rPr>
      </w:r>
    </w:p>
    <w:p>
      <w:pPr>
        <w:pStyle w:val="BodyText"/>
        <w:spacing w:line="273" w:lineRule="auto" w:before="37"/>
        <w:ind w:left="514" w:right="0" w:firstLine="420"/>
        <w:jc w:val="left"/>
      </w:pPr>
      <w:r>
        <w:rPr/>
        <w:t>经营范围主要包括：电气机械及器材制造、工业过程控制及监控系统、计算机应用服务与综合信 </w:t>
      </w:r>
      <w:r>
        <w:rPr>
          <w:spacing w:val="-2"/>
        </w:rPr>
        <w:t>息网络工程、电子声像工程、各种智能化系统和技术防范工程设计、制造、施工、安装、维修、调试、</w:t>
      </w:r>
      <w:r>
        <w:rPr>
          <w:spacing w:val="-85"/>
        </w:rPr>
        <w:t> </w:t>
      </w:r>
      <w:r>
        <w:rPr>
          <w:spacing w:val="-85"/>
        </w:rPr>
      </w:r>
      <w:r>
        <w:rPr/>
        <w:t>销售及技术服务；经营本企业自产产品及相关技术的出口和科研所需的原辅材料、仪器仪表、机械设 备、零配件及相关技术的进口（国家限定经营或禁止进出口的商品除外），进料加工和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w:t>
      </w:r>
    </w:p>
    <w:p>
      <w:pPr>
        <w:spacing w:line="273" w:lineRule="auto" w:before="108"/>
        <w:ind w:left="934" w:right="0"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公司业务性质和主要经营活动</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本公司属于输配电及控制设备制造业。本公司的主要产品包括：高、低压成套开关设备、元器件、</w:t>
      </w:r>
    </w:p>
    <w:p>
      <w:pPr>
        <w:pStyle w:val="BodyText"/>
        <w:spacing w:line="273" w:lineRule="auto"/>
        <w:ind w:left="513" w:right="1170"/>
        <w:jc w:val="both"/>
      </w:pPr>
      <w:r>
        <w:rPr/>
        <w:t>自动化产品等，主要应用于发电厂、变电所及城市、农村、工矿企业、交通运输、高层建筑、公用设 施等领域的变、配电时接受和分配电能等。</w:t>
      </w:r>
    </w:p>
    <w:p>
      <w:pPr>
        <w:spacing w:line="273" w:lineRule="auto" w:before="127"/>
        <w:ind w:left="573" w:right="5293"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财务报表的批准报出</w:t>
      </w:r>
      <w:r>
        <w:rPr>
          <w:rFonts w:ascii="宋体" w:hAnsi="宋体" w:cs="宋体" w:eastAsia="宋体" w:hint="default"/>
          <w:b/>
          <w:bCs/>
          <w:w w:val="99"/>
          <w:sz w:val="21"/>
          <w:szCs w:val="21"/>
        </w:rPr>
        <w:t> </w:t>
      </w:r>
      <w:r>
        <w:rPr>
          <w:rFonts w:ascii="宋体" w:hAnsi="宋体" w:cs="宋体" w:eastAsia="宋体" w:hint="default"/>
          <w:sz w:val="21"/>
          <w:szCs w:val="21"/>
        </w:rPr>
        <w:t>本财务报表业经公司董事会于</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9"/>
          <w:szCs w:val="19"/>
        </w:rPr>
      </w:pPr>
    </w:p>
    <w:p>
      <w:pPr>
        <w:pStyle w:val="Heading4"/>
        <w:spacing w:line="240" w:lineRule="auto"/>
        <w:ind w:right="1034"/>
        <w:jc w:val="left"/>
        <w:rPr>
          <w:b w:val="0"/>
          <w:bCs w:val="0"/>
        </w:rPr>
      </w:pPr>
      <w:r>
        <w:rPr/>
        <w:t>合并财务报表范围</w:t>
      </w:r>
      <w:r>
        <w:rPr>
          <w:b w:val="0"/>
          <w:bCs w:val="0"/>
        </w:rPr>
      </w:r>
    </w:p>
    <w:p>
      <w:pPr>
        <w:pStyle w:val="BodyText"/>
        <w:spacing w:line="240" w:lineRule="auto" w:before="22"/>
        <w:ind w:left="573" w:right="0"/>
        <w:jc w:val="both"/>
      </w:pPr>
      <w:r>
        <w:rPr/>
        <w:t>本期纳入合并财务报表范围的子孙公司共</w:t>
      </w:r>
      <w:r>
        <w:rPr>
          <w:rFonts w:ascii="Times New Roman" w:hAnsi="Times New Roman" w:cs="Times New Roman" w:eastAsia="Times New Roman" w:hint="default"/>
          <w:color w:val="0000CC"/>
        </w:rPr>
        <w:t>17</w:t>
      </w:r>
      <w:r>
        <w:rPr/>
        <w:t>户，具体包括</w:t>
      </w:r>
      <w:r>
        <w:rPr>
          <w:color w:val="0000CC"/>
        </w:rPr>
        <w:t>：</w:t>
      </w:r>
      <w:r>
        <w:rPr/>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510"/>
        <w:gridCol w:w="1260"/>
        <w:gridCol w:w="725"/>
        <w:gridCol w:w="1517"/>
        <w:gridCol w:w="1517"/>
      </w:tblGrid>
      <w:tr>
        <w:trPr>
          <w:trHeight w:val="355" w:hRule="exact"/>
        </w:trPr>
        <w:tc>
          <w:tcPr>
            <w:tcW w:w="3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7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75"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3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3"/>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斯高思（安徽）电器有限公司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75.00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75.00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安徽鑫龙电器元件销售有限公司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安徽鑫龙变压器有限公司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安徽鑫龙电力工程安装有限公司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安徽鑫东投资管理有限公司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安徽佑赛科技有限公司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68.00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68.00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亳州鑫龙电气有限公司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天津市泰达工程设计有限公司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59.74</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59.74</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安徽杰偌新材料技术有限公司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70.00</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信诺非凡</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中电兴发机器人技术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68.00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510"/>
        <w:gridCol w:w="1260"/>
        <w:gridCol w:w="725"/>
        <w:gridCol w:w="1517"/>
        <w:gridCol w:w="1517"/>
      </w:tblGrid>
      <w:tr>
        <w:trPr>
          <w:trHeight w:val="355" w:hRule="exact"/>
        </w:trPr>
        <w:tc>
          <w:tcPr>
            <w:tcW w:w="3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安徽鑫龙电器成套有限公司</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47"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left="1005"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7"/>
        <w:rPr>
          <w:rFonts w:ascii="宋体" w:hAnsi="宋体" w:cs="宋体" w:eastAsia="宋体" w:hint="default"/>
          <w:sz w:val="14"/>
          <w:szCs w:val="14"/>
        </w:rPr>
      </w:pPr>
    </w:p>
    <w:p>
      <w:pPr>
        <w:pStyle w:val="BodyText"/>
        <w:spacing w:line="240" w:lineRule="auto" w:before="35"/>
        <w:ind w:left="574" w:right="1034"/>
        <w:jc w:val="left"/>
      </w:pPr>
      <w:r>
        <w:rPr>
          <w:color w:val="0000CC"/>
        </w:rPr>
        <w:t>本期纳入合并财务报表范围的子孙公司较上期相比，增加</w:t>
      </w:r>
      <w:r>
        <w:rPr>
          <w:rFonts w:ascii="Times New Roman" w:hAnsi="Times New Roman" w:cs="Times New Roman" w:eastAsia="Times New Roman" w:hint="default"/>
          <w:color w:val="0000CC"/>
        </w:rPr>
        <w:t>6</w:t>
      </w:r>
      <w:r>
        <w:rPr>
          <w:color w:val="0000CC"/>
        </w:rPr>
        <w:t>户，其中：</w:t>
      </w:r>
      <w:r>
        <w:rPr/>
      </w:r>
    </w:p>
    <w:p>
      <w:pPr>
        <w:pStyle w:val="BodyText"/>
        <w:spacing w:line="240" w:lineRule="auto" w:before="21"/>
        <w:ind w:right="1034"/>
        <w:jc w:val="left"/>
      </w:pPr>
      <w:r>
        <w:rPr>
          <w:rFonts w:ascii="宋体" w:hAnsi="宋体" w:cs="宋体" w:eastAsia="宋体" w:hint="default"/>
        </w:rPr>
        <w:t>1.</w:t>
      </w:r>
      <w:r>
        <w:rPr>
          <w:rFonts w:ascii="宋体" w:hAnsi="宋体" w:cs="宋体" w:eastAsia="宋体" w:hint="default"/>
          <w:spacing w:val="44"/>
        </w:rPr>
        <w:t> </w:t>
      </w:r>
      <w:r>
        <w:rPr/>
        <w:t>本期新纳入合并范围的子公司、特殊目的主体、通过受托经营或承租等方式形成控制权的经营实体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安徽杰偌新材料技术有限公司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信诺非凡</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中电兴发机器人技术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安徽鑫龙电器成套有限公司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新设成立</w:t>
            </w:r>
          </w:p>
        </w:tc>
      </w:tr>
    </w:tbl>
    <w:p>
      <w:pPr>
        <w:pStyle w:val="Heading5"/>
        <w:spacing w:line="240" w:lineRule="auto" w:before="81"/>
        <w:ind w:left="634" w:right="1034"/>
        <w:jc w:val="left"/>
      </w:pPr>
      <w:r>
        <w:rPr/>
        <w:t>合并范围变更主体的具体信息详见</w:t>
      </w:r>
      <w:r>
        <w:rPr>
          <w:rFonts w:ascii="Times New Roman" w:hAnsi="Times New Roman" w:cs="Times New Roman" w:eastAsia="Times New Roman" w:hint="default"/>
          <w:color w:val="0000CC"/>
        </w:rPr>
        <w:t>“</w:t>
      </w:r>
      <w:r>
        <w:rPr>
          <w:color w:val="0000CC"/>
        </w:rPr>
        <w:t>附注七、合并范围的变更</w:t>
      </w:r>
      <w:r>
        <w:rPr>
          <w:rFonts w:ascii="Times New Roman" w:hAnsi="Times New Roman" w:cs="Times New Roman" w:eastAsia="Times New Roman" w:hint="default"/>
          <w:color w:val="0000CC"/>
        </w:rPr>
        <w:t>”</w:t>
      </w:r>
      <w:r>
        <w:rPr>
          <w:color w:val="0000CC"/>
        </w:rPr>
        <w:t>。</w:t>
      </w:r>
      <w:r>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1"/>
          <w:szCs w:val="21"/>
        </w:rPr>
      </w:pPr>
    </w:p>
    <w:p>
      <w:pPr>
        <w:pStyle w:val="Heading4"/>
        <w:spacing w:line="240" w:lineRule="auto"/>
        <w:ind w:right="0"/>
        <w:jc w:val="both"/>
        <w:rPr>
          <w:b w:val="0"/>
          <w:bCs w:val="0"/>
        </w:rPr>
      </w:pPr>
      <w:bookmarkStart w:name="四、财务报表的编制基础" w:id="159"/>
      <w:bookmarkEnd w:id="15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编制基础" w:id="160"/>
      <w:bookmarkEnd w:id="16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30"/>
        <w:jc w:val="both"/>
      </w:pPr>
      <w:r>
        <w:rPr>
          <w:spacing w:val="-1"/>
        </w:rPr>
        <w:t>本公司根据实际发生的交易和事项，按照财政部颁布的《企业会计准则</w:t>
      </w:r>
      <w:r>
        <w:rPr>
          <w:rFonts w:ascii="Times New Roman" w:hAnsi="Times New Roman" w:cs="Times New Roman" w:eastAsia="Times New Roman" w:hint="default"/>
          <w:spacing w:val="-1"/>
        </w:rPr>
        <w:t>——</w:t>
      </w:r>
      <w:r>
        <w:rPr>
          <w:spacing w:val="-1"/>
        </w:rPr>
        <w:t>基本准则》和具体企业会计准</w:t>
      </w:r>
      <w:r>
        <w:rPr>
          <w:spacing w:val="-83"/>
        </w:rPr>
        <w:t> </w:t>
      </w:r>
      <w:r>
        <w:rPr>
          <w:spacing w:val="-83"/>
        </w:rPr>
      </w:r>
      <w:r>
        <w:rPr/>
        <w:t>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进行确认和计 </w:t>
      </w:r>
      <w:r>
        <w:rPr>
          <w:spacing w:val="-1"/>
        </w:rPr>
        <w:t>量，在此基础上，结合中国证券监督管理委员会《公开发行证券的公司信息披露编报规则第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w:t>
      </w:r>
      <w:r>
        <w:rPr>
          <w:spacing w:val="-83"/>
        </w:rPr>
        <w:t> </w:t>
      </w:r>
      <w:r>
        <w:rPr/>
        <w:t>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的规定，编制财务报表。</w:t>
      </w:r>
    </w:p>
    <w:p>
      <w:pPr>
        <w:spacing w:line="240" w:lineRule="auto" w:before="5"/>
        <w:rPr>
          <w:rFonts w:ascii="宋体" w:hAnsi="宋体" w:cs="宋体" w:eastAsia="宋体" w:hint="default"/>
          <w:sz w:val="23"/>
          <w:szCs w:val="23"/>
        </w:rPr>
      </w:pPr>
    </w:p>
    <w:p>
      <w:pPr>
        <w:pStyle w:val="Heading6"/>
        <w:spacing w:line="240" w:lineRule="auto"/>
        <w:ind w:right="0"/>
        <w:jc w:val="both"/>
        <w:rPr>
          <w:b w:val="0"/>
          <w:bCs w:val="0"/>
        </w:rPr>
      </w:pPr>
      <w:bookmarkStart w:name="2、持续经营" w:id="161"/>
      <w:bookmarkEnd w:id="16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154" w:right="1034"/>
        <w:jc w:val="left"/>
      </w:pPr>
      <w:r>
        <w:rPr>
          <w:spacing w:val="-1"/>
        </w:rPr>
        <w:t>本公司对报告期末起</w:t>
      </w:r>
      <w:r>
        <w:rPr>
          <w:rFonts w:ascii="Times New Roman" w:hAnsi="Times New Roman" w:cs="Times New Roman" w:eastAsia="Times New Roman" w:hint="default"/>
          <w:spacing w:val="-1"/>
        </w:rPr>
        <w:t>12</w:t>
      </w:r>
      <w:r>
        <w:rPr>
          <w:spacing w:val="-1"/>
        </w:rPr>
        <w:t>个月的持续经营能力进行了评价，未发现对持续经营能力产生重大怀疑的事项或情</w:t>
      </w:r>
      <w:r>
        <w:rPr>
          <w:spacing w:val="-81"/>
        </w:rPr>
        <w:t> </w:t>
      </w:r>
      <w:r>
        <w:rPr>
          <w:spacing w:val="-81"/>
        </w:rPr>
      </w:r>
      <w:r>
        <w:rPr/>
        <w:t>况。因此，本财务报表系在持续经营假设的基础上编制。</w:t>
      </w:r>
    </w:p>
    <w:p>
      <w:pPr>
        <w:spacing w:line="240" w:lineRule="auto" w:before="13"/>
        <w:rPr>
          <w:rFonts w:ascii="宋体" w:hAnsi="宋体" w:cs="宋体" w:eastAsia="宋体" w:hint="default"/>
          <w:sz w:val="22"/>
          <w:szCs w:val="22"/>
        </w:rPr>
      </w:pPr>
    </w:p>
    <w:p>
      <w:pPr>
        <w:pStyle w:val="Heading4"/>
        <w:spacing w:line="240" w:lineRule="auto"/>
        <w:ind w:right="0"/>
        <w:jc w:val="both"/>
        <w:rPr>
          <w:b w:val="0"/>
          <w:bCs w:val="0"/>
        </w:rPr>
      </w:pPr>
      <w:bookmarkStart w:name="五、重要会计政策及会计估计" w:id="162"/>
      <w:bookmarkEnd w:id="16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809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无</w:t>
      </w:r>
    </w:p>
    <w:p>
      <w:pPr>
        <w:spacing w:line="240" w:lineRule="auto" w:before="2"/>
        <w:rPr>
          <w:rFonts w:ascii="宋体" w:hAnsi="宋体" w:cs="宋体" w:eastAsia="宋体" w:hint="default"/>
          <w:sz w:val="20"/>
          <w:szCs w:val="20"/>
        </w:rPr>
      </w:pPr>
    </w:p>
    <w:p>
      <w:pPr>
        <w:pStyle w:val="Heading6"/>
        <w:spacing w:line="240" w:lineRule="auto"/>
        <w:ind w:left="154" w:right="0"/>
        <w:jc w:val="both"/>
        <w:rPr>
          <w:b w:val="0"/>
          <w:bCs w:val="0"/>
        </w:rPr>
      </w:pPr>
      <w:bookmarkStart w:name="1、遵循企业会计准则的声明" w:id="163"/>
      <w:bookmarkEnd w:id="16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034"/>
        <w:jc w:val="left"/>
      </w:pPr>
      <w:r>
        <w:rPr>
          <w:spacing w:val="-1"/>
        </w:rPr>
        <w:t>本公司所编制的财务报表符合企业会计准则的要求，真实、完整地反映了报告期公司的财务状况、经营成</w:t>
      </w:r>
      <w:r>
        <w:rPr>
          <w:spacing w:val="-83"/>
        </w:rPr>
        <w:t> </w:t>
      </w:r>
      <w:r>
        <w:rPr>
          <w:spacing w:val="-83"/>
        </w:rPr>
      </w:r>
      <w:r>
        <w:rPr/>
        <w:t>果、现金流量等有关信息。</w:t>
      </w:r>
    </w:p>
    <w:p>
      <w:pPr>
        <w:spacing w:line="240" w:lineRule="auto" w:before="8"/>
        <w:rPr>
          <w:rFonts w:ascii="宋体" w:hAnsi="宋体" w:cs="宋体" w:eastAsia="宋体" w:hint="default"/>
          <w:sz w:val="23"/>
          <w:szCs w:val="23"/>
        </w:rPr>
      </w:pPr>
    </w:p>
    <w:p>
      <w:pPr>
        <w:pStyle w:val="Heading6"/>
        <w:spacing w:line="240" w:lineRule="auto"/>
        <w:ind w:left="154" w:right="0"/>
        <w:jc w:val="both"/>
        <w:rPr>
          <w:b w:val="0"/>
          <w:bCs w:val="0"/>
        </w:rPr>
      </w:pPr>
      <w:bookmarkStart w:name="2、会计期间" w:id="164"/>
      <w:bookmarkEnd w:id="16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1034"/>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3、记账本位币" w:id="165"/>
      <w:bookmarkEnd w:id="165"/>
      <w:r>
        <w:rPr>
          <w:b w:val="0"/>
          <w:bCs w:val="0"/>
        </w:rPr>
      </w:r>
      <w:r>
        <w:rPr>
          <w:rFonts w:ascii="Times New Roman" w:hAnsi="Times New Roman" w:cs="Times New Roman" w:eastAsia="Times New Roman" w:hint="default"/>
        </w:rPr>
        <w:t>3</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034"/>
        <w:jc w:val="left"/>
      </w:pPr>
      <w:r>
        <w:rPr/>
        <w:t>采用人民币为记账本位币。</w:t>
      </w:r>
    </w:p>
    <w:p>
      <w:pPr>
        <w:spacing w:line="240" w:lineRule="auto" w:before="12"/>
        <w:rPr>
          <w:rFonts w:ascii="宋体" w:hAnsi="宋体" w:cs="宋体" w:eastAsia="宋体" w:hint="default"/>
          <w:sz w:val="25"/>
          <w:szCs w:val="25"/>
        </w:rPr>
      </w:pPr>
    </w:p>
    <w:p>
      <w:pPr>
        <w:pStyle w:val="Heading6"/>
        <w:spacing w:line="240" w:lineRule="auto"/>
        <w:ind w:right="1034"/>
        <w:jc w:val="left"/>
        <w:rPr>
          <w:b w:val="0"/>
          <w:bCs w:val="0"/>
        </w:rPr>
      </w:pPr>
      <w:bookmarkStart w:name="4、同一控制下和非同一控制下企业合并的会计处理方法" w:id="166"/>
      <w:bookmarkEnd w:id="166"/>
      <w:r>
        <w:rPr>
          <w:b w:val="0"/>
          <w:bCs w:val="0"/>
        </w:rPr>
      </w: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56" w:lineRule="auto"/>
        <w:ind w:right="1034"/>
        <w:jc w:val="left"/>
        <w:rPr>
          <w:b w:val="0"/>
          <w:bCs w:val="0"/>
        </w:rPr>
      </w:pPr>
      <w:r>
        <w:rPr>
          <w:rFonts w:ascii="Times New Roman" w:hAnsi="Times New Roman" w:cs="Times New Roman" w:eastAsia="Times New Roman" w:hint="default"/>
          <w:w w:val="95"/>
        </w:rPr>
        <w:t>1</w:t>
      </w:r>
      <w:r>
        <w:rPr>
          <w:w w:val="95"/>
        </w:rPr>
        <w:t>、分步实现企业合并过程中的各项交易的条款、条件以及经济影响符合以下一种或多种情况，将多次交</w:t>
      </w:r>
      <w:r>
        <w:rPr>
          <w:spacing w:val="67"/>
          <w:w w:val="95"/>
        </w:rPr>
        <w:t> </w:t>
      </w:r>
      <w:r>
        <w:rPr>
          <w:spacing w:val="67"/>
          <w:w w:val="95"/>
        </w:rPr>
      </w:r>
      <w:r>
        <w:rPr/>
        <w:t>易事项作为一揽子交易进行会计处理</w:t>
      </w:r>
      <w:r>
        <w:rPr>
          <w:b w:val="0"/>
          <w:bCs w:val="0"/>
        </w:rPr>
      </w:r>
    </w:p>
    <w:p>
      <w:pPr>
        <w:pStyle w:val="BodyText"/>
        <w:tabs>
          <w:tab w:pos="1414" w:val="left" w:leader="none"/>
        </w:tabs>
        <w:spacing w:line="240" w:lineRule="auto" w:before="22"/>
        <w:ind w:left="573" w:right="1034"/>
        <w:jc w:val="left"/>
      </w:pPr>
      <w:r>
        <w:rPr/>
        <w:t>（</w:t>
      </w:r>
      <w:r>
        <w:rPr>
          <w:rFonts w:ascii="Times New Roman" w:hAnsi="Times New Roman" w:cs="Times New Roman" w:eastAsia="Times New Roman" w:hint="default"/>
        </w:rPr>
        <w:t>1</w:t>
      </w:r>
      <w:r>
        <w:rPr/>
        <w:t>）</w:t>
        <w:tab/>
        <w:t>这些交易是同时或者在考虑了彼此影响的情况下订立的；</w:t>
      </w:r>
    </w:p>
    <w:p>
      <w:pPr>
        <w:pStyle w:val="BodyText"/>
        <w:tabs>
          <w:tab w:pos="1414" w:val="left" w:leader="none"/>
        </w:tabs>
        <w:spacing w:line="240" w:lineRule="auto" w:before="21"/>
        <w:ind w:left="573" w:right="1034"/>
        <w:jc w:val="left"/>
      </w:pPr>
      <w:r>
        <w:rPr/>
        <w:t>（</w:t>
      </w:r>
      <w:r>
        <w:rPr>
          <w:rFonts w:ascii="Times New Roman" w:hAnsi="Times New Roman" w:cs="Times New Roman" w:eastAsia="Times New Roman" w:hint="default"/>
        </w:rPr>
        <w:t>2</w:t>
      </w:r>
      <w:r>
        <w:rPr/>
        <w:t>）</w:t>
        <w:tab/>
        <w:t>这些交易整体才能达成一项完整的商业结果；</w:t>
      </w:r>
    </w:p>
    <w:p>
      <w:pPr>
        <w:pStyle w:val="BodyText"/>
        <w:tabs>
          <w:tab w:pos="1414" w:val="left" w:leader="none"/>
        </w:tabs>
        <w:spacing w:line="240" w:lineRule="auto" w:before="21"/>
        <w:ind w:left="573" w:right="1034"/>
        <w:jc w:val="left"/>
      </w:pPr>
      <w:r>
        <w:rPr/>
        <w:t>（</w:t>
      </w:r>
      <w:r>
        <w:rPr>
          <w:rFonts w:ascii="Times New Roman" w:hAnsi="Times New Roman" w:cs="Times New Roman" w:eastAsia="Times New Roman" w:hint="default"/>
        </w:rPr>
        <w:t>3</w:t>
      </w:r>
      <w:r>
        <w:rPr/>
        <w:t>）</w:t>
        <w:tab/>
        <w:t>一项交易的发生取决于其他至少一项交易的发生；</w:t>
      </w:r>
    </w:p>
    <w:p>
      <w:pPr>
        <w:pStyle w:val="BodyText"/>
        <w:tabs>
          <w:tab w:pos="1414" w:val="left" w:leader="none"/>
        </w:tabs>
        <w:spacing w:line="240" w:lineRule="auto" w:before="21"/>
        <w:ind w:left="573" w:right="1034"/>
        <w:jc w:val="left"/>
      </w:pPr>
      <w:r>
        <w:rPr/>
        <w:t>（</w:t>
      </w:r>
      <w:r>
        <w:rPr>
          <w:rFonts w:ascii="Times New Roman" w:hAnsi="Times New Roman" w:cs="Times New Roman" w:eastAsia="Times New Roman" w:hint="default"/>
        </w:rPr>
        <w:t>4</w:t>
      </w:r>
      <w:r>
        <w:rPr/>
        <w:t>）</w:t>
        <w:tab/>
        <w:t>一项交易单独看是不经济的，但是和其他交易一并考虑时是经济的。</w:t>
      </w:r>
    </w:p>
    <w:p>
      <w:pPr>
        <w:spacing w:line="256" w:lineRule="auto" w:before="21"/>
        <w:ind w:left="573"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本公司在企业合并中取得的资产和负债，按照合并日在被合并方资产、负债（包括最终控制方收购被</w:t>
      </w:r>
    </w:p>
    <w:p>
      <w:pPr>
        <w:pStyle w:val="BodyText"/>
        <w:spacing w:line="273" w:lineRule="auto" w:before="22"/>
        <w:ind w:right="1131"/>
        <w:jc w:val="both"/>
      </w:pPr>
      <w:r>
        <w:rPr>
          <w:spacing w:val="-1"/>
        </w:rPr>
        <w:t>合并方而形成的商誉）在最终控制方合并财务报表中的账面价值计量。在合并中取得的净资产账面价值与</w:t>
      </w:r>
      <w:r>
        <w:rPr>
          <w:spacing w:val="-81"/>
        </w:rPr>
        <w:t> </w:t>
      </w:r>
      <w:r>
        <w:rPr>
          <w:spacing w:val="-81"/>
        </w:rPr>
      </w:r>
      <w:r>
        <w:rPr>
          <w:spacing w:val="-1"/>
        </w:rPr>
        <w:t>支付的合并对价账面价值（或发行股份面值总额）的差额，调整资本公积中的股本溢价，资本公积中的股</w:t>
      </w:r>
      <w:r>
        <w:rPr>
          <w:spacing w:val="-86"/>
        </w:rPr>
        <w:t> </w:t>
      </w:r>
      <w:r>
        <w:rPr>
          <w:spacing w:val="-86"/>
        </w:rPr>
      </w:r>
      <w:r>
        <w:rPr/>
        <w:t>本溢价不足冲减的，调整留存收益。</w:t>
      </w:r>
    </w:p>
    <w:p>
      <w:pPr>
        <w:pStyle w:val="BodyText"/>
        <w:spacing w:line="273" w:lineRule="auto"/>
        <w:ind w:right="1034" w:firstLine="420"/>
        <w:jc w:val="left"/>
      </w:pPr>
      <w:r>
        <w:rPr>
          <w:spacing w:val="-1"/>
        </w:rPr>
        <w:t>如果存在或有对价并需要确认预计负债或资产，该预计负债或资产金额与后续或有对价结算金额的差</w:t>
      </w:r>
      <w:r>
        <w:rPr/>
        <w:t> 额，调整资本公积（资本溢价或股本溢价），资本公积不足的，调整留存收益。</w:t>
      </w:r>
    </w:p>
    <w:p>
      <w:pPr>
        <w:pStyle w:val="BodyText"/>
        <w:spacing w:line="273" w:lineRule="auto"/>
        <w:ind w:right="1110" w:firstLine="420"/>
        <w:jc w:val="both"/>
      </w:pPr>
      <w:r>
        <w:rPr>
          <w:spacing w:val="-1"/>
        </w:rPr>
        <w:t>对于通过多次交易最终实现企业合并的，属于一揽子交易的，将各项交易作为一项取得控制权的交易</w:t>
      </w:r>
      <w:r>
        <w:rPr/>
        <w:t> </w:t>
      </w:r>
      <w:r>
        <w:rPr>
          <w:spacing w:val="-1"/>
        </w:rPr>
        <w:t>进行会计处理；不属于一揽子交易的，在取得控制权日，长期股权投资初始投资成本，与达到合并前的长</w:t>
      </w:r>
      <w:r>
        <w:rPr>
          <w:spacing w:val="-86"/>
        </w:rPr>
        <w:t> </w:t>
      </w:r>
      <w:r>
        <w:rPr>
          <w:spacing w:val="-86"/>
        </w:rPr>
      </w:r>
      <w:r>
        <w:rPr>
          <w:spacing w:val="-1"/>
        </w:rPr>
        <w:t>期股权投资账面价值加上合并日进一步取得股份新支付对价的账面价值之和的差额，调整资本公积；资本</w:t>
      </w:r>
      <w:r>
        <w:rPr>
          <w:spacing w:val="-81"/>
        </w:rPr>
        <w:t> </w:t>
      </w:r>
      <w:r>
        <w:rPr>
          <w:spacing w:val="-81"/>
        </w:rPr>
      </w:r>
      <w:r>
        <w:rPr>
          <w:spacing w:val="-1"/>
        </w:rPr>
        <w:t>公积不足冲减的，调整留存收益。对于合并日之前持有的股权投资，因采用权益法核算或金融工具确认和</w:t>
      </w:r>
      <w:r>
        <w:rPr>
          <w:spacing w:val="-83"/>
        </w:rPr>
        <w:t> </w:t>
      </w:r>
      <w:r>
        <w:rPr>
          <w:spacing w:val="-83"/>
        </w:rPr>
      </w:r>
      <w:r>
        <w:rPr>
          <w:spacing w:val="-1"/>
        </w:rPr>
        <w:t>计量准则核算而确认的其他综合收益，暂不进行会计处理，直至处置该项投资时采用与被投资单位直接处</w:t>
      </w:r>
      <w:r>
        <w:rPr>
          <w:spacing w:val="-81"/>
        </w:rPr>
        <w:t> </w:t>
      </w:r>
      <w:r>
        <w:rPr>
          <w:spacing w:val="-81"/>
        </w:rPr>
      </w:r>
      <w:r>
        <w:rPr/>
        <w:t>置相关资产或负债相同的基础进行会计处理；因采用权益法核算而确认的被投资单位净资产中除净损益、 </w:t>
      </w:r>
      <w:r>
        <w:rPr>
          <w:spacing w:val="-1"/>
        </w:rPr>
        <w:t>其他综合收益和利润分配以外的所有者权益其他变动，暂不进行会计处理，直至处置该项投资时转入当期</w:t>
      </w:r>
      <w:r>
        <w:rPr>
          <w:spacing w:val="-81"/>
        </w:rPr>
        <w:t> </w:t>
      </w:r>
      <w:r>
        <w:rPr>
          <w:spacing w:val="-81"/>
        </w:rPr>
      </w:r>
      <w:r>
        <w:rPr/>
        <w:t>损益。</w:t>
      </w:r>
    </w:p>
    <w:p>
      <w:pPr>
        <w:spacing w:line="256" w:lineRule="auto" w:before="7"/>
        <w:ind w:left="574"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本公司在购买日对作为企业合并对价付出的资产、发生或承担的负债按照公允价值计量，公允价值与</w:t>
      </w:r>
    </w:p>
    <w:p>
      <w:pPr>
        <w:pStyle w:val="BodyText"/>
        <w:spacing w:line="273" w:lineRule="auto" w:before="22"/>
        <w:ind w:left="574" w:right="1034" w:hanging="420"/>
        <w:jc w:val="left"/>
      </w:pPr>
      <w:r>
        <w:rPr/>
        <w:t>其账面价值的差额，计入当期损益。 </w:t>
      </w:r>
      <w:r>
        <w:rPr>
          <w:spacing w:val="-1"/>
        </w:rPr>
        <w:t>本公司对合并成本大于合并中取得的被购买方可辨认净资产公允价值份额的差额，确认为商誉；合并</w:t>
      </w:r>
    </w:p>
    <w:p>
      <w:pPr>
        <w:pStyle w:val="BodyText"/>
        <w:spacing w:line="273" w:lineRule="auto"/>
        <w:ind w:left="573" w:right="1034" w:hanging="420"/>
        <w:jc w:val="left"/>
      </w:pPr>
      <w:r>
        <w:rPr/>
        <w:t>成本小于合并中取得的被购买方可辨认净资产公允价值份额的差额，经复核后，计入当期损益。 </w:t>
      </w:r>
      <w:r>
        <w:rPr>
          <w:spacing w:val="-1"/>
        </w:rPr>
        <w:t>通过多次交换交易分步实现的非同一控制下企业合并，属于一揽子交易的，将各项交易作为一项取得</w:t>
      </w:r>
    </w:p>
    <w:p>
      <w:pPr>
        <w:pStyle w:val="BodyText"/>
        <w:spacing w:line="273" w:lineRule="auto"/>
        <w:ind w:left="154" w:right="1034"/>
        <w:jc w:val="left"/>
      </w:pPr>
      <w:r>
        <w:rPr>
          <w:spacing w:val="-1"/>
        </w:rPr>
        <w:t>控制权的交易进行会计处理；不属于一揽子交易的，合并日之前持有的股权投资采用权益法核算的，以购</w:t>
      </w:r>
      <w:r>
        <w:rPr>
          <w:spacing w:val="-83"/>
        </w:rPr>
        <w:t> </w:t>
      </w:r>
      <w:r>
        <w:rPr>
          <w:spacing w:val="-83"/>
        </w:rPr>
      </w:r>
      <w:r>
        <w:rPr/>
        <w:t>买日之前所持被购买方的股权投资的账面价值与购买日新增投资成本之和，作为该项投资的初始投资成 </w:t>
      </w:r>
      <w:r>
        <w:rPr>
          <w:spacing w:val="-1"/>
        </w:rPr>
        <w:t>本；购买日之前持有的股权投资因采用权益法核算而确认的其他综合收益，在处置该项投资时采用与被投</w:t>
      </w:r>
      <w:r>
        <w:rPr>
          <w:spacing w:val="-81"/>
        </w:rPr>
        <w:t> </w:t>
      </w:r>
      <w:r>
        <w:rPr>
          <w:spacing w:val="-81"/>
        </w:rPr>
      </w:r>
      <w:r>
        <w:rPr>
          <w:spacing w:val="-1"/>
        </w:rPr>
        <w:t>资单位直接处置相关资产或负债相同的基础进行会计处理。合并日之前持有的股权投资采用金融工具确认</w:t>
      </w:r>
      <w:r>
        <w:rPr>
          <w:spacing w:val="-81"/>
        </w:rPr>
        <w:t> </w:t>
      </w:r>
      <w:r>
        <w:rPr>
          <w:spacing w:val="-81"/>
        </w:rPr>
      </w:r>
      <w:r>
        <w:rPr>
          <w:spacing w:val="-1"/>
        </w:rPr>
        <w:t>和计量准则核算的，以该股权投资在合并日的公允价值加上新增投资成本之和，作为合并日的初始投资成</w:t>
      </w:r>
      <w:r>
        <w:rPr>
          <w:spacing w:val="-81"/>
        </w:rPr>
        <w:t> </w:t>
      </w:r>
      <w:r>
        <w:rPr>
          <w:spacing w:val="-81"/>
        </w:rPr>
      </w:r>
      <w:r>
        <w:rPr>
          <w:spacing w:val="-1"/>
        </w:rPr>
        <w:t>本。原持有股权的公允价值与账面价值之间的差额以及原计入其他综合收益的累计公允价值变动应全部转</w:t>
      </w:r>
      <w:r>
        <w:rPr>
          <w:spacing w:val="-81"/>
        </w:rPr>
        <w:t> </w:t>
      </w:r>
      <w:r>
        <w:rPr>
          <w:spacing w:val="-81"/>
        </w:rPr>
      </w:r>
      <w:r>
        <w:rPr/>
        <w:t>入合并日当期的投资收益。</w:t>
      </w:r>
    </w:p>
    <w:p>
      <w:pPr>
        <w:spacing w:line="256" w:lineRule="auto" w:before="8"/>
        <w:ind w:left="574"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w w:val="99"/>
          <w:sz w:val="21"/>
          <w:szCs w:val="21"/>
        </w:rPr>
        <w:t> </w:t>
      </w:r>
      <w:r>
        <w:rPr>
          <w:rFonts w:ascii="宋体" w:hAnsi="宋体" w:cs="宋体" w:eastAsia="宋体" w:hint="default"/>
          <w:spacing w:val="-1"/>
          <w:sz w:val="21"/>
          <w:szCs w:val="21"/>
        </w:rPr>
        <w:t>为企业合并发生的审计、法律服务、评估咨询等中介费用以及其他直接相关费用，于发生时计入当期</w:t>
      </w:r>
    </w:p>
    <w:p>
      <w:pPr>
        <w:pStyle w:val="BodyText"/>
        <w:spacing w:line="240" w:lineRule="auto" w:before="22"/>
        <w:ind w:left="154" w:right="1034"/>
        <w:jc w:val="left"/>
      </w:pPr>
      <w:r>
        <w:rPr/>
        <w:t>损益；为企业合并而发行权益性证券的交易费用，可直接归属于权益性交易的从权益中扣减。</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5、合并财务报表的编制方法" w:id="167"/>
      <w:bookmarkEnd w:id="167"/>
      <w:r>
        <w:rPr>
          <w:b w:val="0"/>
          <w:bCs w:val="0"/>
        </w:rPr>
      </w:r>
      <w:r>
        <w:rPr>
          <w:rFonts w:ascii="Times New Roman" w:hAnsi="Times New Roman" w:cs="Times New Roman" w:eastAsia="Times New Roman" w:hint="default"/>
        </w:rPr>
        <w:t>5</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034"/>
        <w:jc w:val="left"/>
        <w:rPr>
          <w:b w:val="0"/>
          <w:bCs w:val="0"/>
        </w:rPr>
      </w:pPr>
      <w:r>
        <w:rPr>
          <w:rFonts w:ascii="Times New Roman" w:hAnsi="Times New Roman" w:cs="Times New Roman" w:eastAsia="Times New Roman" w:hint="default"/>
        </w:rPr>
        <w:t>1</w:t>
      </w:r>
      <w:r>
        <w:rPr/>
        <w:t>、合并范围</w:t>
      </w:r>
      <w:r>
        <w:rPr>
          <w:b w:val="0"/>
          <w:bCs w:val="0"/>
        </w:rPr>
      </w:r>
    </w:p>
    <w:p>
      <w:pPr>
        <w:pStyle w:val="BodyText"/>
        <w:spacing w:line="273" w:lineRule="auto" w:before="21"/>
        <w:ind w:right="1131" w:firstLine="420"/>
        <w:jc w:val="both"/>
      </w:pPr>
      <w:r>
        <w:rPr>
          <w:spacing w:val="-1"/>
        </w:rPr>
        <w:t>本公司合并财务报表的合并范围以控制为基础确定，所有子公司（包括本公司所控制的单独主体）均</w:t>
      </w:r>
      <w:r>
        <w:rPr/>
        <w:t> 纳入合并财务报表。</w:t>
      </w:r>
    </w:p>
    <w:p>
      <w:pPr>
        <w:pStyle w:val="Heading6"/>
        <w:spacing w:line="240" w:lineRule="auto" w:before="7"/>
        <w:ind w:right="1034"/>
        <w:jc w:val="left"/>
        <w:rPr>
          <w:b w:val="0"/>
          <w:bCs w:val="0"/>
        </w:rPr>
      </w:pPr>
      <w:r>
        <w:rPr>
          <w:rFonts w:ascii="Times New Roman" w:hAnsi="Times New Roman" w:cs="Times New Roman" w:eastAsia="Times New Roman" w:hint="default"/>
        </w:rPr>
        <w:t>2</w:t>
      </w:r>
      <w:r>
        <w:rPr/>
        <w:t>、合并程序</w:t>
      </w:r>
      <w:r>
        <w:rPr>
          <w:b w:val="0"/>
          <w:bCs w:val="0"/>
        </w:rPr>
      </w:r>
    </w:p>
    <w:p>
      <w:pPr>
        <w:pStyle w:val="BodyText"/>
        <w:spacing w:line="273" w:lineRule="auto" w:before="21"/>
        <w:ind w:right="1131" w:firstLine="420"/>
        <w:jc w:val="both"/>
      </w:pPr>
      <w:r>
        <w:rPr>
          <w:spacing w:val="-1"/>
        </w:rPr>
        <w:t>本公司以自身和各子公司的财务报表为基础，根据其他有关资料，编制合并财务报表。本公司编制合</w:t>
      </w:r>
      <w:r>
        <w:rPr/>
        <w:t> </w:t>
      </w: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BodyText"/>
        <w:spacing w:line="273" w:lineRule="auto"/>
        <w:ind w:right="1131"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t>必要的调整。</w:t>
      </w:r>
    </w:p>
    <w:p>
      <w:pPr>
        <w:pStyle w:val="BodyText"/>
        <w:spacing w:line="273" w:lineRule="auto"/>
        <w:ind w:right="1130" w:firstLine="420"/>
        <w:jc w:val="both"/>
      </w:pPr>
      <w:r>
        <w:rPr>
          <w:spacing w:val="-1"/>
        </w:rPr>
        <w:t>合并财务报表时抵销本公司与各子公司、各子公司相互之间发生的内部交易对合并资产负债表、合并</w:t>
      </w:r>
      <w:r>
        <w:rPr/>
        <w:t> </w:t>
      </w:r>
      <w:r>
        <w:rPr>
          <w:spacing w:val="-1"/>
        </w:rPr>
        <w:t>利润表、合并现金流量表、合并股东权益变动表的影响。如果站在企业集团合并财务报表角度与以本公司</w:t>
      </w:r>
      <w:r>
        <w:rPr>
          <w:spacing w:val="-82"/>
        </w:rPr>
        <w:t> </w:t>
      </w:r>
      <w:r>
        <w:rPr>
          <w:spacing w:val="-82"/>
        </w:rPr>
      </w:r>
      <w:r>
        <w:rPr/>
        <w:t>或子公司为会计主体对同一交易的认定不同时，从企业集团的角度对该交易予以调整。</w:t>
      </w:r>
    </w:p>
    <w:p>
      <w:pPr>
        <w:pStyle w:val="BodyText"/>
        <w:spacing w:line="273" w:lineRule="auto"/>
        <w:ind w:right="113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273" w:lineRule="auto"/>
        <w:ind w:right="1131" w:firstLine="420"/>
        <w:jc w:val="both"/>
      </w:pPr>
      <w:r>
        <w:rPr>
          <w:spacing w:val="-1"/>
        </w:rPr>
        <w:t>对于同一控制下企业合并取得的子公司，以其资产、负债（包括最终控制方收购该子公司而形成的商</w:t>
      </w:r>
      <w:r>
        <w:rPr/>
        <w:t> 誉）在最终控制方财务报表中的账面价值为基础对其财务报表进行调整。</w:t>
      </w:r>
    </w:p>
    <w:p>
      <w:pPr>
        <w:pStyle w:val="BodyText"/>
        <w:spacing w:line="273" w:lineRule="auto"/>
        <w:ind w:right="1132" w:firstLine="420"/>
        <w:jc w:val="both"/>
      </w:pPr>
      <w:r>
        <w:rPr>
          <w:spacing w:val="-1"/>
        </w:rPr>
        <w:t>对于非同一控制下企业合并取得的子公司，以购买日可辨认净资产公允价值为基础对其财务报表进行</w:t>
      </w:r>
      <w:r>
        <w:rPr/>
        <w:t> 调整</w:t>
      </w:r>
    </w:p>
    <w:p>
      <w:pPr>
        <w:pStyle w:val="BodyText"/>
        <w:spacing w:line="256" w:lineRule="auto" w:before="8"/>
        <w:ind w:left="574" w:right="1034" w:hanging="42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273" w:lineRule="auto" w:before="22"/>
        <w:ind w:left="154"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273" w:lineRule="auto"/>
        <w:ind w:left="154" w:right="1130"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273" w:lineRule="auto"/>
        <w:ind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273" w:lineRule="auto"/>
        <w:ind w:right="1131"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right="1034"/>
        <w:jc w:val="left"/>
      </w:pPr>
      <w:r>
        <w:rPr/>
        <w:t>（</w:t>
      </w:r>
      <w:r>
        <w:rPr>
          <w:rFonts w:ascii="Times New Roman" w:hAnsi="Times New Roman" w:cs="Times New Roman" w:eastAsia="Times New Roman" w:hint="default"/>
        </w:rPr>
        <w:t>2</w:t>
      </w:r>
      <w:r>
        <w:rPr/>
        <w:t>）处置子公司或业务</w:t>
      </w:r>
    </w:p>
    <w:p>
      <w:pPr>
        <w:pStyle w:val="BodyText"/>
        <w:spacing w:line="256" w:lineRule="auto" w:before="21"/>
        <w:ind w:left="574" w:right="1034"/>
        <w:jc w:val="left"/>
      </w:pPr>
      <w:r>
        <w:rPr>
          <w:rFonts w:ascii="Times New Roman" w:hAnsi="Times New Roman" w:cs="Times New Roman" w:eastAsia="Times New Roman" w:hint="default"/>
        </w:rPr>
        <w:t>1</w:t>
      </w:r>
      <w:r>
        <w:rPr/>
        <w:t>）一般处理方法 </w:t>
      </w:r>
      <w:r>
        <w:rPr>
          <w:spacing w:val="-1"/>
        </w:rPr>
        <w:t>在报告期内，本公司处置子公司或业务，则该子公司或业务期初至处置日的收入、费用、利润纳入合</w:t>
      </w:r>
    </w:p>
    <w:p>
      <w:pPr>
        <w:pStyle w:val="BodyText"/>
        <w:spacing w:line="273" w:lineRule="auto" w:before="22"/>
        <w:ind w:left="573" w:right="1034" w:hanging="420"/>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256" w:lineRule="auto"/>
        <w:ind w:left="573" w:right="1034"/>
        <w:jc w:val="left"/>
      </w:pPr>
      <w:r>
        <w:rPr>
          <w:rFonts w:ascii="Times New Roman" w:hAnsi="Times New Roman" w:cs="Times New Roman" w:eastAsia="Times New Roman" w:hint="default"/>
        </w:rPr>
        <w:t>2</w:t>
      </w:r>
      <w:r>
        <w:rPr/>
        <w:t>）分步处置子公司 </w:t>
      </w:r>
      <w:r>
        <w:rPr>
          <w:spacing w:val="-1"/>
        </w:rPr>
        <w:t>通过多次交易分步处置对子公司股权投资直至丧失控制权的，处置对子公司股权投资的各项交易的条</w:t>
      </w:r>
    </w:p>
    <w:p>
      <w:pPr>
        <w:pStyle w:val="BodyText"/>
        <w:spacing w:line="273" w:lineRule="auto" w:before="22"/>
        <w:ind w:right="1034"/>
        <w:jc w:val="left"/>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256" w:lineRule="auto"/>
        <w:ind w:left="573" w:right="3829"/>
        <w:jc w:val="left"/>
      </w:pP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273" w:lineRule="auto" w:before="5"/>
        <w:ind w:right="1131" w:firstLine="420"/>
        <w:jc w:val="both"/>
      </w:pPr>
      <w:r>
        <w:rPr>
          <w:spacing w:val="-1"/>
        </w:rPr>
        <w:t>处置对子公司股权投资直至丧失控制权的各项交易属于一揽子交易的，本公司将各项交易作为一项处</w:t>
      </w:r>
      <w:r>
        <w:rPr/>
        <w:t> </w:t>
      </w: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273" w:lineRule="auto"/>
        <w:ind w:right="113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256" w:lineRule="auto"/>
        <w:ind w:left="574" w:right="1034" w:hanging="420"/>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w:t>
      </w:r>
    </w:p>
    <w:p>
      <w:pPr>
        <w:pStyle w:val="BodyText"/>
        <w:spacing w:line="273" w:lineRule="auto" w:before="23"/>
        <w:ind w:left="154" w:right="1034"/>
        <w:jc w:val="left"/>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256" w:lineRule="auto"/>
        <w:ind w:left="573" w:right="1303" w:hanging="42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w:t>
      </w:r>
    </w:p>
    <w:p>
      <w:pPr>
        <w:pStyle w:val="BodyText"/>
        <w:spacing w:line="273" w:lineRule="auto" w:before="22"/>
        <w:ind w:right="1034"/>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8"/>
        <w:rPr>
          <w:rFonts w:ascii="宋体" w:hAnsi="宋体" w:cs="宋体" w:eastAsia="宋体" w:hint="default"/>
          <w:sz w:val="23"/>
          <w:szCs w:val="23"/>
        </w:rPr>
      </w:pPr>
    </w:p>
    <w:p>
      <w:pPr>
        <w:pStyle w:val="Heading6"/>
        <w:spacing w:line="240" w:lineRule="auto"/>
        <w:ind w:right="1034"/>
        <w:jc w:val="left"/>
        <w:rPr>
          <w:b w:val="0"/>
          <w:bCs w:val="0"/>
        </w:rPr>
      </w:pPr>
      <w:bookmarkStart w:name="6、合营安排分类及共同经营会计处理方法" w:id="168"/>
      <w:bookmarkEnd w:id="168"/>
      <w:r>
        <w:rPr>
          <w:b w:val="0"/>
          <w:bCs w:val="0"/>
        </w:rPr>
      </w:r>
      <w:r>
        <w:rPr>
          <w:rFonts w:ascii="Times New Roman" w:hAnsi="Times New Roman" w:cs="Times New Roman" w:eastAsia="Times New Roman" w:hint="default"/>
        </w:rPr>
        <w:t>6</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1034" w:hanging="420"/>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spacing w:val="-1"/>
        </w:rPr>
        <w:t>本公司根据合营安排的结构、法律形式以及合营安排中约定的条款、其他相关事实和情况等因素，将</w:t>
      </w:r>
    </w:p>
    <w:p>
      <w:pPr>
        <w:pStyle w:val="BodyText"/>
        <w:spacing w:line="273" w:lineRule="auto" w:before="22"/>
        <w:ind w:left="573" w:right="1034" w:hanging="420"/>
        <w:jc w:val="left"/>
      </w:pPr>
      <w:r>
        <w:rPr/>
        <w:t>合营安排分为共同经营和合营企业。 </w:t>
      </w:r>
      <w:r>
        <w:rPr>
          <w:spacing w:val="-1"/>
        </w:rPr>
        <w:t>未通过单独主体达成的合营安排，划分为共同经营；通过单独主体达成的合营安排，通常划分为合营</w:t>
      </w:r>
    </w:p>
    <w:p>
      <w:pPr>
        <w:pStyle w:val="BodyText"/>
        <w:spacing w:line="240" w:lineRule="auto"/>
        <w:ind w:right="1034"/>
        <w:jc w:val="left"/>
      </w:pPr>
      <w:r>
        <w:rPr/>
        <w:t>企业；但有确凿证据表明满足下列任一条件并且符合相关法律法规规定的合营安排划分为共同经营：</w:t>
      </w:r>
    </w:p>
    <w:p>
      <w:pPr>
        <w:pStyle w:val="BodyText"/>
        <w:spacing w:line="240" w:lineRule="auto" w:before="37"/>
        <w:ind w:right="1034"/>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21"/>
        <w:ind w:left="154" w:right="1034"/>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266" w:lineRule="auto" w:before="21"/>
        <w:ind w:right="1198"/>
        <w:jc w:val="left"/>
        <w:rPr>
          <w:rFonts w:ascii="宋体" w:hAnsi="宋体" w:cs="宋体" w:eastAsia="宋体" w:hint="default"/>
        </w:rPr>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 方享有与合营安排相关的几乎所有产出，并且该安排中负债的清偿持续依赖于合营方的支持。 </w:t>
      </w:r>
      <w:r>
        <w:rPr>
          <w:rFonts w:ascii="Times New Roman" w:hAnsi="Times New Roman" w:cs="Times New Roman" w:eastAsia="Times New Roman" w:hint="default"/>
          <w:b/>
          <w:bCs/>
        </w:rPr>
        <w:t>2</w:t>
      </w:r>
      <w:r>
        <w:rPr>
          <w:rFonts w:ascii="宋体" w:hAnsi="宋体" w:cs="宋体" w:eastAsia="宋体" w:hint="default"/>
          <w:b/>
          <w:bCs/>
        </w:rPr>
        <w:t>、共同经营会计处理方法</w:t>
      </w:r>
      <w:r>
        <w:rPr>
          <w:rFonts w:ascii="宋体" w:hAnsi="宋体" w:cs="宋体" w:eastAsia="宋体" w:hint="default"/>
        </w:rPr>
      </w:r>
    </w:p>
    <w:p>
      <w:pPr>
        <w:pStyle w:val="BodyText"/>
        <w:spacing w:line="273" w:lineRule="auto" w:before="0"/>
        <w:ind w:right="1132" w:firstLine="420"/>
        <w:jc w:val="both"/>
      </w:pPr>
      <w:r>
        <w:rPr>
          <w:spacing w:val="-1"/>
        </w:rPr>
        <w:t>本公司确认共同经营中利益份额中与本公司相关的下列项目，并按照相关企业会计准则的规定进行会</w:t>
      </w:r>
      <w:r>
        <w:rPr/>
        <w:t> 计处理：</w:t>
      </w:r>
    </w:p>
    <w:p>
      <w:pPr>
        <w:pStyle w:val="BodyText"/>
        <w:spacing w:line="240" w:lineRule="auto"/>
        <w:ind w:right="1034"/>
        <w:jc w:val="left"/>
      </w:pPr>
      <w:r>
        <w:rPr/>
        <w:t>（</w:t>
      </w:r>
      <w:r>
        <w:rPr>
          <w:rFonts w:ascii="Times New Roman" w:hAnsi="Times New Roman" w:cs="Times New Roman" w:eastAsia="Times New Roman" w:hint="default"/>
        </w:rPr>
        <w:t>1</w:t>
      </w:r>
      <w:r>
        <w:rPr/>
        <w:t>）确认单独所持有的资产，以及按其份额确认共同持有的资产；</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034"/>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21"/>
        <w:ind w:left="154" w:right="1034"/>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21"/>
        <w:ind w:right="1034"/>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256" w:lineRule="auto" w:before="21"/>
        <w:ind w:left="574" w:right="1034" w:hanging="420"/>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1"/>
        </w:rPr>
        <w:t>本公司向共同经营投出或出售资产等（该资产构成业务的除外），在该资产等由共同经营出售给第三</w:t>
      </w:r>
    </w:p>
    <w:p>
      <w:pPr>
        <w:pStyle w:val="BodyText"/>
        <w:spacing w:line="273" w:lineRule="auto" w:before="22"/>
        <w:ind w:left="154" w:right="1117"/>
        <w:jc w:val="left"/>
      </w:pPr>
      <w:r>
        <w:rPr>
          <w:spacing w:val="-5"/>
        </w:rPr>
        <w:t>方之前，仅确认因该交易产生的损益中归属于共同经营其他参与方的部分。投出或出售的资产发生符合《企</w:t>
      </w:r>
      <w:r>
        <w:rPr>
          <w:spacing w:val="-101"/>
        </w:rPr>
        <w:t> </w:t>
      </w:r>
      <w:r>
        <w:rPr>
          <w:spacing w:val="-101"/>
        </w:rPr>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资产减值》等规定的资产减值损失的，本公司全额确认该损失。</w:t>
      </w:r>
    </w:p>
    <w:p>
      <w:pPr>
        <w:pStyle w:val="BodyText"/>
        <w:spacing w:line="264" w:lineRule="auto" w:before="0"/>
        <w:ind w:right="1130" w:firstLine="420"/>
        <w:jc w:val="both"/>
      </w:pPr>
      <w:r>
        <w:rPr>
          <w:spacing w:val="-1"/>
        </w:rPr>
        <w:t>本公司自共同经营购买资产等（该资产构成业务的除外），在将该资产等出售给第三方之前，仅确认</w:t>
      </w:r>
      <w:r>
        <w:rPr/>
        <w:t> </w:t>
      </w:r>
      <w:r>
        <w:rPr>
          <w:spacing w:val="-3"/>
        </w:rPr>
        <w:t>因该交易产生的损益中归属于共同经营其他参与方的部分。购入的资产发生符合《企业会计准则第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0"/>
        </w:rPr>
        <w:t> </w:t>
      </w:r>
      <w:r>
        <w:rPr/>
        <w:t>资产减值》等规定的资产减值损失的，本公司按承担的份额确认该部分损失。</w:t>
      </w:r>
    </w:p>
    <w:p>
      <w:pPr>
        <w:pStyle w:val="BodyText"/>
        <w:spacing w:line="273" w:lineRule="auto" w:before="16"/>
        <w:ind w:right="1132" w:firstLine="420"/>
        <w:jc w:val="both"/>
      </w:pPr>
      <w:r>
        <w:rPr>
          <w:spacing w:val="-1"/>
        </w:rPr>
        <w:t>本公司对共同经营不享有共同控制，如果本公司享有该共同经营相关资产且承担该共同经营相关负债</w:t>
      </w:r>
      <w:r>
        <w:rPr/>
        <w:t> 的，仍按上述原则进行会计处理，否则，应当按照相关企业会计准则的规定进行会计处理。</w:t>
      </w:r>
    </w:p>
    <w:p>
      <w:pPr>
        <w:spacing w:line="240" w:lineRule="auto" w:before="8"/>
        <w:rPr>
          <w:rFonts w:ascii="宋体" w:hAnsi="宋体" w:cs="宋体" w:eastAsia="宋体" w:hint="default"/>
          <w:sz w:val="24"/>
          <w:szCs w:val="24"/>
        </w:rPr>
      </w:pPr>
    </w:p>
    <w:p>
      <w:pPr>
        <w:spacing w:line="590" w:lineRule="atLeast" w:before="0"/>
        <w:ind w:left="573" w:right="1034" w:hanging="420"/>
        <w:jc w:val="left"/>
        <w:rPr>
          <w:rFonts w:ascii="宋体" w:hAnsi="宋体" w:cs="宋体" w:eastAsia="宋体" w:hint="default"/>
          <w:sz w:val="21"/>
          <w:szCs w:val="21"/>
        </w:rPr>
      </w:pPr>
      <w:bookmarkStart w:name="7、现金及现金等价物的确定标准" w:id="169"/>
      <w:bookmarkEnd w:id="16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pStyle w:val="BodyText"/>
        <w:spacing w:line="273" w:lineRule="auto" w:before="37"/>
        <w:ind w:right="1034"/>
        <w:jc w:val="left"/>
      </w:pPr>
      <w:r>
        <w:rPr>
          <w:spacing w:val="-1"/>
        </w:rPr>
        <w:t>短（一般从购买日起，三个月内到期）、流动性强、易于转换为已知金额的现金、价值变动风险很小四个</w:t>
      </w:r>
      <w:r>
        <w:rPr>
          <w:spacing w:val="-82"/>
        </w:rPr>
        <w:t> </w:t>
      </w:r>
      <w:r>
        <w:rPr>
          <w:spacing w:val="-82"/>
        </w:rPr>
      </w:r>
      <w:r>
        <w:rPr/>
        <w:t>条件的投资，确定为现金等价物。</w:t>
      </w:r>
    </w:p>
    <w:p>
      <w:pPr>
        <w:spacing w:line="240" w:lineRule="auto" w:before="8"/>
        <w:rPr>
          <w:rFonts w:ascii="宋体" w:hAnsi="宋体" w:cs="宋体" w:eastAsia="宋体" w:hint="default"/>
          <w:sz w:val="23"/>
          <w:szCs w:val="23"/>
        </w:rPr>
      </w:pPr>
    </w:p>
    <w:p>
      <w:pPr>
        <w:pStyle w:val="Heading6"/>
        <w:spacing w:line="240" w:lineRule="auto"/>
        <w:ind w:right="1034"/>
        <w:jc w:val="left"/>
        <w:rPr>
          <w:b w:val="0"/>
          <w:bCs w:val="0"/>
        </w:rPr>
      </w:pPr>
      <w:bookmarkStart w:name="8、外币业务和外币报表折算" w:id="170"/>
      <w:bookmarkEnd w:id="170"/>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r>
        <w:rPr>
          <w:rFonts w:ascii="Times New Roman" w:hAnsi="Times New Roman" w:cs="Times New Roman" w:eastAsia="Times New Roman" w:hint="default"/>
        </w:rPr>
        <w:t>1</w:t>
      </w:r>
      <w:r>
        <w:rPr/>
        <w:t>、外币业务</w:t>
      </w:r>
      <w:r>
        <w:rPr>
          <w:b w:val="0"/>
          <w:bCs w:val="0"/>
        </w:rPr>
      </w:r>
    </w:p>
    <w:p>
      <w:pPr>
        <w:pStyle w:val="BodyText"/>
        <w:spacing w:line="273" w:lineRule="auto" w:before="21"/>
        <w:ind w:left="573" w:right="1034"/>
        <w:jc w:val="left"/>
      </w:pPr>
      <w:r>
        <w:rPr/>
        <w:t>外币业务交易在初始确认时，采用交易发生日的即期汇率作为折算汇率折合成人民币记账。 </w:t>
      </w:r>
      <w:r>
        <w:rPr>
          <w:spacing w:val="-1"/>
        </w:rPr>
        <w:t>资产负债表日，外币货币性项目按资产负债表日即期汇率折算，由此产生的汇兑差额，除属于与购建</w:t>
      </w:r>
    </w:p>
    <w:p>
      <w:pPr>
        <w:pStyle w:val="BodyText"/>
        <w:spacing w:line="273" w:lineRule="auto"/>
        <w:ind w:right="1131"/>
        <w:jc w:val="both"/>
      </w:pPr>
      <w:r>
        <w:rPr>
          <w:spacing w:val="-1"/>
        </w:rPr>
        <w:t>符合资本化条件的资产相关的外币专门借款产生的汇兑差额按照借款费用资本化的原则处理外，均计入当</w:t>
      </w:r>
      <w:r>
        <w:rPr>
          <w:spacing w:val="-81"/>
        </w:rPr>
        <w:t> </w:t>
      </w:r>
      <w:r>
        <w:rPr>
          <w:spacing w:val="-81"/>
        </w:rPr>
      </w:r>
      <w:r>
        <w:rPr>
          <w:spacing w:val="-1"/>
        </w:rPr>
        <w:t>期损益。以历史成本计量的外币非货币性项目，仍采用交易发生日的即期汇率折算，不改变其记账本位币</w:t>
      </w:r>
      <w:r>
        <w:rPr>
          <w:spacing w:val="-83"/>
        </w:rPr>
        <w:t> </w:t>
      </w:r>
      <w:r>
        <w:rPr>
          <w:spacing w:val="-83"/>
        </w:rPr>
      </w:r>
      <w:r>
        <w:rPr/>
        <w:t>金额。</w:t>
      </w:r>
    </w:p>
    <w:p>
      <w:pPr>
        <w:pStyle w:val="BodyText"/>
        <w:spacing w:line="273" w:lineRule="auto"/>
        <w:ind w:right="1131" w:firstLine="420"/>
        <w:jc w:val="both"/>
      </w:pPr>
      <w:r>
        <w:rPr>
          <w:spacing w:val="-1"/>
        </w:rPr>
        <w:t>以公允价值计量的外币非货币性项目，采用公允价值确定日的即期汇率折算，由此产生的汇兑差额作</w:t>
      </w:r>
      <w:r>
        <w:rPr/>
        <w:t> </w:t>
      </w:r>
      <w:r>
        <w:rPr>
          <w:spacing w:val="-1"/>
        </w:rPr>
        <w:t>为公允价值变动损益计入当期损益。如属于可供出售外币非货币性项目的，形成的汇兑差额计入其他综合</w:t>
      </w:r>
      <w:r>
        <w:rPr>
          <w:spacing w:val="-81"/>
        </w:rPr>
        <w:t> </w:t>
      </w:r>
      <w:r>
        <w:rPr>
          <w:spacing w:val="-81"/>
        </w:rPr>
      </w:r>
      <w:r>
        <w:rPr/>
        <w:t>收益。</w:t>
      </w:r>
    </w:p>
    <w:p>
      <w:pPr>
        <w:spacing w:line="256" w:lineRule="auto" w:before="7"/>
        <w:ind w:left="573" w:right="121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256" w:lineRule="auto" w:before="5"/>
        <w:ind w:right="1210"/>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 汇率折算。按照上述折算产生的外币财务报表折算差额计入其他综合收益。</w:t>
      </w:r>
    </w:p>
    <w:p>
      <w:pPr>
        <w:pStyle w:val="BodyText"/>
        <w:spacing w:line="273" w:lineRule="auto" w:before="22"/>
        <w:ind w:right="1131" w:firstLine="420"/>
        <w:jc w:val="both"/>
      </w:pPr>
      <w:r>
        <w:rPr>
          <w:spacing w:val="-1"/>
        </w:rPr>
        <w:t>处置境外经营时，将资产负债表中其他综合收益项目中列示的、与该境外经营相关的外币财务报表折</w:t>
      </w:r>
      <w:r>
        <w:rPr/>
        <w:t> </w:t>
      </w:r>
      <w:r>
        <w:rPr>
          <w:spacing w:val="-1"/>
        </w:rPr>
        <w:t>算差额，自其他综合收益项目转入处置当期损益；在处置部分股权投资或其他原因导致持有境外经营权益</w:t>
      </w:r>
      <w:r>
        <w:rPr>
          <w:spacing w:val="-81"/>
        </w:rPr>
        <w:t> </w:t>
      </w:r>
      <w:r>
        <w:rPr>
          <w:spacing w:val="-81"/>
        </w:rPr>
      </w:r>
      <w:r>
        <w:rPr>
          <w:spacing w:val="-1"/>
        </w:rPr>
        <w:t>比例降低但不丧失对境外经营控制权时，与该境外经营处置部分相关的外币报表折算差额将归属于少数股</w:t>
      </w:r>
      <w:r>
        <w:rPr>
          <w:spacing w:val="-81"/>
        </w:rPr>
        <w:t> </w:t>
      </w:r>
      <w:r>
        <w:rPr>
          <w:spacing w:val="-81"/>
        </w:rPr>
      </w:r>
      <w:r>
        <w:rPr>
          <w:spacing w:val="-1"/>
        </w:rPr>
        <w:t>东权益，不转入当期损益。在处置境外经营为联营企业或合营企业的部分股权时，与该境外经营相关的外</w:t>
      </w:r>
      <w:r>
        <w:rPr>
          <w:spacing w:val="-83"/>
        </w:rPr>
        <w:t> </w:t>
      </w:r>
      <w:r>
        <w:rPr>
          <w:spacing w:val="-83"/>
        </w:rPr>
      </w:r>
      <w:r>
        <w:rPr/>
        <w:t>币报表折算差额，按处置该境外经营的比例转入处置当期损益。</w:t>
      </w:r>
    </w:p>
    <w:p>
      <w:pPr>
        <w:spacing w:line="240" w:lineRule="auto" w:before="8"/>
        <w:rPr>
          <w:rFonts w:ascii="宋体" w:hAnsi="宋体" w:cs="宋体" w:eastAsia="宋体" w:hint="default"/>
          <w:sz w:val="23"/>
          <w:szCs w:val="23"/>
        </w:rPr>
      </w:pPr>
    </w:p>
    <w:p>
      <w:pPr>
        <w:pStyle w:val="Heading6"/>
        <w:spacing w:line="240" w:lineRule="auto"/>
        <w:ind w:right="1034"/>
        <w:jc w:val="left"/>
        <w:rPr>
          <w:b w:val="0"/>
          <w:bCs w:val="0"/>
        </w:rPr>
      </w:pPr>
      <w:bookmarkStart w:name="9、金融工具" w:id="171"/>
      <w:bookmarkEnd w:id="171"/>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034"/>
        <w:jc w:val="left"/>
      </w:pPr>
      <w:r>
        <w:rPr/>
        <w:t>金融工具包括金融资产、金融负债和权益工具。</w:t>
      </w:r>
    </w:p>
    <w:p>
      <w:pPr>
        <w:pStyle w:val="Heading6"/>
        <w:spacing w:line="240" w:lineRule="auto" w:before="37"/>
        <w:ind w:left="154" w:right="1034"/>
        <w:jc w:val="left"/>
        <w:rPr>
          <w:b w:val="0"/>
          <w:bCs w:val="0"/>
        </w:rPr>
      </w:pPr>
      <w:r>
        <w:rPr>
          <w:rFonts w:ascii="Times New Roman" w:hAnsi="Times New Roman" w:cs="Times New Roman" w:eastAsia="Times New Roman" w:hint="default"/>
        </w:rPr>
        <w:t>1</w:t>
      </w:r>
      <w:r>
        <w:rPr/>
        <w:t>、金融工具的分类</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right="1034" w:firstLine="420"/>
        <w:jc w:val="left"/>
        <w:rPr>
          <w:rFonts w:ascii="宋体" w:hAnsi="宋体" w:cs="宋体" w:eastAsia="宋体" w:hint="default"/>
        </w:rPr>
      </w:pPr>
      <w:r>
        <w:rPr>
          <w:spacing w:val="-1"/>
        </w:rPr>
        <w:t>管理层根据所发行金融工具的合同条款及其所反映的经济实质而非仅以法律形式，结合取得持有金融</w:t>
      </w:r>
      <w:r>
        <w:rPr/>
        <w:t> </w:t>
      </w:r>
      <w:r>
        <w:rPr>
          <w:spacing w:val="-1"/>
        </w:rPr>
        <w:t>资产和承担金融负债的目的，将金融资产和金融负债分为不同类别：以公允价值计量且其变动计入当期损</w:t>
      </w:r>
      <w:r>
        <w:rPr>
          <w:spacing w:val="-81"/>
        </w:rPr>
        <w:t> </w:t>
      </w:r>
      <w:r>
        <w:rPr>
          <w:spacing w:val="-81"/>
        </w:rPr>
      </w:r>
      <w:r>
        <w:rPr/>
        <w:t>益的金融资产（或金融负债）；持有至到期投资；应收款项；可供出售金融资产；其他金融负债等。 </w:t>
      </w:r>
      <w:r>
        <w:rPr>
          <w:rFonts w:ascii="Times New Roman" w:hAnsi="Times New Roman" w:cs="Times New Roman" w:eastAsia="Times New Roman" w:hint="default"/>
          <w:b/>
          <w:bCs/>
        </w:rPr>
        <w:t>2</w:t>
      </w:r>
      <w:r>
        <w:rPr>
          <w:rFonts w:ascii="宋体" w:hAnsi="宋体" w:cs="宋体" w:eastAsia="宋体" w:hint="default"/>
          <w:b/>
          <w:bCs/>
        </w:rPr>
        <w:t>、金融工具的确认依据和计量方法</w:t>
      </w:r>
      <w:r>
        <w:rPr>
          <w:rFonts w:ascii="宋体" w:hAnsi="宋体" w:cs="宋体" w:eastAsia="宋体" w:hint="default"/>
        </w:rPr>
      </w:r>
    </w:p>
    <w:p>
      <w:pPr>
        <w:pStyle w:val="BodyText"/>
        <w:spacing w:line="256" w:lineRule="auto" w:before="0"/>
        <w:ind w:left="574" w:right="1034" w:hanging="42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以公允价值计量且其变动计入当期损益的金融资产或金融负债，包括交易性金融资产或金融负债和直</w:t>
      </w:r>
    </w:p>
    <w:p>
      <w:pPr>
        <w:pStyle w:val="BodyText"/>
        <w:spacing w:line="273" w:lineRule="auto" w:before="22"/>
        <w:ind w:left="574" w:right="3402" w:hanging="420"/>
        <w:jc w:val="left"/>
      </w:pPr>
      <w:r>
        <w:rPr/>
        <w:t>接指定为以公允价值计量且其变动计入当期损益的金融资产或金融负债。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256" w:lineRule="auto" w:before="0"/>
        <w:ind w:left="154" w:right="1197" w:firstLine="420"/>
        <w:jc w:val="left"/>
      </w:pPr>
      <w:r>
        <w:rPr>
          <w:rFonts w:ascii="Times New Roman" w:hAnsi="Times New Roman" w:cs="Times New Roman" w:eastAsia="Times New Roman" w:hint="default"/>
        </w:rPr>
        <w:t>2</w:t>
      </w:r>
      <w:r>
        <w:rPr/>
        <w:t>）属于进行集中管理的可辨认金融工具组合的一部分，且有客观证据表明本公司近期采用短期获利 方式对该组合进行管理；</w:t>
      </w:r>
    </w:p>
    <w:p>
      <w:pPr>
        <w:pStyle w:val="BodyText"/>
        <w:spacing w:line="264" w:lineRule="auto" w:before="22"/>
        <w:ind w:left="154" w:right="1197" w:firstLine="420"/>
        <w:jc w:val="left"/>
      </w:pPr>
      <w:r>
        <w:rPr>
          <w:rFonts w:ascii="Times New Roman" w:hAnsi="Times New Roman" w:cs="Times New Roman" w:eastAsia="Times New Roman" w:hint="default"/>
        </w:rPr>
        <w:t>3</w:t>
      </w:r>
      <w:r>
        <w:rPr/>
        <w:t>）属于衍生金融工具，但是被指定为有效套期工具的衍生工具、属于财务担保合同的衍生工具、与 在活跃市场中没有报价且其公允价值不能可靠计量的权益工具投资挂钩并须通过交付该权益工具结算的 衍生工具除外。</w:t>
      </w:r>
    </w:p>
    <w:p>
      <w:pPr>
        <w:pStyle w:val="BodyText"/>
        <w:spacing w:line="273" w:lineRule="auto" w:before="16"/>
        <w:ind w:left="154" w:right="1132" w:firstLine="420"/>
        <w:jc w:val="both"/>
      </w:pPr>
      <w:r>
        <w:rPr>
          <w:spacing w:val="-1"/>
        </w:rPr>
        <w:t>只有符合以下条件之一，金融资产或金融负债才可在初始计量时指定为以公允价值计量且其变动计入</w:t>
      </w:r>
      <w:r>
        <w:rPr/>
        <w:t> 损益的金融资产或金融负债：</w:t>
      </w:r>
    </w:p>
    <w:p>
      <w:pPr>
        <w:pStyle w:val="BodyText"/>
        <w:spacing w:line="256" w:lineRule="auto"/>
        <w:ind w:left="154" w:right="1197" w:firstLine="420"/>
        <w:jc w:val="left"/>
      </w:pPr>
      <w:r>
        <w:rPr>
          <w:rFonts w:ascii="Times New Roman" w:hAnsi="Times New Roman" w:cs="Times New Roman" w:eastAsia="Times New Roman" w:hint="default"/>
        </w:rPr>
        <w:t>1</w:t>
      </w:r>
      <w:r>
        <w:rPr/>
        <w:t>）该项指定可以消除或明显减少由于金融资产或金融负债的计量基础不同所导致的相关利得或损失 在确认或计量方面不一致的情况；</w:t>
      </w:r>
    </w:p>
    <w:p>
      <w:pPr>
        <w:pStyle w:val="BodyText"/>
        <w:spacing w:line="256" w:lineRule="auto" w:before="22"/>
        <w:ind w:left="154" w:right="1197" w:firstLine="420"/>
        <w:jc w:val="left"/>
      </w:pPr>
      <w:r>
        <w:rPr>
          <w:rFonts w:ascii="Times New Roman" w:hAnsi="Times New Roman" w:cs="Times New Roman" w:eastAsia="Times New Roman" w:hint="default"/>
        </w:rPr>
        <w:t>2</w:t>
      </w:r>
      <w:r>
        <w:rPr/>
        <w:t>）风险管理或投资策略的正式书面文件已载明，该金融资产组合、该金融负债组合、或该金融资产 和金融负债组合，以公允价值为基础进行管理、评价并向关键管理人员报告；</w:t>
      </w:r>
    </w:p>
    <w:p>
      <w:pPr>
        <w:pStyle w:val="BodyText"/>
        <w:spacing w:line="256" w:lineRule="auto" w:before="22"/>
        <w:ind w:left="154" w:right="1197" w:firstLine="420"/>
        <w:jc w:val="left"/>
      </w:pPr>
      <w:r>
        <w:rPr>
          <w:rFonts w:ascii="Times New Roman" w:hAnsi="Times New Roman" w:cs="Times New Roman" w:eastAsia="Times New Roman" w:hint="default"/>
        </w:rPr>
        <w:t>3</w:t>
      </w:r>
      <w:r>
        <w:rPr/>
        <w:t>）包含一项或多项嵌入衍生工具的混合工具，除非嵌入衍生工具对混合工具的现金流量没有重大改 变，或所嵌入的衍生工具明显不应当从相关混合工具中分拆；</w:t>
      </w:r>
    </w:p>
    <w:p>
      <w:pPr>
        <w:pStyle w:val="BodyText"/>
        <w:spacing w:line="256" w:lineRule="auto" w:before="23"/>
        <w:ind w:left="154" w:right="1197" w:firstLine="42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 具。</w:t>
      </w:r>
    </w:p>
    <w:p>
      <w:pPr>
        <w:pStyle w:val="BodyText"/>
        <w:spacing w:line="273" w:lineRule="auto" w:before="22"/>
        <w:ind w:left="154" w:right="1110" w:firstLine="420"/>
        <w:jc w:val="both"/>
      </w:pPr>
      <w:r>
        <w:rPr>
          <w:spacing w:val="-1"/>
        </w:rPr>
        <w:t>本公司对以公允价值计量且其变动计入当期损益的金融资产或金融负债，在取得时以公允价值（扣除</w:t>
      </w:r>
      <w:r>
        <w:rPr/>
        <w:t> </w:t>
      </w:r>
      <w:r>
        <w:rPr>
          <w:spacing w:val="-1"/>
        </w:rPr>
        <w:t>已宣告但尚未发放的现金股利或已到付息期但尚未领取的债券利息）作为初始确认金额，相关的交易费用</w:t>
      </w:r>
      <w:r>
        <w:rPr>
          <w:spacing w:val="-81"/>
        </w:rPr>
        <w:t> </w:t>
      </w:r>
      <w:r>
        <w:rPr>
          <w:spacing w:val="-81"/>
        </w:rPr>
      </w:r>
      <w:r>
        <w:rPr/>
        <w:t>计入当期损益。持有期间将取得的利息或现金股利确认为投资收益，期末将公允价值变动计入当期损益。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240" w:lineRule="auto"/>
        <w:ind w:right="1034"/>
        <w:jc w:val="left"/>
      </w:pPr>
      <w:r>
        <w:rPr/>
        <w:t>（</w:t>
      </w:r>
      <w:r>
        <w:rPr>
          <w:rFonts w:ascii="Times New Roman" w:hAnsi="Times New Roman" w:cs="Times New Roman" w:eastAsia="Times New Roman" w:hint="default"/>
        </w:rPr>
        <w:t>2</w:t>
      </w:r>
      <w:r>
        <w:rPr/>
        <w:t>）应收款项</w:t>
      </w:r>
    </w:p>
    <w:p>
      <w:pPr>
        <w:pStyle w:val="BodyText"/>
        <w:spacing w:line="273" w:lineRule="auto" w:before="21"/>
        <w:ind w:right="1131" w:firstLine="420"/>
        <w:jc w:val="both"/>
      </w:pPr>
      <w:r>
        <w:rPr>
          <w:spacing w:val="-1"/>
        </w:rPr>
        <w:t>本公司对外销售商品或提供劳务形成的应收债权，以及公司持有的其他企业的不包括在活跃市场上有</w:t>
      </w:r>
      <w:r>
        <w:rPr/>
        <w:t> </w:t>
      </w:r>
      <w:r>
        <w:rPr>
          <w:spacing w:val="-1"/>
        </w:rPr>
        <w:t>报价的债务工具的债权，包括应收账款、其他应收款等，以向购货方应收的合同或协议价款作为初始确认</w:t>
      </w:r>
      <w:r>
        <w:rPr>
          <w:spacing w:val="-83"/>
        </w:rPr>
        <w:t> </w:t>
      </w:r>
      <w:r>
        <w:rPr>
          <w:spacing w:val="-83"/>
        </w:rPr>
      </w:r>
      <w:r>
        <w:rPr/>
        <w:t>金额；具有融资性质的，按其现值进行初始确认。</w:t>
      </w:r>
    </w:p>
    <w:p>
      <w:pPr>
        <w:pStyle w:val="BodyText"/>
        <w:spacing w:line="240" w:lineRule="auto"/>
        <w:ind w:left="574" w:right="1034"/>
        <w:jc w:val="left"/>
      </w:pPr>
      <w:r>
        <w:rPr/>
        <w:t>收回或处置时，将取得的价款与该应收款项账面价值之间的差额计入当期损益。</w:t>
      </w:r>
    </w:p>
    <w:p>
      <w:pPr>
        <w:pStyle w:val="BodyText"/>
        <w:spacing w:line="256" w:lineRule="auto" w:before="37"/>
        <w:ind w:left="574" w:right="1034" w:hanging="420"/>
        <w:jc w:val="left"/>
      </w:pPr>
      <w:r>
        <w:rPr/>
        <w:t>（</w:t>
      </w:r>
      <w:r>
        <w:rPr>
          <w:rFonts w:ascii="Times New Roman" w:hAnsi="Times New Roman" w:cs="Times New Roman" w:eastAsia="Times New Roman" w:hint="default"/>
        </w:rPr>
        <w:t>3</w:t>
      </w:r>
      <w:r>
        <w:rPr/>
        <w:t>）持有至到期投资 </w:t>
      </w:r>
      <w:r>
        <w:rPr>
          <w:spacing w:val="-1"/>
        </w:rPr>
        <w:t>持有至到期投资是指到期日固定、回收金额固定或可确定，且本公司有明确意图和能力持有至到期的</w:t>
      </w:r>
    </w:p>
    <w:p>
      <w:pPr>
        <w:pStyle w:val="BodyText"/>
        <w:spacing w:line="273" w:lineRule="auto" w:before="22"/>
        <w:ind w:left="574" w:right="1034" w:hanging="420"/>
        <w:jc w:val="left"/>
      </w:pPr>
      <w:r>
        <w:rPr/>
        <w:t>非衍生性金融资产。 </w:t>
      </w:r>
      <w:r>
        <w:rPr>
          <w:spacing w:val="-1"/>
        </w:rPr>
        <w:t>本公司对持有至到期投资，在取得时按公允价值（扣除已到付息期但尚未领取的债券利息）和相关交</w:t>
      </w:r>
    </w:p>
    <w:p>
      <w:pPr>
        <w:pStyle w:val="BodyText"/>
        <w:spacing w:line="273" w:lineRule="auto"/>
        <w:ind w:left="154" w:right="1131"/>
        <w:jc w:val="both"/>
      </w:pPr>
      <w:r>
        <w:rPr>
          <w:spacing w:val="-1"/>
        </w:rPr>
        <w:t>易费用之和作为初始确认金额。持有期间按照摊余成本和实际利率计算确认利息收入，计入投资收益。实</w:t>
      </w:r>
      <w:r>
        <w:rPr>
          <w:spacing w:val="-83"/>
        </w:rPr>
        <w:t> </w:t>
      </w:r>
      <w:r>
        <w:rPr>
          <w:spacing w:val="-83"/>
        </w:rPr>
      </w:r>
      <w:r>
        <w:rPr>
          <w:spacing w:val="-1"/>
        </w:rPr>
        <w:t>际利率在取得时确定，在该预期存续期间或适用的更短期间内保持不变。处置时，将所取得价款与该投资</w:t>
      </w:r>
      <w:r>
        <w:rPr>
          <w:spacing w:val="-83"/>
        </w:rPr>
        <w:t> </w:t>
      </w:r>
      <w:r>
        <w:rPr>
          <w:spacing w:val="-83"/>
        </w:rPr>
      </w:r>
      <w:r>
        <w:rPr/>
        <w:t>账面价值之间的差额计入投资收益。</w:t>
      </w:r>
    </w:p>
    <w:p>
      <w:pPr>
        <w:pStyle w:val="BodyText"/>
        <w:spacing w:line="273" w:lineRule="auto" w:before="8"/>
        <w:ind w:right="1131" w:firstLine="420"/>
        <w:jc w:val="both"/>
      </w:pPr>
      <w:r>
        <w:rPr>
          <w:spacing w:val="-1"/>
        </w:rPr>
        <w:t>如果持有至到期投资处置或重分类为其他类金融资产的金额，相对于本公司全部持有至到期投资在出</w:t>
      </w:r>
      <w:r>
        <w:rPr/>
        <w:t> </w:t>
      </w:r>
      <w:r>
        <w:rPr>
          <w:spacing w:val="-1"/>
        </w:rPr>
        <w:t>售或重分类前的总额较大，在处置或重分类后应立即将其剩余的持有至到期投资重分类为可供出售金融资</w:t>
      </w:r>
      <w:r>
        <w:rPr>
          <w:spacing w:val="-81"/>
        </w:rPr>
        <w:t> </w:t>
      </w:r>
      <w:r>
        <w:rPr>
          <w:spacing w:val="-81"/>
        </w:rPr>
      </w:r>
      <w:r>
        <w:rPr>
          <w:spacing w:val="-1"/>
        </w:rPr>
        <w:t>产；重分类日，该投资的账面价值与其公允价值之间的差额计入其他综合收益，在该可供出售金融资产发</w:t>
      </w:r>
      <w:r>
        <w:rPr>
          <w:spacing w:val="-83"/>
        </w:rPr>
        <w:t> </w:t>
      </w:r>
      <w:r>
        <w:rPr>
          <w:spacing w:val="-83"/>
        </w:rPr>
      </w:r>
      <w:r>
        <w:rPr/>
        <w:t>生减值或终止确认时转出，计入当期损益。但是，遇到下列情况可以除外：</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034" w:firstLine="420"/>
        <w:jc w:val="left"/>
      </w:pPr>
      <w:r>
        <w:rPr>
          <w:rFonts w:ascii="Times New Roman" w:hAnsi="Times New Roman" w:cs="Times New Roman" w:eastAsia="Times New Roman" w:hint="default"/>
          <w:spacing w:val="-2"/>
        </w:rPr>
        <w:t>1</w:t>
      </w:r>
      <w:r>
        <w:rPr>
          <w:spacing w:val="-2"/>
        </w:rPr>
        <w:t>）出售日或重分类日距离该项投资到期日或赎回日较近</w:t>
      </w:r>
      <w:r>
        <w:rPr>
          <w:rFonts w:ascii="Times New Roman" w:hAnsi="Times New Roman" w:cs="Times New Roman" w:eastAsia="Times New Roman" w:hint="default"/>
          <w:spacing w:val="-2"/>
        </w:rPr>
        <w:t>(</w:t>
      </w:r>
      <w:r>
        <w:rPr>
          <w:spacing w:val="-2"/>
        </w:rPr>
        <w:t>如到期前三个月内</w:t>
      </w:r>
      <w:r>
        <w:rPr>
          <w:rFonts w:ascii="Times New Roman" w:hAnsi="Times New Roman" w:cs="Times New Roman" w:eastAsia="Times New Roman" w:hint="default"/>
          <w:spacing w:val="-2"/>
        </w:rPr>
        <w:t>)</w:t>
      </w:r>
      <w:r>
        <w:rPr>
          <w:spacing w:val="-2"/>
        </w:rPr>
        <w:t>，且市场利率变化对该项</w:t>
      </w:r>
      <w:r>
        <w:rPr/>
        <w:t> 投资的公允价值没有显著影响。</w:t>
      </w:r>
    </w:p>
    <w:p>
      <w:pPr>
        <w:pStyle w:val="BodyText"/>
        <w:spacing w:line="240" w:lineRule="auto" w:before="22"/>
        <w:ind w:left="573" w:right="1034"/>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21"/>
        <w:ind w:left="573" w:right="1034"/>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256" w:lineRule="auto" w:before="21"/>
        <w:ind w:left="574" w:right="1034" w:hanging="420"/>
        <w:jc w:val="left"/>
      </w:pPr>
      <w:r>
        <w:rPr/>
        <w:t>（</w:t>
      </w:r>
      <w:r>
        <w:rPr>
          <w:rFonts w:ascii="Times New Roman" w:hAnsi="Times New Roman" w:cs="Times New Roman" w:eastAsia="Times New Roman" w:hint="default"/>
        </w:rPr>
        <w:t>4</w:t>
      </w:r>
      <w:r>
        <w:rPr/>
        <w:t>）可供出售金融资产 </w:t>
      </w:r>
      <w:r>
        <w:rPr>
          <w:spacing w:val="-1"/>
        </w:rPr>
        <w:t>可供出售金融资产，是指初始确认时即指定为可供出售的非衍生金融资产，以及除其他金融资产类别</w:t>
      </w:r>
    </w:p>
    <w:p>
      <w:pPr>
        <w:pStyle w:val="BodyText"/>
        <w:spacing w:line="273" w:lineRule="auto" w:before="22"/>
        <w:ind w:left="573" w:right="1034" w:hanging="420"/>
        <w:jc w:val="left"/>
      </w:pPr>
      <w:r>
        <w:rPr/>
        <w:t>以外的金融资产。 </w:t>
      </w:r>
      <w:r>
        <w:rPr>
          <w:spacing w:val="-1"/>
        </w:rPr>
        <w:t>本公司对可供出售金融资产，在取得时按公允价值（扣除已宣告但尚未发放的现金股利或已到付息期</w:t>
      </w:r>
    </w:p>
    <w:p>
      <w:pPr>
        <w:pStyle w:val="BodyText"/>
        <w:spacing w:line="273" w:lineRule="auto"/>
        <w:ind w:right="1130"/>
        <w:jc w:val="both"/>
      </w:pPr>
      <w:r>
        <w:rPr>
          <w:spacing w:val="-1"/>
        </w:rPr>
        <w:t>但尚未领取的债券利息）和相关交易费用之和作为初始确认金额。持有期间将取得的利息或现金股利确认</w:t>
      </w:r>
      <w:r>
        <w:rPr>
          <w:spacing w:val="-81"/>
        </w:rPr>
        <w:t> </w:t>
      </w:r>
      <w:r>
        <w:rPr>
          <w:spacing w:val="-81"/>
        </w:rPr>
      </w:r>
      <w:r>
        <w:rPr>
          <w:spacing w:val="-1"/>
        </w:rPr>
        <w:t>为投资收益。可供出售金融资产的公允价值变动形成的利得或损失，除减值损失和外币货币性金融资产形</w:t>
      </w:r>
      <w:r>
        <w:rPr>
          <w:spacing w:val="-80"/>
        </w:rPr>
        <w:t> </w:t>
      </w:r>
      <w:r>
        <w:rPr>
          <w:spacing w:val="-80"/>
        </w:rPr>
      </w:r>
      <w:r>
        <w:rPr>
          <w:spacing w:val="-1"/>
        </w:rPr>
        <w:t>成的汇兑差额外，直接计入其他综合收益。处置可供出售金融资产时，将取得的价款与该金融资产账面价</w:t>
      </w:r>
      <w:r>
        <w:rPr>
          <w:spacing w:val="-83"/>
        </w:rPr>
        <w:t> </w:t>
      </w:r>
      <w:r>
        <w:rPr>
          <w:spacing w:val="-83"/>
        </w:rPr>
      </w:r>
      <w:r>
        <w:rPr>
          <w:spacing w:val="-1"/>
        </w:rPr>
        <w:t>值之间的差额，计入投资损益；同时，将原直接计入其他综合收益的公允价值变动累计额对应处置部分的</w:t>
      </w:r>
      <w:r>
        <w:rPr>
          <w:spacing w:val="-83"/>
        </w:rPr>
        <w:t> </w:t>
      </w:r>
      <w:r>
        <w:rPr>
          <w:spacing w:val="-83"/>
        </w:rPr>
      </w:r>
      <w:r>
        <w:rPr/>
        <w:t>金额转出，计入投资损益。</w:t>
      </w:r>
    </w:p>
    <w:p>
      <w:pPr>
        <w:pStyle w:val="BodyText"/>
        <w:spacing w:line="273" w:lineRule="auto"/>
        <w:ind w:right="1034" w:firstLine="420"/>
        <w:jc w:val="left"/>
      </w:pPr>
      <w:r>
        <w:rPr>
          <w:spacing w:val="-1"/>
        </w:rPr>
        <w:t>本公司对在活跃市场中没有报价且其公允价值不能可靠计量的权益工具投资，以及与该权益工具挂钩</w:t>
      </w:r>
      <w:r>
        <w:rPr/>
        <w:t> 并须通过交付该权益工具结算的衍生金融资产，按照成本计量。</w:t>
      </w:r>
    </w:p>
    <w:p>
      <w:pPr>
        <w:pStyle w:val="BodyText"/>
        <w:spacing w:line="256" w:lineRule="auto"/>
        <w:ind w:left="574" w:right="2562" w:hanging="420"/>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56" w:lineRule="auto" w:before="22"/>
        <w:ind w:left="573"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公司发生金融资产转移时，如已将金融资产所有权上几乎所有的风险和报酬转移给转入方，则终止确</w:t>
      </w:r>
    </w:p>
    <w:p>
      <w:pPr>
        <w:pStyle w:val="BodyText"/>
        <w:spacing w:line="273" w:lineRule="auto" w:before="22"/>
        <w:ind w:left="573" w:right="1034"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273" w:lineRule="auto"/>
        <w:ind w:right="1131"/>
        <w:jc w:val="both"/>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3" w:right="1034"/>
        <w:jc w:val="left"/>
      </w:pPr>
      <w:r>
        <w:rPr/>
        <w:t>（</w:t>
      </w:r>
      <w:r>
        <w:rPr>
          <w:rFonts w:ascii="Times New Roman" w:hAnsi="Times New Roman" w:cs="Times New Roman" w:eastAsia="Times New Roman" w:hint="default"/>
        </w:rPr>
        <w:t>1</w:t>
      </w:r>
      <w:r>
        <w:rPr/>
        <w:t>）所转移金融资产的账面价值；</w:t>
      </w:r>
    </w:p>
    <w:p>
      <w:pPr>
        <w:pStyle w:val="BodyText"/>
        <w:spacing w:line="256" w:lineRule="auto" w:before="21"/>
        <w:ind w:right="1198"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273" w:lineRule="auto" w:before="22"/>
        <w:ind w:right="1034"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3" w:right="1034"/>
        <w:jc w:val="left"/>
      </w:pPr>
      <w:r>
        <w:rPr/>
        <w:t>（</w:t>
      </w:r>
      <w:r>
        <w:rPr>
          <w:rFonts w:ascii="Times New Roman" w:hAnsi="Times New Roman" w:cs="Times New Roman" w:eastAsia="Times New Roman" w:hint="default"/>
        </w:rPr>
        <w:t>1</w:t>
      </w:r>
      <w:r>
        <w:rPr/>
        <w:t>）终止确认部分的账面价值；</w:t>
      </w:r>
    </w:p>
    <w:p>
      <w:pPr>
        <w:pStyle w:val="BodyText"/>
        <w:spacing w:line="256" w:lineRule="auto" w:before="21"/>
        <w:ind w:right="1198"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240" w:lineRule="auto" w:before="22"/>
        <w:ind w:left="573" w:right="1034"/>
        <w:jc w:val="left"/>
      </w:pPr>
      <w:r>
        <w:rPr/>
        <w:t>金融资产转移不满足终止确认条件的，继续确认该金融资产，所收到的对价确认为一项金融负债。</w:t>
      </w:r>
    </w:p>
    <w:p>
      <w:pPr>
        <w:spacing w:line="256" w:lineRule="auto" w:before="37"/>
        <w:ind w:left="573"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金融负债的现时义务全部或部分已经解除的，则终止确认该金融负债或其一部分；本公司若与债权人</w:t>
      </w:r>
    </w:p>
    <w:p>
      <w:pPr>
        <w:pStyle w:val="BodyText"/>
        <w:spacing w:line="273" w:lineRule="auto" w:before="22"/>
        <w:ind w:right="1131"/>
        <w:jc w:val="both"/>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273" w:lineRule="auto"/>
        <w:ind w:left="154" w:right="1034" w:firstLine="420"/>
        <w:jc w:val="left"/>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3" w:lineRule="auto"/>
        <w:ind w:left="154" w:right="1034" w:firstLine="420"/>
        <w:jc w:val="left"/>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3" w:lineRule="auto" w:before="8"/>
        <w:ind w:left="154" w:right="113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pStyle w:val="Heading6"/>
        <w:spacing w:line="240" w:lineRule="auto" w:before="7"/>
        <w:ind w:left="154" w:right="1034"/>
        <w:jc w:val="left"/>
        <w:rPr>
          <w:b w:val="0"/>
          <w:bCs w:val="0"/>
        </w:rPr>
      </w:pPr>
      <w:r>
        <w:rPr>
          <w:rFonts w:ascii="Times New Roman" w:hAnsi="Times New Roman" w:cs="Times New Roman" w:eastAsia="Times New Roman" w:hint="default"/>
        </w:rPr>
        <w:t>5</w:t>
      </w:r>
      <w:r>
        <w:rPr/>
        <w:t>、金融资产和金融负债公允价值的确定方法</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right="1034" w:firstLine="420"/>
        <w:jc w:val="left"/>
        <w:rPr>
          <w:rFonts w:ascii="宋体" w:hAnsi="宋体" w:cs="宋体" w:eastAsia="宋体" w:hint="default"/>
        </w:rPr>
      </w:pPr>
      <w:r>
        <w:rPr>
          <w:spacing w:val="-1"/>
        </w:rPr>
        <w:t>本公司采用公允价值计量的金融资产和金融负债存在活跃市场的金融资产或金融负债，以活跃市场的</w:t>
      </w:r>
      <w:r>
        <w:rPr/>
        <w:t> </w:t>
      </w:r>
      <w:r>
        <w:rPr>
          <w:spacing w:val="-1"/>
        </w:rPr>
        <w:t>报价确定其公允价值；初始取得或衍生的金融资产或承担的金融负债，以市场交易价格作为确定其公允价</w:t>
      </w:r>
      <w:r>
        <w:rPr>
          <w:spacing w:val="-81"/>
        </w:rPr>
        <w:t> </w:t>
      </w:r>
      <w:r>
        <w:rPr>
          <w:spacing w:val="-81"/>
        </w:rPr>
      </w:r>
      <w:r>
        <w:rPr>
          <w:spacing w:val="-1"/>
        </w:rPr>
        <w:t>值的基础；不存在活跃市场的金融资产或金融负债，采用估值技术确定其公允价值。在估值时，本公司采</w:t>
      </w:r>
      <w:r>
        <w:rPr>
          <w:spacing w:val="-86"/>
        </w:rPr>
        <w:t> </w:t>
      </w:r>
      <w:r>
        <w:rPr>
          <w:spacing w:val="-86"/>
        </w:rPr>
      </w:r>
      <w:r>
        <w:rPr>
          <w:spacing w:val="-1"/>
        </w:rPr>
        <w:t>用在当前情况下适用并且有足够可利用数据和其他信息支持的估值技术，选择与市场参与者在相关资产或</w:t>
      </w:r>
      <w:r>
        <w:rPr>
          <w:spacing w:val="-81"/>
        </w:rPr>
        <w:t> </w:t>
      </w:r>
      <w:r>
        <w:rPr>
          <w:spacing w:val="-81"/>
        </w:rPr>
      </w:r>
      <w:r>
        <w:rPr>
          <w:spacing w:val="-1"/>
        </w:rPr>
        <w:t>负债的交易中所考虑的资产或负债特征相一致的输入值，并尽可能优先使用相关可观察输入值。在相关可</w:t>
      </w:r>
      <w:r>
        <w:rPr>
          <w:spacing w:val="-81"/>
        </w:rPr>
        <w:t> </w:t>
      </w:r>
      <w:r>
        <w:rPr>
          <w:spacing w:val="-81"/>
        </w:rPr>
      </w:r>
      <w:r>
        <w:rPr/>
        <w:t>观察输入值无法取得或取得不切实可行的情况下，使用不可观察输入值。 </w:t>
      </w:r>
      <w:r>
        <w:rPr>
          <w:rFonts w:ascii="Times New Roman" w:hAnsi="Times New Roman" w:cs="Times New Roman" w:eastAsia="Times New Roman" w:hint="default"/>
          <w:b/>
          <w:bCs/>
        </w:rPr>
        <w:t>6</w:t>
      </w:r>
      <w:r>
        <w:rPr>
          <w:rFonts w:ascii="宋体" w:hAnsi="宋体" w:cs="宋体" w:eastAsia="宋体" w:hint="default"/>
          <w:b/>
          <w:bCs/>
        </w:rPr>
        <w:t>、金融资产（不含应收款项）减值准备计提</w:t>
      </w:r>
      <w:r>
        <w:rPr>
          <w:rFonts w:ascii="宋体" w:hAnsi="宋体" w:cs="宋体" w:eastAsia="宋体" w:hint="default"/>
        </w:rPr>
      </w:r>
    </w:p>
    <w:p>
      <w:pPr>
        <w:pStyle w:val="BodyText"/>
        <w:spacing w:line="273" w:lineRule="auto" w:before="0"/>
        <w:ind w:right="1303" w:firstLine="420"/>
        <w:jc w:val="left"/>
      </w:pPr>
      <w:r>
        <w:rPr/>
        <w:t>资产负债表日对以公允价值计量且其变动计入当期损益的金融资产以外的金融资产的账面价值进行 检查，如有客观证据表明该金融资产发生减值的，计提减值准备。</w:t>
      </w:r>
    </w:p>
    <w:p>
      <w:pPr>
        <w:pStyle w:val="BodyText"/>
        <w:spacing w:line="240" w:lineRule="auto"/>
        <w:ind w:left="573" w:right="1034"/>
        <w:jc w:val="left"/>
      </w:pPr>
      <w:r>
        <w:rPr/>
        <w:t>金融资产发生减值的客观证据，包括但不限于：</w:t>
      </w:r>
    </w:p>
    <w:p>
      <w:pPr>
        <w:pStyle w:val="BodyText"/>
        <w:spacing w:line="240" w:lineRule="auto" w:before="37"/>
        <w:ind w:right="1034"/>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21"/>
        <w:ind w:right="1034"/>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21"/>
        <w:ind w:left="154" w:right="1034"/>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21"/>
        <w:ind w:left="154" w:right="1034"/>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21"/>
        <w:ind w:right="1034"/>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266" w:lineRule="auto" w:before="21"/>
        <w:ind w:left="154" w:right="1034"/>
        <w:jc w:val="left"/>
      </w:pPr>
      <w:r>
        <w:rPr/>
        <w:t>（</w:t>
      </w:r>
      <w:r>
        <w:rPr>
          <w:rFonts w:ascii="Times New Roman" w:hAnsi="Times New Roman" w:cs="Times New Roman" w:eastAsia="Times New Roman" w:hint="default"/>
        </w:rPr>
        <w:t>6</w:t>
      </w:r>
      <w:r>
        <w:rPr/>
        <w:t>）无法辨认一组金融资产中的某项资产的现金流量是否已经减少，但根据公开的数据对其进行总体评 </w:t>
      </w:r>
      <w:r>
        <w:rPr>
          <w:spacing w:val="-1"/>
        </w:rPr>
        <w:t>价后发现，该组金融资产自初始确认以来的预计未来现金流量确已减少且可计量，如该组金融资产的债务</w:t>
      </w:r>
      <w:r>
        <w:rPr>
          <w:spacing w:val="-81"/>
        </w:rPr>
        <w:t> </w:t>
      </w:r>
      <w:r>
        <w:rPr>
          <w:spacing w:val="-81"/>
        </w:rPr>
      </w:r>
      <w:r>
        <w:rPr>
          <w:spacing w:val="-1"/>
        </w:rPr>
        <w:t>人支付能力逐步恶化，或债务人所在国家或地区失业率提高、担保物在其所在地区的价格明显下降、所处</w:t>
      </w:r>
      <w:r>
        <w:rPr>
          <w:spacing w:val="-82"/>
        </w:rPr>
        <w:t> </w:t>
      </w:r>
      <w:r>
        <w:rPr>
          <w:spacing w:val="-82"/>
        </w:rPr>
      </w:r>
      <w:r>
        <w:rPr/>
        <w:t>行业不景气等；</w:t>
      </w:r>
    </w:p>
    <w:p>
      <w:pPr>
        <w:pStyle w:val="BodyText"/>
        <w:spacing w:line="256" w:lineRule="auto" w:before="14"/>
        <w:ind w:left="154" w:right="1197"/>
        <w:jc w:val="left"/>
      </w:pPr>
      <w:r>
        <w:rPr/>
        <w:t>（</w:t>
      </w:r>
      <w:r>
        <w:rPr>
          <w:rFonts w:ascii="Times New Roman" w:hAnsi="Times New Roman" w:cs="Times New Roman" w:eastAsia="Times New Roman" w:hint="default"/>
        </w:rPr>
        <w:t>7</w:t>
      </w:r>
      <w:r>
        <w:rPr/>
        <w:t>）权益工具发行方经营所处的技术、市场、经济或法律环境等发生重大不利变化，使权益工具投资人 可能无法收回投资成本；</w:t>
      </w:r>
    </w:p>
    <w:p>
      <w:pPr>
        <w:pStyle w:val="BodyText"/>
        <w:spacing w:line="256" w:lineRule="auto" w:before="22"/>
        <w:ind w:left="573" w:right="5398" w:hanging="420"/>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256" w:lineRule="auto" w:before="22"/>
        <w:ind w:left="573" w:right="1034"/>
        <w:jc w:val="left"/>
      </w:pPr>
      <w:r>
        <w:rPr/>
        <w:t>（</w:t>
      </w:r>
      <w:r>
        <w:rPr>
          <w:rFonts w:ascii="Times New Roman" w:hAnsi="Times New Roman" w:cs="Times New Roman" w:eastAsia="Times New Roman" w:hint="default"/>
        </w:rPr>
        <w:t>1</w:t>
      </w:r>
      <w:r>
        <w:rPr/>
        <w:t>）可供出售金融资产的减值准备 </w:t>
      </w:r>
      <w:r>
        <w:rPr>
          <w:spacing w:val="-1"/>
        </w:rPr>
        <w:t>本公司于资产负债表日对各项可供出售金融资产采用个别认定的方式评估减值损失，其中：表明可供</w:t>
      </w:r>
    </w:p>
    <w:p>
      <w:pPr>
        <w:pStyle w:val="BodyText"/>
        <w:spacing w:line="264" w:lineRule="auto" w:before="22"/>
        <w:ind w:right="1132"/>
        <w:jc w:val="both"/>
      </w:pPr>
      <w:r>
        <w:rPr>
          <w:spacing w:val="-1"/>
        </w:rPr>
        <w:t>出售权益工具投资发生减值的客观证据包括权益工具投资的公允价值发生严重或非暂时性下跌，具体量化</w:t>
      </w:r>
      <w:r>
        <w:rPr>
          <w:spacing w:val="-81"/>
        </w:rPr>
        <w:t> </w:t>
      </w:r>
      <w:r>
        <w:rPr>
          <w:spacing w:val="-81"/>
        </w:rPr>
      </w:r>
      <w:r>
        <w:rPr/>
        <w:t>标准为：若该权益工具投资于资产负债表日的公允价值低于其成本超过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 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个月）的，则表明其发生减值。</w:t>
      </w:r>
    </w:p>
    <w:p>
      <w:pPr>
        <w:pStyle w:val="BodyText"/>
        <w:spacing w:line="261" w:lineRule="auto" w:before="0"/>
        <w:ind w:left="154" w:right="1131" w:firstLine="420"/>
        <w:jc w:val="both"/>
      </w:pPr>
      <w:r>
        <w:rPr/>
        <w:t>上段所述</w:t>
      </w:r>
      <w:r>
        <w:rPr>
          <w:rFonts w:ascii="Times New Roman" w:hAnsi="Times New Roman" w:cs="Times New Roman" w:eastAsia="Times New Roman" w:hint="default"/>
        </w:rPr>
        <w:t>“</w:t>
      </w:r>
      <w:r>
        <w:rPr/>
        <w:t>成本</w:t>
      </w:r>
      <w:r>
        <w:rPr>
          <w:rFonts w:ascii="Times New Roman" w:hAnsi="Times New Roman" w:cs="Times New Roman" w:eastAsia="Times New Roman" w:hint="default"/>
        </w:rPr>
        <w:t>”</w:t>
      </w:r>
      <w:r>
        <w:rPr/>
        <w:t>按照可供出售权益工具投资的初始取得成本扣除已收回本金和已摊销金额、原已计入 损益的减值损失确定；</w:t>
      </w:r>
      <w:r>
        <w:rPr>
          <w:rFonts w:ascii="Times New Roman" w:hAnsi="Times New Roman" w:cs="Times New Roman" w:eastAsia="Times New Roman" w:hint="default"/>
        </w:rPr>
        <w:t>“</w:t>
      </w:r>
      <w:r>
        <w:rPr/>
        <w:t>公允价值</w:t>
      </w:r>
      <w:r>
        <w:rPr>
          <w:rFonts w:ascii="Times New Roman" w:hAnsi="Times New Roman" w:cs="Times New Roman" w:eastAsia="Times New Roman" w:hint="default"/>
        </w:rPr>
        <w:t>”</w:t>
      </w:r>
      <w:r>
        <w:rPr/>
        <w:t>根据证券交易所期末收盘价确定，除非该项可供出售权益工具投资存在 </w:t>
      </w:r>
      <w:r>
        <w:rPr>
          <w:spacing w:val="-1"/>
        </w:rPr>
        <w:t>限售期。对于存在限售期的可供出售权益工具投资，按照证券交易所期末收盘价扣除市场参与者因承担指</w:t>
      </w:r>
      <w:r>
        <w:rPr>
          <w:spacing w:val="-81"/>
        </w:rPr>
        <w:t> </w:t>
      </w:r>
      <w:r>
        <w:rPr>
          <w:spacing w:val="-81"/>
        </w:rPr>
      </w:r>
      <w:r>
        <w:rPr/>
        <w:t>定期间内无法在公开市场上出售该权益工具的风险而要求获得的补偿金额后确定。</w:t>
      </w:r>
    </w:p>
    <w:p>
      <w:pPr>
        <w:pStyle w:val="BodyText"/>
        <w:spacing w:line="273" w:lineRule="auto" w:before="18"/>
        <w:ind w:right="1130" w:firstLine="420"/>
        <w:jc w:val="both"/>
      </w:pPr>
      <w:r>
        <w:rPr>
          <w:spacing w:val="-1"/>
        </w:rPr>
        <w:t>可供出售金融资产发生减值时，即使该金融资产没有终止确认，本公司将原直接计入其他综合收益的</w:t>
      </w:r>
      <w:r>
        <w:rPr/>
        <w:t> </w:t>
      </w:r>
      <w:r>
        <w:rPr>
          <w:spacing w:val="-1"/>
        </w:rPr>
        <w:t>因公允价值下降形成的累计损失从其他综合收益转出，计入当期损益。该转出的累计损失，等于可供出售</w:t>
      </w:r>
      <w:r>
        <w:rPr>
          <w:spacing w:val="-83"/>
        </w:rPr>
        <w:t> </w:t>
      </w:r>
      <w:r>
        <w:rPr>
          <w:spacing w:val="-83"/>
        </w:rPr>
      </w:r>
      <w:r>
        <w:rPr>
          <w:spacing w:val="-1"/>
        </w:rPr>
        <w:t>金融资产的初始取得成本扣除已收回本金和已摊余金额、当前公允价值和原已计入损益的减值损失后的余</w:t>
      </w:r>
      <w:r>
        <w:rPr>
          <w:spacing w:val="-81"/>
        </w:rPr>
        <w:t> </w:t>
      </w:r>
      <w:r>
        <w:rPr>
          <w:spacing w:val="-81"/>
        </w:rPr>
      </w:r>
      <w:r>
        <w:rPr/>
        <w:t>额。</w:t>
      </w:r>
    </w:p>
    <w:p>
      <w:pPr>
        <w:pStyle w:val="BodyText"/>
        <w:spacing w:line="273" w:lineRule="auto"/>
        <w:ind w:left="154" w:right="1131" w:firstLine="420"/>
        <w:jc w:val="both"/>
      </w:pPr>
      <w:r>
        <w:rPr>
          <w:spacing w:val="-1"/>
        </w:rPr>
        <w:t>对于已确认减值损失的可供出售债务工具，在随后的会计期间公允价值已上升且客观上与确认原减值</w:t>
      </w:r>
      <w:r>
        <w:rPr/>
        <w:t> </w:t>
      </w:r>
      <w:r>
        <w:rPr>
          <w:spacing w:val="-1"/>
        </w:rPr>
        <w:t>损失后发生的事项有关的，原确认的减值损失予以转回计入当期损益；对于可供出售权益工具投资发生的</w:t>
      </w:r>
      <w:r>
        <w:rPr>
          <w:spacing w:val="-81"/>
        </w:rPr>
        <w:t> </w:t>
      </w:r>
      <w:r>
        <w:rPr>
          <w:spacing w:val="-81"/>
        </w:rPr>
      </w:r>
      <w:r>
        <w:rPr>
          <w:spacing w:val="-1"/>
        </w:rPr>
        <w:t>减值损失，在该权益工具价值回升时通过权益转回；但在活跃市场中没有报价且其公允价值不能可靠计量</w:t>
      </w:r>
      <w:r>
        <w:rPr>
          <w:spacing w:val="-81"/>
        </w:rPr>
        <w:t> </w:t>
      </w:r>
      <w:r>
        <w:rPr>
          <w:spacing w:val="-81"/>
        </w:rPr>
      </w:r>
      <w:r>
        <w:rPr>
          <w:spacing w:val="-1"/>
        </w:rPr>
        <w:t>的权益工具投资，或与该权益工具挂钩并须通过交付该权益工具结算的衍生金融资产发生的减值损失，不</w:t>
      </w:r>
      <w:r>
        <w:rPr>
          <w:spacing w:val="-81"/>
        </w:rPr>
        <w:t> </w:t>
      </w:r>
      <w:r>
        <w:rPr>
          <w:spacing w:val="-81"/>
        </w:rPr>
      </w:r>
      <w:r>
        <w:rPr/>
        <w:t>得转回。</w:t>
      </w:r>
    </w:p>
    <w:p>
      <w:pPr>
        <w:pStyle w:val="BodyText"/>
        <w:spacing w:line="256" w:lineRule="auto"/>
        <w:ind w:left="574" w:right="1034"/>
        <w:jc w:val="left"/>
      </w:pPr>
      <w:r>
        <w:rPr/>
        <w:t>（</w:t>
      </w:r>
      <w:r>
        <w:rPr>
          <w:rFonts w:ascii="Times New Roman" w:hAnsi="Times New Roman" w:cs="Times New Roman" w:eastAsia="Times New Roman" w:hint="default"/>
        </w:rPr>
        <w:t>2</w:t>
      </w:r>
      <w:r>
        <w:rPr/>
        <w:t>）持有至到期投资的减值准备 </w:t>
      </w:r>
      <w:r>
        <w:rPr>
          <w:spacing w:val="-1"/>
        </w:rPr>
        <w:t>对于持有至到期投资，有客观证据表明其发生了减值的，根据其账面价值与预计未来现金流量现值之</w:t>
      </w:r>
    </w:p>
    <w:p>
      <w:pPr>
        <w:pStyle w:val="BodyText"/>
        <w:spacing w:line="240" w:lineRule="auto" w:before="22"/>
        <w:ind w:left="154" w:right="1034"/>
        <w:jc w:val="left"/>
      </w:pPr>
      <w:r>
        <w:rPr/>
        <w:t>间差额计算确认减值损失；计提后如有证据表明其价值已恢复，原确认的减值损失可予以转回，记入当期</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034"/>
        <w:jc w:val="left"/>
      </w:pPr>
      <w:r>
        <w:rPr/>
        <w:t>损益，但该转回的账面价值不超过假定不计提减值准备情况下该金融资产在转回日的摊余成本。</w:t>
      </w:r>
    </w:p>
    <w:p>
      <w:pPr>
        <w:spacing w:line="256" w:lineRule="auto" w:before="37"/>
        <w:ind w:left="573"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金融资产和金融负债在资产负债表内分别列示，没有相互抵销。但是，同时满足下列条件的，以相互</w:t>
      </w:r>
    </w:p>
    <w:p>
      <w:pPr>
        <w:pStyle w:val="BodyText"/>
        <w:spacing w:line="240" w:lineRule="auto" w:before="22"/>
        <w:ind w:right="1034"/>
        <w:jc w:val="left"/>
      </w:pPr>
      <w:r>
        <w:rPr/>
        <w:t>抵销后的净额在资产负债表内列示：</w:t>
      </w:r>
    </w:p>
    <w:p>
      <w:pPr>
        <w:pStyle w:val="BodyText"/>
        <w:spacing w:line="240" w:lineRule="auto" w:before="37"/>
        <w:ind w:left="573" w:right="1034"/>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21"/>
        <w:ind w:left="574" w:right="1034"/>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6"/>
        <w:spacing w:line="240" w:lineRule="auto"/>
        <w:ind w:left="154" w:right="1034"/>
        <w:jc w:val="left"/>
        <w:rPr>
          <w:b w:val="0"/>
          <w:bCs w:val="0"/>
        </w:rPr>
      </w:pPr>
      <w:bookmarkStart w:name="10、应收款项" w:id="172"/>
      <w:bookmarkEnd w:id="172"/>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单项金额重大并单独计提坏账准备的应收款项" w:id="173"/>
      <w:bookmarkEnd w:id="17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1034"/>
        <w:jc w:val="left"/>
        <w:rPr>
          <w:b w:val="0"/>
          <w:bCs w:val="0"/>
        </w:rPr>
      </w:pPr>
      <w:bookmarkStart w:name="（2）按信用风险特征组合计提坏账准备的应收款项" w:id="174"/>
      <w:bookmarkEnd w:id="17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3）单项金额不重大但单独计提坏账准备的应收款项" w:id="175"/>
      <w:bookmarkEnd w:id="17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1034"/>
        <w:jc w:val="left"/>
        <w:rPr>
          <w:b w:val="0"/>
          <w:bCs w:val="0"/>
        </w:rPr>
      </w:pPr>
      <w:bookmarkStart w:name="11、存货" w:id="176"/>
      <w:bookmarkEnd w:id="176"/>
      <w:r>
        <w:rPr>
          <w:b w:val="0"/>
          <w:bCs w:val="0"/>
        </w:rPr>
      </w: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4" w:right="1034"/>
        <w:jc w:val="left"/>
        <w:rPr>
          <w:b w:val="0"/>
          <w:bCs w:val="0"/>
        </w:rPr>
      </w:pPr>
      <w:r>
        <w:rPr>
          <w:rFonts w:ascii="宋体" w:hAnsi="宋体" w:cs="宋体" w:eastAsia="宋体" w:hint="default"/>
        </w:rPr>
        <w:t>1.</w:t>
      </w:r>
      <w:r>
        <w:rPr>
          <w:rFonts w:ascii="宋体" w:hAnsi="宋体" w:cs="宋体" w:eastAsia="宋体" w:hint="default"/>
          <w:spacing w:val="40"/>
        </w:rPr>
        <w:t> </w:t>
      </w:r>
      <w:r>
        <w:rPr/>
        <w:t>存货的分类</w:t>
      </w:r>
      <w:r>
        <w:rPr>
          <w:b w:val="0"/>
          <w:bCs w:val="0"/>
        </w:rPr>
      </w:r>
    </w:p>
    <w:p>
      <w:pPr>
        <w:pStyle w:val="BodyText"/>
        <w:spacing w:line="273" w:lineRule="auto" w:before="37"/>
        <w:ind w:left="514" w:right="1171" w:firstLine="420"/>
        <w:jc w:val="both"/>
      </w:pPr>
      <w:r>
        <w:rPr/>
        <w:t>存货是指本公司在日常活动中持有以备出售的产成品或商品、处在生产过程中的在产品、在生产 过程或提供劳务过程中耗用的材料和物料等。主要包括原材料、周转材料、委托加工材料、在产品、 自制半成品、产成品（库存商品）、发出商品等。</w:t>
      </w:r>
    </w:p>
    <w:p>
      <w:pPr>
        <w:pStyle w:val="Heading6"/>
        <w:spacing w:line="240" w:lineRule="auto" w:before="7"/>
        <w:ind w:left="154" w:right="1034"/>
        <w:jc w:val="left"/>
        <w:rPr>
          <w:b w:val="0"/>
          <w:bCs w:val="0"/>
        </w:rPr>
      </w:pPr>
      <w:r>
        <w:rPr>
          <w:rFonts w:ascii="宋体" w:hAnsi="宋体" w:cs="宋体" w:eastAsia="宋体" w:hint="default"/>
        </w:rPr>
        <w:t>1.</w:t>
      </w:r>
      <w:r>
        <w:rPr>
          <w:rFonts w:ascii="宋体" w:hAnsi="宋体" w:cs="宋体" w:eastAsia="宋体" w:hint="default"/>
          <w:spacing w:val="39"/>
        </w:rPr>
        <w:t> </w:t>
      </w:r>
      <w:r>
        <w:rPr/>
        <w:t>存货的计价方法</w:t>
      </w:r>
      <w:r>
        <w:rPr>
          <w:b w:val="0"/>
          <w:bCs w:val="0"/>
        </w:rPr>
      </w:r>
    </w:p>
    <w:p>
      <w:pPr>
        <w:pStyle w:val="BodyText"/>
        <w:spacing w:line="273" w:lineRule="auto" w:before="37"/>
        <w:ind w:left="514" w:right="1169" w:firstLine="420"/>
        <w:jc w:val="both"/>
      </w:pPr>
      <w:r>
        <w:rPr/>
        <w:t>存货在取得时，按成本进行初始计量，包括采购成本、加工成本和其他成本。存货发出时按月末 一次加权平均法计价。</w:t>
      </w:r>
    </w:p>
    <w:p>
      <w:pPr>
        <w:spacing w:line="273" w:lineRule="auto" w:before="7"/>
        <w:ind w:left="934" w:right="0"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2"/>
          <w:sz w:val="21"/>
          <w:szCs w:val="21"/>
        </w:rPr>
        <w:t>期末对存货进行全面清查后，按存货的成本与可变现净值孰低提取或调整存货跌价准备。产成品、</w:t>
      </w:r>
    </w:p>
    <w:p>
      <w:pPr>
        <w:pStyle w:val="BodyText"/>
        <w:spacing w:line="273" w:lineRule="auto"/>
        <w:ind w:left="514" w:right="1169"/>
        <w:jc w:val="both"/>
      </w:pPr>
      <w:r>
        <w:rPr/>
        <w:t>库存商品和用于出售的材料等直接用于出售的商品存货，在正常生产经营过程中，以该存货的估计售 价减去估计的销售费用和相关税费后的金额，确定其可变现净值；需要经过加工的材料存货，在正常 生产经营过程中，以所生产的产成品的估计售价减去至完工时估计将要发生的成本、估计的销售费用 和相关税费后的金额，确定其可变现净值；为执行销售合同或者劳务合同而持有的存货，其可变现净 值以合同价格为基础计算，若持有存货的数量多于销售合同订购数量的，超出部分的存货的可变现净 值以一般销售价格为基础计算。</w:t>
      </w:r>
    </w:p>
    <w:p>
      <w:pPr>
        <w:pStyle w:val="BodyText"/>
        <w:spacing w:line="273" w:lineRule="auto"/>
        <w:ind w:left="514" w:right="1171" w:firstLine="420"/>
        <w:jc w:val="both"/>
      </w:pPr>
      <w:r>
        <w:rPr/>
        <w:t>期末按照单个存货项目计提存货跌价准备；但对于数量繁多、单价较低的存货，按照存货类别计 提存货跌价准备；与在同一地区生产和销售的产品系列相关、具有相同或类似最终用途或目的，且难 以与其他项目分开计量的存货，则合并计提存货跌价准备。</w:t>
      </w:r>
    </w:p>
    <w:p>
      <w:pPr>
        <w:pStyle w:val="BodyText"/>
        <w:spacing w:line="273" w:lineRule="auto"/>
        <w:ind w:left="514" w:right="1171" w:firstLine="420"/>
        <w:jc w:val="both"/>
      </w:pPr>
      <w:r>
        <w:rPr/>
        <w:t>以前减记存货价值的影响因素已经消失的，减记的金额予以恢复，并在原已计提的存货跌价准备 金额内转回，转回的金额计入当期损益。</w:t>
      </w:r>
    </w:p>
    <w:p>
      <w:pPr>
        <w:pStyle w:val="Heading6"/>
        <w:spacing w:line="240" w:lineRule="auto" w:before="8"/>
        <w:ind w:left="154" w:right="1034"/>
        <w:jc w:val="left"/>
        <w:rPr>
          <w:b w:val="0"/>
          <w:bCs w:val="0"/>
        </w:rPr>
      </w:pPr>
      <w:r>
        <w:rPr>
          <w:rFonts w:ascii="宋体" w:hAnsi="宋体" w:cs="宋体" w:eastAsia="宋体" w:hint="default"/>
        </w:rPr>
        <w:t>1.</w:t>
      </w:r>
      <w:r>
        <w:rPr>
          <w:rFonts w:ascii="宋体" w:hAnsi="宋体" w:cs="宋体" w:eastAsia="宋体" w:hint="default"/>
          <w:spacing w:val="39"/>
        </w:rPr>
        <w:t> </w:t>
      </w:r>
      <w:r>
        <w:rPr/>
        <w:t>存货的盘存制度</w:t>
      </w:r>
      <w:r>
        <w:rPr>
          <w:b w:val="0"/>
          <w:bCs w:val="0"/>
        </w:rPr>
      </w:r>
    </w:p>
    <w:p>
      <w:pPr>
        <w:pStyle w:val="BodyText"/>
        <w:spacing w:line="240" w:lineRule="auto" w:before="37"/>
        <w:ind w:left="934" w:right="1034"/>
        <w:jc w:val="left"/>
      </w:pPr>
      <w:r>
        <w:rPr/>
        <w:t>采用永续盘存制。</w:t>
      </w:r>
    </w:p>
    <w:p>
      <w:pPr>
        <w:pStyle w:val="Heading6"/>
        <w:spacing w:line="240" w:lineRule="auto" w:before="37"/>
        <w:ind w:left="154" w:right="1034"/>
        <w:jc w:val="left"/>
        <w:rPr>
          <w:b w:val="0"/>
          <w:bCs w:val="0"/>
        </w:rPr>
      </w:pPr>
      <w:r>
        <w:rPr>
          <w:rFonts w:ascii="宋体" w:hAnsi="宋体" w:cs="宋体" w:eastAsia="宋体" w:hint="default"/>
        </w:rPr>
        <w:t>1.</w:t>
      </w:r>
      <w:r>
        <w:rPr>
          <w:rFonts w:ascii="宋体" w:hAnsi="宋体" w:cs="宋体" w:eastAsia="宋体" w:hint="default"/>
          <w:spacing w:val="38"/>
        </w:rPr>
        <w:t> </w:t>
      </w:r>
      <w:r>
        <w:rPr/>
        <w:t>低值易耗品和包装物的摊销方法</w:t>
      </w:r>
      <w:r>
        <w:rPr>
          <w:b w:val="0"/>
          <w:bCs w:val="0"/>
        </w:rPr>
      </w:r>
    </w:p>
    <w:p>
      <w:pPr>
        <w:pStyle w:val="BodyText"/>
        <w:spacing w:line="240" w:lineRule="auto" w:before="37"/>
        <w:ind w:right="1034"/>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21"/>
        <w:ind w:right="1034"/>
        <w:jc w:val="left"/>
      </w:pPr>
      <w:r>
        <w:rPr/>
        <w:t>（</w:t>
      </w:r>
      <w:r>
        <w:rPr>
          <w:rFonts w:ascii="Times New Roman" w:hAnsi="Times New Roman" w:cs="Times New Roman" w:eastAsia="Times New Roman" w:hint="default"/>
        </w:rPr>
        <w:t>2</w:t>
      </w:r>
      <w:r>
        <w:rPr/>
        <w:t>）包装物采用一次转销法。</w:t>
      </w:r>
    </w:p>
    <w:p>
      <w:pPr>
        <w:pStyle w:val="BodyText"/>
        <w:spacing w:line="240" w:lineRule="auto" w:before="21"/>
        <w:ind w:right="1034"/>
        <w:jc w:val="left"/>
      </w:pPr>
      <w:r>
        <w:rPr/>
        <w:t>（</w:t>
      </w:r>
      <w:r>
        <w:rPr>
          <w:rFonts w:ascii="Times New Roman" w:hAnsi="Times New Roman" w:cs="Times New Roman" w:eastAsia="Times New Roman" w:hint="default"/>
        </w:rPr>
        <w:t>3</w:t>
      </w:r>
      <w:r>
        <w:rPr/>
        <w:t>）其他周转材料采用一次转销法摊销。</w:t>
      </w:r>
    </w:p>
    <w:p>
      <w:pPr>
        <w:spacing w:line="240" w:lineRule="auto" w:before="8"/>
        <w:rPr>
          <w:rFonts w:ascii="宋体" w:hAnsi="宋体" w:cs="宋体" w:eastAsia="宋体" w:hint="default"/>
          <w:sz w:val="24"/>
          <w:szCs w:val="24"/>
        </w:rPr>
      </w:pPr>
    </w:p>
    <w:p>
      <w:pPr>
        <w:pStyle w:val="Heading6"/>
        <w:spacing w:line="240" w:lineRule="auto"/>
        <w:ind w:right="1034"/>
        <w:jc w:val="left"/>
        <w:rPr>
          <w:b w:val="0"/>
          <w:bCs w:val="0"/>
        </w:rPr>
      </w:pPr>
      <w:bookmarkStart w:name="12、划分为持有待售资产" w:id="177"/>
      <w:bookmarkEnd w:id="177"/>
      <w:r>
        <w:rPr>
          <w:b w:val="0"/>
          <w:bCs w:val="0"/>
        </w:rPr>
      </w:r>
      <w:r>
        <w:rPr>
          <w:rFonts w:ascii="Times New Roman" w:hAnsi="Times New Roman" w:cs="Times New Roman" w:eastAsia="Times New Roman" w:hint="default"/>
        </w:rPr>
        <w:t>12</w:t>
      </w:r>
      <w:r>
        <w:rPr/>
        <w:t>、划分为持有待售资产</w:t>
      </w:r>
      <w:r>
        <w:rPr>
          <w:b w:val="0"/>
          <w:bCs w:val="0"/>
        </w:rPr>
      </w:r>
    </w:p>
    <w:p>
      <w:pPr>
        <w:spacing w:line="240" w:lineRule="auto" w:before="7"/>
        <w:rPr>
          <w:rFonts w:ascii="宋体" w:hAnsi="宋体" w:cs="宋体" w:eastAsia="宋体" w:hint="default"/>
          <w:b/>
          <w:bCs/>
          <w:sz w:val="24"/>
          <w:szCs w:val="24"/>
        </w:rPr>
      </w:pPr>
    </w:p>
    <w:p>
      <w:pPr>
        <w:spacing w:line="256" w:lineRule="auto" w:before="0"/>
        <w:ind w:left="573" w:right="214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、划分为持有待售确认标准</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本公司将同时满足下列条件的企业组成部分（或非流动资产）确认为持有待售组成部分：</w:t>
      </w:r>
    </w:p>
    <w:p>
      <w:pPr>
        <w:pStyle w:val="BodyText"/>
        <w:spacing w:line="240" w:lineRule="auto" w:before="22"/>
        <w:ind w:left="573" w:right="0"/>
        <w:jc w:val="both"/>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56" w:lineRule="auto" w:before="21"/>
        <w:ind w:left="154" w:right="1197" w:firstLine="420"/>
        <w:jc w:val="left"/>
      </w:pPr>
      <w:r>
        <w:rPr/>
        <w:t>（</w:t>
      </w:r>
      <w:r>
        <w:rPr>
          <w:rFonts w:ascii="Times New Roman" w:hAnsi="Times New Roman" w:cs="Times New Roman" w:eastAsia="Times New Roman" w:hint="default"/>
        </w:rPr>
        <w:t>2</w:t>
      </w:r>
      <w:r>
        <w:rPr/>
        <w:t>）企业已经就处置该组成部分作出决议，如按规定需得到股东批准的，已经取得股东大会或相应 权力机构的批准；</w:t>
      </w:r>
    </w:p>
    <w:p>
      <w:pPr>
        <w:pStyle w:val="BodyText"/>
        <w:spacing w:line="240" w:lineRule="auto" w:before="22"/>
        <w:ind w:left="574" w:right="0"/>
        <w:jc w:val="both"/>
      </w:pPr>
      <w:r>
        <w:rPr/>
        <w:t>（</w:t>
      </w:r>
      <w:r>
        <w:rPr>
          <w:rFonts w:ascii="Times New Roman" w:hAnsi="Times New Roman" w:cs="Times New Roman" w:eastAsia="Times New Roman" w:hint="default"/>
        </w:rPr>
        <w:t>3</w:t>
      </w:r>
      <w:r>
        <w:rPr/>
        <w:t>）企业已经与受让方签订了不可撤销的转让协议；</w:t>
      </w:r>
    </w:p>
    <w:p>
      <w:pPr>
        <w:pStyle w:val="BodyText"/>
        <w:spacing w:line="240" w:lineRule="auto" w:before="21"/>
        <w:ind w:left="574" w:right="0"/>
        <w:jc w:val="both"/>
      </w:pPr>
      <w:r>
        <w:rPr/>
        <w:t>（</w:t>
      </w:r>
      <w:r>
        <w:rPr>
          <w:rFonts w:ascii="Times New Roman" w:hAnsi="Times New Roman" w:cs="Times New Roman" w:eastAsia="Times New Roman" w:hint="default"/>
        </w:rPr>
        <w:t>4</w:t>
      </w:r>
      <w:r>
        <w:rPr/>
        <w:t>）该项转让将在一年内完成。</w:t>
      </w:r>
    </w:p>
    <w:p>
      <w:pPr>
        <w:spacing w:line="256" w:lineRule="auto" w:before="21"/>
        <w:ind w:left="574"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、划分为持有待售核算方法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本公司对于持有待售的固定资产，调整该项固定资产的预计净残值，使该固定资产的预计净残值反映</w:t>
      </w:r>
    </w:p>
    <w:p>
      <w:pPr>
        <w:pStyle w:val="BodyText"/>
        <w:spacing w:line="273" w:lineRule="auto" w:before="23"/>
        <w:ind w:left="154" w:right="1131"/>
        <w:jc w:val="both"/>
      </w:pPr>
      <w:r>
        <w:rPr>
          <w:spacing w:val="-1"/>
        </w:rPr>
        <w:t>其公允价值减去处置费用后的金额，但不超过符合持有待售条件时该项固定资产的原账面价值，原账面价</w:t>
      </w:r>
      <w:r>
        <w:rPr>
          <w:spacing w:val="-81"/>
        </w:rPr>
        <w:t> </w:t>
      </w:r>
      <w:r>
        <w:rPr>
          <w:spacing w:val="-81"/>
        </w:rPr>
      </w:r>
      <w:r>
        <w:rPr>
          <w:spacing w:val="-1"/>
        </w:rPr>
        <w:t>值高于调整后预计净残值的差额，应作为资产减值损失计入当期损益。持有待售的固定资产不计提折旧或</w:t>
      </w:r>
      <w:r>
        <w:rPr>
          <w:spacing w:val="-81"/>
        </w:rPr>
        <w:t> </w:t>
      </w:r>
      <w:r>
        <w:rPr>
          <w:spacing w:val="-81"/>
        </w:rPr>
      </w:r>
      <w:r>
        <w:rPr/>
        <w:t>摊销，按照账面价值与公允价值减去处置费用后的净额孰低进行计量。</w:t>
      </w:r>
    </w:p>
    <w:p>
      <w:pPr>
        <w:pStyle w:val="BodyText"/>
        <w:spacing w:line="240" w:lineRule="auto"/>
        <w:ind w:left="574" w:right="0"/>
        <w:jc w:val="both"/>
      </w:pPr>
      <w:r>
        <w:rPr/>
        <w:t>符合持有待售条件的权益性投资、无形资产等其他非流动资产，比照上述原则处理，但不包括递延所</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154" w:right="1034"/>
        <w:jc w:val="left"/>
      </w:pPr>
      <w:r>
        <w:rPr>
          <w:spacing w:val="-1"/>
        </w:rPr>
        <w:t>得税资产、《企业会计准则第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金融工具确认和计量》规范的金融资产、以公允价值计量的投资性</w:t>
      </w:r>
      <w:r>
        <w:rPr>
          <w:spacing w:val="-86"/>
        </w:rPr>
        <w:t> </w:t>
      </w:r>
      <w:r>
        <w:rPr>
          <w:spacing w:val="-86"/>
        </w:rPr>
      </w:r>
      <w:r>
        <w:rPr/>
        <w:t>房地产和生物资产、保险合同中产生的合同权利。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left="154" w:right="1034"/>
        <w:jc w:val="left"/>
        <w:rPr>
          <w:b w:val="0"/>
          <w:bCs w:val="0"/>
        </w:rPr>
      </w:pPr>
      <w:bookmarkStart w:name="13、长期股权投资" w:id="178"/>
      <w:bookmarkEnd w:id="178"/>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4" w:right="1034"/>
        <w:jc w:val="left"/>
        <w:rPr>
          <w:b w:val="0"/>
          <w:bCs w:val="0"/>
        </w:rPr>
      </w:pPr>
      <w:r>
        <w:rPr>
          <w:rFonts w:ascii="Times New Roman" w:hAnsi="Times New Roman" w:cs="Times New Roman" w:eastAsia="Times New Roman" w:hint="default"/>
        </w:rPr>
        <w:t>1</w:t>
      </w:r>
      <w:r>
        <w:rPr/>
        <w:t>、投资成本的确定</w:t>
      </w:r>
      <w:r>
        <w:rPr>
          <w:b w:val="0"/>
          <w:bCs w:val="0"/>
        </w:rPr>
      </w:r>
    </w:p>
    <w:p>
      <w:pPr>
        <w:pStyle w:val="BodyText"/>
        <w:spacing w:line="256" w:lineRule="auto" w:before="21"/>
        <w:ind w:left="154" w:right="1214" w:firstLine="420"/>
        <w:jc w:val="both"/>
      </w:pPr>
      <w:r>
        <w:rPr/>
        <w:t>（</w:t>
      </w:r>
      <w:r>
        <w:rPr>
          <w:rFonts w:ascii="Times New Roman" w:hAnsi="Times New Roman" w:cs="Times New Roman" w:eastAsia="Times New Roman" w:hint="default"/>
        </w:rPr>
        <w:t>1</w:t>
      </w:r>
      <w:r>
        <w:rPr/>
        <w:t>）企业合并形成的长期股权投资，具体会计政策详见</w:t>
      </w:r>
      <w:r>
        <w:rPr>
          <w:color w:val="0000CC"/>
        </w:rPr>
        <w:t>本附注四／（四）</w:t>
      </w:r>
      <w:r>
        <w:rPr/>
        <w:t>同一控制下和非同一控制</w:t>
      </w:r>
      <w:r>
        <w:rPr/>
        <w:t> 下企业合并的会计处理方法</w:t>
      </w:r>
    </w:p>
    <w:p>
      <w:pPr>
        <w:pStyle w:val="BodyText"/>
        <w:spacing w:line="256" w:lineRule="auto" w:before="22"/>
        <w:ind w:left="574" w:right="1034"/>
        <w:jc w:val="left"/>
      </w:pPr>
      <w:r>
        <w:rPr/>
        <w:t>（</w:t>
      </w:r>
      <w:r>
        <w:rPr>
          <w:rFonts w:ascii="Times New Roman" w:hAnsi="Times New Roman" w:cs="Times New Roman" w:eastAsia="Times New Roman" w:hint="default"/>
        </w:rPr>
        <w:t>2</w:t>
      </w:r>
      <w:r>
        <w:rPr/>
        <w:t>）其他方式取得的长期股权投资 </w:t>
      </w:r>
      <w:r>
        <w:rPr>
          <w:spacing w:val="-1"/>
        </w:rPr>
        <w:t>以支付现金方式取得的长期股权投资，按照实际支付的购买价款作为初始投资成本。初始投资成本包</w:t>
      </w:r>
    </w:p>
    <w:p>
      <w:pPr>
        <w:pStyle w:val="BodyText"/>
        <w:spacing w:line="273" w:lineRule="auto" w:before="22"/>
        <w:ind w:left="574" w:right="1034" w:hanging="420"/>
        <w:jc w:val="left"/>
      </w:pPr>
      <w:r>
        <w:rPr/>
        <w:t>括与取得长期股权投资直接相关的费用、税金及其他必要支出。 </w:t>
      </w:r>
      <w:r>
        <w:rPr>
          <w:spacing w:val="-1"/>
        </w:rPr>
        <w:t>以发行权益性证券取得的长期股权投资，按照发行权益性证券的公允价值作为初始投资成本；发行或</w:t>
      </w:r>
    </w:p>
    <w:p>
      <w:pPr>
        <w:pStyle w:val="BodyText"/>
        <w:spacing w:line="273" w:lineRule="auto"/>
        <w:ind w:left="574" w:right="1034" w:hanging="420"/>
        <w:jc w:val="left"/>
      </w:pPr>
      <w:r>
        <w:rPr/>
        <w:t>取得自身权益工具时发生的交易费用，可直接归属于权益性交易的从权益中扣减。 </w:t>
      </w:r>
      <w:r>
        <w:rPr>
          <w:spacing w:val="-1"/>
        </w:rPr>
        <w:t>在非货币性资产交换具备商业实质和换入资产或换出资产的公允价值能够可靠计量的前提下，非货币</w:t>
      </w:r>
    </w:p>
    <w:p>
      <w:pPr>
        <w:pStyle w:val="BodyText"/>
        <w:spacing w:line="273" w:lineRule="auto"/>
        <w:ind w:left="154" w:right="1131"/>
        <w:jc w:val="both"/>
      </w:pPr>
      <w:r>
        <w:rPr>
          <w:spacing w:val="-1"/>
        </w:rPr>
        <w:t>性资产交换换入的长期股权投资以换出资产的公允价值为基础确定其初始投资成本，除非有确凿证据表明</w:t>
      </w:r>
      <w:r>
        <w:rPr>
          <w:spacing w:val="-81"/>
        </w:rPr>
        <w:t> </w:t>
      </w:r>
      <w:r>
        <w:rPr>
          <w:spacing w:val="-81"/>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BodyText"/>
        <w:spacing w:line="240" w:lineRule="auto"/>
        <w:ind w:left="574" w:right="1034"/>
        <w:jc w:val="left"/>
      </w:pPr>
      <w:r>
        <w:rPr/>
        <w:t>通过债务重组取得的长期股权投资，其初始投资成本按照公允价值为基础确定。</w:t>
      </w:r>
    </w:p>
    <w:p>
      <w:pPr>
        <w:pStyle w:val="Heading6"/>
        <w:spacing w:line="240" w:lineRule="auto" w:before="37"/>
        <w:ind w:right="1034"/>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256" w:lineRule="auto" w:before="21"/>
        <w:ind w:left="573" w:right="1034"/>
        <w:jc w:val="left"/>
      </w:pPr>
      <w:r>
        <w:rPr/>
        <w:t>（</w:t>
      </w:r>
      <w:r>
        <w:rPr>
          <w:rFonts w:ascii="Times New Roman" w:hAnsi="Times New Roman" w:cs="Times New Roman" w:eastAsia="Times New Roman" w:hint="default"/>
        </w:rPr>
        <w:t>1</w:t>
      </w:r>
      <w:r>
        <w:rPr/>
        <w:t>）成本法 </w:t>
      </w:r>
      <w:r>
        <w:rPr>
          <w:spacing w:val="-1"/>
        </w:rPr>
        <w:t>本公司能够对被投资单位实施控制的长期股权投资采用成本法核算，并按照初始投资成本计价，追加</w:t>
      </w:r>
    </w:p>
    <w:p>
      <w:pPr>
        <w:pStyle w:val="BodyText"/>
        <w:spacing w:line="273" w:lineRule="auto" w:before="23"/>
        <w:ind w:left="573" w:right="1034" w:hanging="420"/>
        <w:jc w:val="left"/>
      </w:pPr>
      <w:r>
        <w:rPr/>
        <w:t>或收回投资调整长期股权投资的成本。 </w:t>
      </w:r>
      <w:r>
        <w:rPr>
          <w:spacing w:val="-1"/>
        </w:rPr>
        <w:t>除取得投资时实际支付的价款或对价中包含的已宣告但尚未发放的现金股利或利润外，本公司按照享</w:t>
      </w:r>
    </w:p>
    <w:p>
      <w:pPr>
        <w:pStyle w:val="BodyText"/>
        <w:spacing w:line="240" w:lineRule="auto"/>
        <w:ind w:right="1034"/>
        <w:jc w:val="left"/>
      </w:pPr>
      <w:r>
        <w:rPr/>
        <w:t>有被投资单位宣告分派的现金股利或利润确认为当期投资收益。</w:t>
      </w:r>
    </w:p>
    <w:p>
      <w:pPr>
        <w:pStyle w:val="BodyText"/>
        <w:spacing w:line="256" w:lineRule="auto" w:before="37"/>
        <w:ind w:left="573" w:right="1093"/>
        <w:jc w:val="left"/>
      </w:pPr>
      <w:r>
        <w:rPr/>
        <w:t>（</w:t>
      </w:r>
      <w:r>
        <w:rPr>
          <w:rFonts w:ascii="Times New Roman" w:hAnsi="Times New Roman" w:cs="Times New Roman" w:eastAsia="Times New Roman" w:hint="default"/>
        </w:rPr>
        <w:t>2</w:t>
      </w:r>
      <w:r>
        <w:rPr/>
        <w:t>）权益法 本公司对联营企业和合营企业的长期股权投资采用权益法核算；对于其中一部分通过风险投资机构、</w:t>
      </w:r>
    </w:p>
    <w:p>
      <w:pPr>
        <w:pStyle w:val="BodyText"/>
        <w:spacing w:line="273" w:lineRule="auto" w:before="22"/>
        <w:ind w:right="1034"/>
        <w:jc w:val="left"/>
      </w:pPr>
      <w:r>
        <w:rPr>
          <w:spacing w:val="-1"/>
        </w:rPr>
        <w:t>共同基金、信托公司或包括投连险基金在内的类似主体间接持有的联营企业的权益性投资，采用公允价值</w:t>
      </w:r>
      <w:r>
        <w:rPr>
          <w:spacing w:val="-81"/>
        </w:rPr>
        <w:t> </w:t>
      </w:r>
      <w:r>
        <w:rPr>
          <w:spacing w:val="-81"/>
        </w:rPr>
      </w:r>
      <w:r>
        <w:rPr/>
        <w:t>计量且其变动计入损益。</w:t>
      </w:r>
    </w:p>
    <w:p>
      <w:pPr>
        <w:pStyle w:val="BodyText"/>
        <w:spacing w:line="273" w:lineRule="auto"/>
        <w:ind w:left="154" w:right="1132" w:firstLine="420"/>
        <w:jc w:val="both"/>
      </w:pPr>
      <w:r>
        <w:rPr>
          <w:spacing w:val="-1"/>
        </w:rPr>
        <w:t>长期股权投资的初始投资成本大于投资时应享有被投资单位可辨认净资产公允价值份额的差额，不调</w:t>
      </w:r>
      <w:r>
        <w:rPr/>
        <w:t> </w:t>
      </w:r>
      <w:r>
        <w:rPr>
          <w:spacing w:val="-1"/>
        </w:rPr>
        <w:t>整长期股权投资的初始投资成本；初始投资成本小于投资时应享有被投资单位可辨认净资产公允价值份额</w:t>
      </w:r>
      <w:r>
        <w:rPr>
          <w:spacing w:val="-81"/>
        </w:rPr>
        <w:t> </w:t>
      </w:r>
      <w:r>
        <w:rPr>
          <w:spacing w:val="-81"/>
        </w:rPr>
      </w:r>
      <w:r>
        <w:rPr/>
        <w:t>的差额，计入当期损益。</w:t>
      </w:r>
    </w:p>
    <w:p>
      <w:pPr>
        <w:pStyle w:val="BodyText"/>
        <w:spacing w:line="273" w:lineRule="auto"/>
        <w:ind w:left="154" w:right="1034" w:firstLine="420"/>
        <w:jc w:val="left"/>
      </w:pPr>
      <w:r>
        <w:rPr/>
        <w:t>本公司取得长期股权投资后，按照应享有或应分担的被投资单位实现的净损益和其他综合收益的份 </w:t>
      </w:r>
      <w:r>
        <w:rPr>
          <w:spacing w:val="-1"/>
        </w:rPr>
        <w:t>额，分别确认投资收益和其他综合收益，同时调整长期股权投资的账面价值；并按照被投资单位宣告分派</w:t>
      </w:r>
      <w:r>
        <w:rPr>
          <w:spacing w:val="-83"/>
        </w:rPr>
        <w:t> </w:t>
      </w:r>
      <w:r>
        <w:rPr>
          <w:spacing w:val="-83"/>
        </w:rPr>
      </w:r>
      <w:r>
        <w:rPr>
          <w:spacing w:val="-1"/>
        </w:rPr>
        <w:t>的利润或现金股利计算应享有的部分，相应减少长期股权投资的账面价值；对于被投资单位除净损益、其</w:t>
      </w:r>
      <w:r>
        <w:rPr>
          <w:spacing w:val="-83"/>
        </w:rPr>
        <w:t> </w:t>
      </w:r>
      <w:r>
        <w:rPr>
          <w:spacing w:val="-83"/>
        </w:rPr>
      </w:r>
      <w:r>
        <w:rPr/>
        <w:t>他综合收益和利润分配以外所有者权益的其他变动，调整长期股权投资的账面价值并计入所有者权益。</w:t>
      </w:r>
    </w:p>
    <w:p>
      <w:pPr>
        <w:pStyle w:val="BodyText"/>
        <w:spacing w:line="273" w:lineRule="auto"/>
        <w:ind w:right="1131" w:firstLine="420"/>
        <w:jc w:val="both"/>
      </w:pPr>
      <w:r>
        <w:rPr>
          <w:spacing w:val="-1"/>
        </w:rPr>
        <w:t>本公司在确认应享有被投资单位净损益的份额时，以取得投资时被投资单位各项可辨认资产等的公允</w:t>
      </w:r>
      <w:r>
        <w:rPr/>
        <w:t> </w:t>
      </w:r>
      <w:r>
        <w:rPr>
          <w:spacing w:val="-1"/>
        </w:rPr>
        <w:t>价值为基础，对被投资单位的净利润进行调整后确认。本公司与联营企业、合营企业之间发生的未实现内</w:t>
      </w:r>
      <w:r>
        <w:rPr>
          <w:spacing w:val="-83"/>
        </w:rPr>
        <w:t> </w:t>
      </w:r>
      <w:r>
        <w:rPr>
          <w:spacing w:val="-83"/>
        </w:rPr>
      </w:r>
      <w:r>
        <w:rPr/>
        <w:t>部交易损益按照应享有的比例计算归属于本公司的部分予以抵销，在此基础上确认投资损益。</w:t>
      </w:r>
    </w:p>
    <w:p>
      <w:pPr>
        <w:pStyle w:val="BodyText"/>
        <w:spacing w:line="273" w:lineRule="auto"/>
        <w:ind w:right="1131" w:firstLine="420"/>
        <w:jc w:val="both"/>
      </w:pPr>
      <w:r>
        <w:rPr>
          <w:spacing w:val="-1"/>
        </w:rPr>
        <w:t>本公司确认应分担被投资单位发生的亏损时，按照以下顺序进行处理：首先，冲减长期股权投资的账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BodyText"/>
        <w:spacing w:line="240" w:lineRule="auto"/>
        <w:ind w:left="573" w:right="1034"/>
        <w:jc w:val="left"/>
      </w:pPr>
      <w:r>
        <w:rPr/>
        <w:t>被投资单位以后期间实现盈利的，公司在扣除未确认的亏损分担额后，按与上述相反的顺序处理，减</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34"/>
        <w:jc w:val="left"/>
      </w:pPr>
      <w:r>
        <w:rPr>
          <w:spacing w:val="-1"/>
        </w:rPr>
        <w:t>记已确认预计负债的账面余额、恢复其他实质上构成对被投资单位净投资的长期权益及长期股权投资的账</w:t>
      </w:r>
      <w:r>
        <w:rPr>
          <w:spacing w:val="-81"/>
        </w:rPr>
        <w:t> </w:t>
      </w:r>
      <w:r>
        <w:rPr>
          <w:spacing w:val="-81"/>
        </w:rPr>
      </w:r>
      <w:r>
        <w:rPr/>
        <w:t>面价值后，恢复确认投资收益。</w:t>
      </w:r>
    </w:p>
    <w:p>
      <w:pPr>
        <w:pStyle w:val="Heading6"/>
        <w:spacing w:line="240" w:lineRule="auto" w:before="7"/>
        <w:ind w:right="1034"/>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256" w:lineRule="auto" w:before="21"/>
        <w:ind w:left="573" w:right="1034" w:hanging="420"/>
        <w:jc w:val="left"/>
      </w:pPr>
      <w:r>
        <w:rPr/>
        <w:t>（</w:t>
      </w:r>
      <w:r>
        <w:rPr>
          <w:rFonts w:ascii="Times New Roman" w:hAnsi="Times New Roman" w:cs="Times New Roman" w:eastAsia="Times New Roman" w:hint="default"/>
        </w:rPr>
        <w:t>1</w:t>
      </w:r>
      <w:r>
        <w:rPr/>
        <w:t>）公允价值计量转权益法核算 </w:t>
      </w:r>
      <w:r>
        <w:rPr>
          <w:spacing w:val="-1"/>
        </w:rPr>
        <w:t>本公司原持有的对被投资单位不具有控制、共同控制或重大影响的按金融工具确认和计量准则进行会</w:t>
      </w:r>
    </w:p>
    <w:p>
      <w:pPr>
        <w:pStyle w:val="BodyText"/>
        <w:spacing w:line="264" w:lineRule="auto" w:before="22"/>
        <w:ind w:right="1034"/>
        <w:jc w:val="left"/>
      </w:pPr>
      <w:r>
        <w:rPr/>
        <w:t>计处理的权益性投资，因追加投资等原因能够对被投资单位施加重大影响或实施共同控制但不构成控制 </w:t>
      </w:r>
      <w:r>
        <w:rPr>
          <w:spacing w:val="-1"/>
        </w:rPr>
        <w:t>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金融工具确认和计量》确定的原持有的股权投资的公允价值加上新增</w:t>
      </w:r>
      <w:r>
        <w:rPr>
          <w:spacing w:val="-84"/>
        </w:rPr>
        <w:t> </w:t>
      </w:r>
      <w:r>
        <w:rPr>
          <w:spacing w:val="-84"/>
        </w:rPr>
      </w:r>
      <w:r>
        <w:rPr/>
        <w:t>投资成本之和，作为改按权益法核算的初始投资成本。</w:t>
      </w:r>
    </w:p>
    <w:p>
      <w:pPr>
        <w:pStyle w:val="BodyText"/>
        <w:spacing w:line="273" w:lineRule="auto" w:before="16"/>
        <w:ind w:left="154" w:right="1034" w:firstLine="420"/>
        <w:jc w:val="left"/>
      </w:pPr>
      <w:r>
        <w:rPr>
          <w:spacing w:val="-1"/>
        </w:rPr>
        <w:t>原持有的股权投资分类为可供出售金融资产的，其公允价值与账面价值之间的差额，以及原计入其他</w:t>
      </w:r>
      <w:r>
        <w:rPr/>
        <w:t> 综合收益的累计公允价值变动转入改按权益法核算的当期损益。</w:t>
      </w:r>
    </w:p>
    <w:p>
      <w:pPr>
        <w:pStyle w:val="BodyText"/>
        <w:spacing w:line="273" w:lineRule="auto"/>
        <w:ind w:right="1034" w:firstLine="420"/>
        <w:jc w:val="left"/>
      </w:pPr>
      <w:r>
        <w:rPr/>
        <w:t>按权益法核算的初始投资成本小于按照追加投资后全新的持股比例计算确定的应享有被投资单位在 </w:t>
      </w:r>
      <w:r>
        <w:rPr>
          <w:spacing w:val="-1"/>
        </w:rPr>
        <w:t>追加投资日可辨认净资产公允价值份额之间的差额，调整长期股权投资的账面价值，并计入当期营业外收</w:t>
      </w:r>
      <w:r>
        <w:rPr>
          <w:spacing w:val="-81"/>
        </w:rPr>
        <w:t> </w:t>
      </w:r>
      <w:r>
        <w:rPr>
          <w:spacing w:val="-81"/>
        </w:rPr>
      </w:r>
      <w:r>
        <w:rPr/>
        <w:t>入。</w:t>
      </w:r>
    </w:p>
    <w:p>
      <w:pPr>
        <w:pStyle w:val="BodyText"/>
        <w:spacing w:line="256" w:lineRule="auto"/>
        <w:ind w:left="573" w:right="1034" w:hanging="420"/>
        <w:jc w:val="left"/>
      </w:pPr>
      <w:r>
        <w:rPr/>
        <w:t>（</w:t>
      </w:r>
      <w:r>
        <w:rPr>
          <w:rFonts w:ascii="Times New Roman" w:hAnsi="Times New Roman" w:cs="Times New Roman" w:eastAsia="Times New Roman" w:hint="default"/>
        </w:rPr>
        <w:t>2</w:t>
      </w:r>
      <w:r>
        <w:rPr/>
        <w:t>）公允价值计量或权益法核算转成本法核算 </w:t>
      </w:r>
      <w:r>
        <w:rPr>
          <w:spacing w:val="-1"/>
        </w:rPr>
        <w:t>本公司原持有的对被投资单位不具有控制、共同控制或重大影响的按金融工具确认和计量准则进行会</w:t>
      </w:r>
    </w:p>
    <w:p>
      <w:pPr>
        <w:pStyle w:val="BodyText"/>
        <w:spacing w:line="273" w:lineRule="auto" w:before="22"/>
        <w:ind w:right="1131"/>
        <w:jc w:val="both"/>
      </w:pPr>
      <w:r>
        <w:rPr>
          <w:spacing w:val="-1"/>
        </w:rPr>
        <w:t>计处理的权益性投资，或原持有对联营企业、合营企业的长期股权投资，因追加投资等原因能够对非同一</w:t>
      </w:r>
      <w:r>
        <w:rPr>
          <w:spacing w:val="-83"/>
        </w:rPr>
        <w:t> </w:t>
      </w:r>
      <w:r>
        <w:rPr>
          <w:spacing w:val="-83"/>
        </w:rPr>
      </w:r>
      <w:r>
        <w:rPr>
          <w:spacing w:val="-1"/>
        </w:rPr>
        <w:t>控制下的被投资单位实施控制的，在编制个别财务报表时，按照原持有的股权投资账面价值加上新增投资</w:t>
      </w:r>
      <w:r>
        <w:rPr>
          <w:spacing w:val="-81"/>
        </w:rPr>
        <w:t> </w:t>
      </w:r>
      <w:r>
        <w:rPr>
          <w:spacing w:val="-81"/>
        </w:rPr>
      </w:r>
      <w:r>
        <w:rPr/>
        <w:t>成本之和，作为改按成本法核算的初始投资成本。</w:t>
      </w:r>
    </w:p>
    <w:p>
      <w:pPr>
        <w:pStyle w:val="BodyText"/>
        <w:spacing w:line="273" w:lineRule="auto"/>
        <w:ind w:left="154" w:right="1034" w:firstLine="420"/>
        <w:jc w:val="left"/>
      </w:pPr>
      <w:r>
        <w:rPr>
          <w:spacing w:val="-1"/>
        </w:rPr>
        <w:t>购买日之前持有的股权投资因采用权益法核算而确认的其他综合收益，在处置该项投资时采用与被投</w:t>
      </w:r>
      <w:r>
        <w:rPr/>
        <w:t> 资单位直接处置相关资产或负债相同的基础进行会计处理。</w:t>
      </w:r>
    </w:p>
    <w:p>
      <w:pPr>
        <w:pStyle w:val="BodyText"/>
        <w:spacing w:line="256" w:lineRule="auto"/>
        <w:ind w:right="1034" w:firstLine="420"/>
        <w:jc w:val="left"/>
      </w:pPr>
      <w:r>
        <w:rPr>
          <w:spacing w:val="-1"/>
        </w:rPr>
        <w:t>购买日之前持有的股权投资按照《企业会计准则第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w:t>
      </w:r>
      <w:r>
        <w:rPr/>
        <w:t> 计处理的，原计入其他综合收益的累计公允价值变动在改按成本法核算时转入当期损益。</w:t>
      </w:r>
    </w:p>
    <w:p>
      <w:pPr>
        <w:pStyle w:val="BodyText"/>
        <w:spacing w:line="256" w:lineRule="auto" w:before="23"/>
        <w:ind w:left="573" w:right="1034" w:hanging="420"/>
        <w:jc w:val="left"/>
      </w:pPr>
      <w:r>
        <w:rPr/>
        <w:t>（</w:t>
      </w:r>
      <w:r>
        <w:rPr>
          <w:rFonts w:ascii="Times New Roman" w:hAnsi="Times New Roman" w:cs="Times New Roman" w:eastAsia="Times New Roman" w:hint="default"/>
        </w:rPr>
        <w:t>3</w:t>
      </w:r>
      <w:r>
        <w:rPr/>
        <w:t>）权益法核算转公允价值计量 </w:t>
      </w:r>
      <w:r>
        <w:rPr>
          <w:spacing w:val="-1"/>
        </w:rPr>
        <w:t>本公司因处置部分股权投资等原因丧失了对被投资单位的共同控制或重大影响的，处置后的剩余股权</w:t>
      </w:r>
    </w:p>
    <w:p>
      <w:pPr>
        <w:pStyle w:val="BodyText"/>
        <w:spacing w:line="256" w:lineRule="auto" w:before="22"/>
        <w:ind w:left="154" w:right="1034"/>
        <w:jc w:val="left"/>
      </w:pPr>
      <w:r>
        <w:rPr>
          <w:spacing w:val="-1"/>
        </w:rPr>
        <w:t>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金融工具确认和计量》核算，其在丧失共同控制或重大影响之日的公允价</w:t>
      </w:r>
      <w:r>
        <w:rPr>
          <w:spacing w:val="-85"/>
        </w:rPr>
        <w:t> </w:t>
      </w:r>
      <w:r>
        <w:rPr>
          <w:spacing w:val="-85"/>
        </w:rPr>
      </w:r>
      <w:r>
        <w:rPr/>
        <w:t>值与账面价值之间的差额计入当期损益。</w:t>
      </w:r>
    </w:p>
    <w:p>
      <w:pPr>
        <w:pStyle w:val="BodyText"/>
        <w:spacing w:line="273" w:lineRule="auto" w:before="22"/>
        <w:ind w:left="154" w:right="1034" w:firstLine="420"/>
        <w:jc w:val="left"/>
      </w:pPr>
      <w:r>
        <w:rPr>
          <w:spacing w:val="-1"/>
        </w:rPr>
        <w:t>原股权投资因采用权益法核算而确认的其他综合收益，在终止采用权益法核算时采用与被投资单位直</w:t>
      </w:r>
      <w:r>
        <w:rPr/>
        <w:t> 接处置相关资产或负债相同的基础进行会计处理。</w:t>
      </w:r>
    </w:p>
    <w:p>
      <w:pPr>
        <w:pStyle w:val="BodyText"/>
        <w:spacing w:line="256" w:lineRule="auto"/>
        <w:ind w:left="574" w:right="1034" w:hanging="420"/>
        <w:jc w:val="left"/>
      </w:pPr>
      <w:r>
        <w:rPr/>
        <w:t>（</w:t>
      </w:r>
      <w:r>
        <w:rPr>
          <w:rFonts w:ascii="Times New Roman" w:hAnsi="Times New Roman" w:cs="Times New Roman" w:eastAsia="Times New Roman" w:hint="default"/>
        </w:rPr>
        <w:t>4</w:t>
      </w:r>
      <w:r>
        <w:rPr/>
        <w:t>）成本法转权益法 </w:t>
      </w:r>
      <w:r>
        <w:rPr>
          <w:spacing w:val="-1"/>
        </w:rPr>
        <w:t>本公司因处置部分权益性投资等原因丧失了对被投资单位的控制的，在编制个别财务报表时，处置后</w:t>
      </w:r>
    </w:p>
    <w:p>
      <w:pPr>
        <w:pStyle w:val="BodyText"/>
        <w:spacing w:line="273" w:lineRule="auto" w:before="22"/>
        <w:ind w:left="154" w:right="1034"/>
        <w:jc w:val="left"/>
      </w:pPr>
      <w:r>
        <w:rPr>
          <w:spacing w:val="-1"/>
        </w:rPr>
        <w:t>的剩余股权能够对被投资单位实施共同控制或施加重大影响的，改按权益法核算，并对该剩余股权视同自</w:t>
      </w:r>
      <w:r>
        <w:rPr>
          <w:spacing w:val="-81"/>
        </w:rPr>
        <w:t> </w:t>
      </w:r>
      <w:r>
        <w:rPr>
          <w:spacing w:val="-81"/>
        </w:rPr>
      </w:r>
      <w:r>
        <w:rPr/>
        <w:t>取得时即采用权益法核算进行调整。</w:t>
      </w:r>
    </w:p>
    <w:p>
      <w:pPr>
        <w:pStyle w:val="BodyText"/>
        <w:spacing w:line="256" w:lineRule="auto"/>
        <w:ind w:left="574" w:right="1034" w:hanging="420"/>
        <w:jc w:val="left"/>
      </w:pPr>
      <w:r>
        <w:rPr/>
        <w:t>（</w:t>
      </w:r>
      <w:r>
        <w:rPr>
          <w:rFonts w:ascii="Times New Roman" w:hAnsi="Times New Roman" w:cs="Times New Roman" w:eastAsia="Times New Roman" w:hint="default"/>
        </w:rPr>
        <w:t>5</w:t>
      </w:r>
      <w:r>
        <w:rPr/>
        <w:t>）成本法转公允价值计量 </w:t>
      </w:r>
      <w:r>
        <w:rPr>
          <w:spacing w:val="-1"/>
        </w:rPr>
        <w:t>本公司因处置部分权益性投资等原因丧失了对被投资单位的控制的，在编制个别财务报表时，处置后</w:t>
      </w:r>
    </w:p>
    <w:p>
      <w:pPr>
        <w:pStyle w:val="BodyText"/>
        <w:spacing w:line="264" w:lineRule="auto" w:before="22"/>
        <w:ind w:right="1024"/>
        <w:jc w:val="left"/>
        <w:rPr>
          <w:rFonts w:ascii="宋体" w:hAnsi="宋体" w:cs="宋体" w:eastAsia="宋体" w:hint="default"/>
        </w:rPr>
      </w:pPr>
      <w:r>
        <w:rPr/>
        <w:t>的剩余股权不能对被投资单位实施共同控制或施加重大影响的，改按《企业会计准则第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 </w:t>
      </w:r>
      <w:r>
        <w:rPr>
          <w:spacing w:val="-3"/>
        </w:rPr>
        <w:t>确认和计量》的有关规定进行会计处理，其在丧失控制之日的公允价值与账面价值间的差额计入当期损益。</w:t>
      </w:r>
      <w:r>
        <w:rPr>
          <w:spacing w:val="-92"/>
        </w:rPr>
        <w:t> </w:t>
      </w:r>
      <w:r>
        <w:rPr>
          <w:spacing w:val="-92"/>
        </w:rPr>
      </w: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rPr>
      </w:r>
    </w:p>
    <w:p>
      <w:pPr>
        <w:pStyle w:val="BodyText"/>
        <w:spacing w:line="273" w:lineRule="auto" w:before="0"/>
        <w:ind w:left="154" w:right="1131" w:firstLine="420"/>
        <w:jc w:val="both"/>
      </w:pPr>
      <w:r>
        <w:rPr>
          <w:spacing w:val="-1"/>
        </w:rPr>
        <w:t>处置长期股权投资，其账面价值与实际取得价款之间的差额，应当计入当期损益。采用权益法核算的</w:t>
      </w:r>
      <w:r>
        <w:rPr/>
        <w:t> </w:t>
      </w:r>
      <w:r>
        <w:rPr>
          <w:spacing w:val="-1"/>
        </w:rPr>
        <w:t>长期股权投资，在处置该项投资时，采用与被投资单位直接处置相关资产或负债相同的基础，按相应比例</w:t>
      </w:r>
      <w:r>
        <w:rPr>
          <w:spacing w:val="-83"/>
        </w:rPr>
        <w:t> </w:t>
      </w:r>
      <w:r>
        <w:rPr>
          <w:spacing w:val="-83"/>
        </w:rPr>
      </w:r>
      <w:r>
        <w:rPr/>
        <w:t>对原计入其他综合收益的部分进行会计处理。</w:t>
      </w:r>
    </w:p>
    <w:p>
      <w:pPr>
        <w:pStyle w:val="BodyText"/>
        <w:spacing w:line="273" w:lineRule="auto" w:before="8"/>
        <w:ind w:left="154" w:right="1034" w:firstLine="420"/>
        <w:jc w:val="left"/>
      </w:pPr>
      <w:r>
        <w:rPr>
          <w:spacing w:val="-1"/>
        </w:rPr>
        <w:t>处置对子公司股权投资的各项交易的条款、条件以及经济影响符合以下一种或多种情况，将多次交易</w:t>
      </w:r>
      <w:r>
        <w:rPr/>
        <w:t> 事项作为一揽子交易进行会计处理：</w:t>
      </w:r>
    </w:p>
    <w:p>
      <w:pPr>
        <w:pStyle w:val="BodyText"/>
        <w:spacing w:line="240" w:lineRule="auto"/>
        <w:ind w:left="154" w:right="1034"/>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1"/>
        <w:ind w:left="154" w:right="1034"/>
        <w:jc w:val="left"/>
      </w:pPr>
      <w:r>
        <w:rPr/>
        <w:t>（</w:t>
      </w:r>
      <w:r>
        <w:rPr>
          <w:rFonts w:ascii="Times New Roman" w:hAnsi="Times New Roman" w:cs="Times New Roman" w:eastAsia="Times New Roman" w:hint="default"/>
        </w:rPr>
        <w:t>2</w:t>
      </w:r>
      <w:r>
        <w:rPr/>
        <w:t>）这些交易整体才能达成一项完整的商业结果；</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034"/>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56" w:lineRule="auto" w:before="21"/>
        <w:ind w:left="573" w:right="1034" w:hanging="420"/>
        <w:jc w:val="left"/>
      </w:pPr>
      <w:r>
        <w:rPr>
          <w:rFonts w:ascii="Times New Roman" w:hAnsi="Times New Roman" w:cs="Times New Roman" w:eastAsia="Times New Roman" w:hint="default"/>
        </w:rPr>
        <w:t>(4)</w:t>
      </w:r>
      <w:r>
        <w:rPr/>
        <w:t>一项交易单独看是不经济的，但是和其他交易一并考虑时是经济的。</w:t>
      </w:r>
      <w:r>
        <w:rPr>
          <w:w w:val="99"/>
        </w:rPr>
        <w:t> </w:t>
      </w:r>
      <w:r>
        <w:rPr>
          <w:spacing w:val="-1"/>
        </w:rPr>
        <w:t>因处置部分股权投资或其他原因丧失了对原有子公司控制权的，不属于一揽子交易的，区分个别财务</w:t>
      </w:r>
    </w:p>
    <w:p>
      <w:pPr>
        <w:pStyle w:val="BodyText"/>
        <w:spacing w:line="240" w:lineRule="auto" w:before="22"/>
        <w:ind w:right="1034"/>
        <w:jc w:val="left"/>
      </w:pPr>
      <w:r>
        <w:rPr/>
        <w:t>报表和合并财务报表进行相关会计处理：</w:t>
      </w:r>
    </w:p>
    <w:p>
      <w:pPr>
        <w:pStyle w:val="BodyText"/>
        <w:spacing w:line="264" w:lineRule="auto" w:before="37"/>
        <w:ind w:right="1034" w:firstLine="420"/>
        <w:jc w:val="left"/>
      </w:pPr>
      <w:r>
        <w:rPr/>
        <w:t>（</w:t>
      </w:r>
      <w:r>
        <w:rPr>
          <w:rFonts w:ascii="Times New Roman" w:hAnsi="Times New Roman" w:cs="Times New Roman" w:eastAsia="Times New Roman" w:hint="default"/>
        </w:rPr>
        <w:t>1</w:t>
      </w:r>
      <w:r>
        <w:rPr/>
        <w:t>）在个别财务报表中，对于处置的股权，其账面价值与实际取得价款之间的差额计入当期损益。 </w:t>
      </w:r>
      <w:r>
        <w:rPr>
          <w:spacing w:val="-1"/>
        </w:rPr>
        <w:t>处置后的剩余股权能够对被投资单位实施共同控制或施加重大影响的，改按权益法核算，并对该剩余股权</w:t>
      </w:r>
      <w:r>
        <w:rPr>
          <w:spacing w:val="-80"/>
        </w:rPr>
        <w:t> </w:t>
      </w:r>
      <w:r>
        <w:rPr>
          <w:spacing w:val="-80"/>
        </w:rPr>
      </w:r>
      <w:r>
        <w:rPr>
          <w:spacing w:val="-1"/>
        </w:rPr>
        <w:t>视同自取得时即采用权益法核算进行调整；处置后的剩余股权不能对被投资单位实施共同控制或施加重大</w:t>
      </w:r>
      <w:r>
        <w:rPr>
          <w:spacing w:val="-81"/>
        </w:rPr>
        <w:t> </w:t>
      </w:r>
      <w:r>
        <w:rPr>
          <w:spacing w:val="-81"/>
        </w:rPr>
      </w:r>
      <w:r>
        <w:rPr>
          <w:spacing w:val="-1"/>
        </w:rPr>
        <w:t>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金融工具确认和计量》的有关规定进行会计处理，其在丧失控制</w:t>
      </w:r>
      <w:r>
        <w:rPr>
          <w:spacing w:val="-86"/>
        </w:rPr>
        <w:t> </w:t>
      </w:r>
      <w:r>
        <w:rPr>
          <w:spacing w:val="-86"/>
        </w:rPr>
      </w:r>
      <w:r>
        <w:rPr/>
        <w:t>之日的公允价值与账面价值间的差额计入当期损益。</w:t>
      </w:r>
    </w:p>
    <w:p>
      <w:pPr>
        <w:pStyle w:val="BodyText"/>
        <w:spacing w:line="268" w:lineRule="auto" w:before="16"/>
        <w:ind w:left="154" w:right="1092" w:firstLine="420"/>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 资相应对享有子公司自购买日或合并日开始持续计算的净资产份额之间的差额，调整资本公积（股本溢 </w:t>
      </w:r>
      <w:r>
        <w:rPr>
          <w:spacing w:val="-1"/>
        </w:rPr>
        <w:t>价），资本公积不足冲减的，调整留存收益；在丧失对子公司控制权时，对于剩余股权，按照其在丧失控</w:t>
      </w:r>
      <w:r>
        <w:rPr>
          <w:spacing w:val="-82"/>
        </w:rPr>
        <w:t> </w:t>
      </w:r>
      <w:r>
        <w:rPr>
          <w:spacing w:val="-82"/>
        </w:rPr>
      </w:r>
      <w:r>
        <w:rPr>
          <w:spacing w:val="-1"/>
        </w:rPr>
        <w:t>制权日的公允价值进行重新计量。处置股权取得的对价与剩余股权公允价值之和，减去按原持股比例计算</w:t>
      </w:r>
      <w:r>
        <w:rPr>
          <w:spacing w:val="-81"/>
        </w:rPr>
        <w:t> </w:t>
      </w:r>
      <w:r>
        <w:rPr>
          <w:spacing w:val="-81"/>
        </w:rPr>
      </w:r>
      <w:r>
        <w:rPr/>
        <w:t>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BodyText"/>
        <w:spacing w:line="273" w:lineRule="auto" w:before="12"/>
        <w:ind w:right="1034" w:firstLine="420"/>
        <w:jc w:val="left"/>
      </w:pPr>
      <w:r>
        <w:rPr>
          <w:spacing w:val="-1"/>
        </w:rPr>
        <w:t>处置对子公司股权投资直至丧失控制权的各项交易属于一揽子交易的，将各项交易作为一项处置子公</w:t>
      </w:r>
      <w:r>
        <w:rPr/>
        <w:t> 司股权投资并丧失控制权的交易进行会计处理，区分个别财务报表和合并财务报表进行相关会计处理：</w:t>
      </w:r>
    </w:p>
    <w:p>
      <w:pPr>
        <w:pStyle w:val="BodyText"/>
        <w:spacing w:line="256" w:lineRule="auto"/>
        <w:ind w:right="1198" w:firstLine="420"/>
        <w:jc w:val="left"/>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 价值之间的差额，确认为其他综合收益，在丧失控制权时一并转入丧失控制权当期的损益。</w:t>
      </w:r>
    </w:p>
    <w:p>
      <w:pPr>
        <w:pStyle w:val="BodyText"/>
        <w:spacing w:line="264" w:lineRule="auto" w:before="22"/>
        <w:ind w:right="1198" w:firstLine="420"/>
        <w:jc w:val="left"/>
        <w:rPr>
          <w:rFonts w:ascii="宋体" w:hAnsi="宋体" w:cs="宋体" w:eastAsia="宋体" w:hint="default"/>
        </w:rPr>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 份额的差额，确认为其他综合收益，在丧失控制权时一并转入丧失控制权当期的损益。 </w:t>
      </w:r>
      <w:r>
        <w:rPr>
          <w:rFonts w:ascii="Times New Roman" w:hAnsi="Times New Roman" w:cs="Times New Roman" w:eastAsia="Times New Roman" w:hint="default"/>
          <w:b/>
          <w:bCs/>
        </w:rPr>
        <w:t>5</w:t>
      </w:r>
      <w:r>
        <w:rPr>
          <w:rFonts w:ascii="宋体" w:hAnsi="宋体" w:cs="宋体" w:eastAsia="宋体" w:hint="default"/>
          <w:b/>
          <w:bCs/>
        </w:rPr>
        <w:t>、共同控制、重大影响的判断标准</w:t>
      </w:r>
      <w:r>
        <w:rPr>
          <w:rFonts w:ascii="宋体" w:hAnsi="宋体" w:cs="宋体" w:eastAsia="宋体" w:hint="default"/>
        </w:rPr>
      </w:r>
    </w:p>
    <w:p>
      <w:pPr>
        <w:pStyle w:val="BodyText"/>
        <w:spacing w:line="273" w:lineRule="auto" w:before="0"/>
        <w:ind w:right="1131" w:firstLine="420"/>
        <w:jc w:val="both"/>
      </w:pPr>
      <w:r>
        <w:rPr>
          <w:spacing w:val="-1"/>
        </w:rPr>
        <w:t>如果本公司按照相关约定与其他参与方集体控制某项安排，并且对该安排回报具有重大影响的活动决</w:t>
      </w:r>
      <w:r>
        <w:rPr/>
        <w:t> </w:t>
      </w:r>
      <w:r>
        <w:rPr>
          <w:spacing w:val="-1"/>
        </w:rPr>
        <w:t>策，需要经过分享控制权的参与方一致同意时才存在，则视为本公司与其他参与方共同控制某项安排，该</w:t>
      </w:r>
      <w:r>
        <w:rPr>
          <w:spacing w:val="-83"/>
        </w:rPr>
        <w:t> </w:t>
      </w:r>
      <w:r>
        <w:rPr>
          <w:spacing w:val="-83"/>
        </w:rPr>
      </w:r>
      <w:r>
        <w:rPr/>
        <w:t>安排即属于合营安排。</w:t>
      </w:r>
    </w:p>
    <w:p>
      <w:pPr>
        <w:pStyle w:val="BodyText"/>
        <w:spacing w:line="273" w:lineRule="auto"/>
        <w:ind w:left="154" w:right="1131" w:firstLine="420"/>
        <w:jc w:val="both"/>
      </w:pPr>
      <w:r>
        <w:rPr>
          <w:spacing w:val="-1"/>
        </w:rPr>
        <w:t>合营安排通过单独主体达成的，根据相关约定判断本公司对该单独主体的净资产享有权利时，将该单</w:t>
      </w:r>
      <w:r>
        <w:rPr/>
        <w:t> </w:t>
      </w:r>
      <w:r>
        <w:rPr>
          <w:spacing w:val="-1"/>
        </w:rPr>
        <w:t>独主体作为合营企业，采用权益法核算。若根据相关约定判断本公司并非对该单独主体的净资产享有权利</w:t>
      </w:r>
      <w:r>
        <w:rPr>
          <w:spacing w:val="-81"/>
        </w:rPr>
        <w:t> </w:t>
      </w:r>
      <w:r>
        <w:rPr>
          <w:spacing w:val="-81"/>
        </w:rPr>
      </w:r>
      <w:r>
        <w:rPr>
          <w:spacing w:val="-1"/>
        </w:rPr>
        <w:t>时，该单独主体作为共同经营，本公司确认与共同经营利益份额相关的项目，并按照相关企业会计准则的</w:t>
      </w:r>
      <w:r>
        <w:rPr>
          <w:spacing w:val="-83"/>
        </w:rPr>
        <w:t> </w:t>
      </w:r>
      <w:r>
        <w:rPr>
          <w:spacing w:val="-83"/>
        </w:rPr>
      </w:r>
      <w:r>
        <w:rPr/>
        <w:t>规定进行会计处理。</w:t>
      </w:r>
    </w:p>
    <w:p>
      <w:pPr>
        <w:pStyle w:val="BodyText"/>
        <w:spacing w:line="264" w:lineRule="auto"/>
        <w:ind w:right="1131" w:firstLine="420"/>
        <w:jc w:val="both"/>
      </w:pPr>
      <w:r>
        <w:rPr>
          <w:spacing w:val="-1"/>
        </w:rPr>
        <w:t>重大影响，是指投资方对被投资单位的财务和经营政策有参与决策的权力，但并不能够控制或者与其</w:t>
      </w:r>
      <w:r>
        <w:rPr/>
        <w:t> </w:t>
      </w:r>
      <w:r>
        <w:rPr>
          <w:spacing w:val="-1"/>
        </w:rPr>
        <w:t>他方一起共同控制这些政策的制定。本公司通过以下一种或多种情形，并综合考虑所有事实和情况后，判</w:t>
      </w:r>
      <w:r>
        <w:rPr>
          <w:spacing w:val="-83"/>
        </w:rPr>
        <w:t> </w:t>
      </w:r>
      <w:r>
        <w:rPr>
          <w:spacing w:val="-83"/>
        </w:rPr>
      </w:r>
      <w:r>
        <w:rPr>
          <w:spacing w:val="-1"/>
        </w:rPr>
        <w:t>断对被投资单位具有重大影响。（</w:t>
      </w:r>
      <w:r>
        <w:rPr>
          <w:rFonts w:ascii="Times New Roman" w:hAnsi="Times New Roman" w:cs="Times New Roman" w:eastAsia="Times New Roman" w:hint="default"/>
          <w:spacing w:val="-1"/>
        </w:rPr>
        <w:t>1</w:t>
      </w:r>
      <w:r>
        <w:rPr>
          <w:spacing w:val="-1"/>
        </w:rPr>
        <w:t>）在被投资单位的董事会或类似权力机构中派有代表；（</w:t>
      </w:r>
      <w:r>
        <w:rPr>
          <w:rFonts w:ascii="Times New Roman" w:hAnsi="Times New Roman" w:cs="Times New Roman" w:eastAsia="Times New Roman" w:hint="default"/>
          <w:spacing w:val="-1"/>
        </w:rPr>
        <w:t>2</w:t>
      </w:r>
      <w:r>
        <w:rPr>
          <w:spacing w:val="-1"/>
        </w:rPr>
        <w:t>）参与被投</w:t>
      </w:r>
      <w:r>
        <w:rPr>
          <w:spacing w:val="-84"/>
        </w:rPr>
        <w:t> </w:t>
      </w:r>
      <w:r>
        <w:rPr>
          <w:spacing w:val="-84"/>
        </w:rPr>
      </w:r>
      <w:r>
        <w:rPr>
          <w:spacing w:val="-1"/>
        </w:rPr>
        <w:t>资单位财务和经营政策制定过程；（</w:t>
      </w:r>
      <w:r>
        <w:rPr>
          <w:rFonts w:ascii="Times New Roman" w:hAnsi="Times New Roman" w:cs="Times New Roman" w:eastAsia="Times New Roman" w:hint="default"/>
          <w:spacing w:val="-1"/>
        </w:rPr>
        <w:t>3</w:t>
      </w:r>
      <w:r>
        <w:rPr>
          <w:spacing w:val="-1"/>
        </w:rPr>
        <w:t>）与被投资单位之间发生重要交易；（</w:t>
      </w:r>
      <w:r>
        <w:rPr>
          <w:rFonts w:ascii="Times New Roman" w:hAnsi="Times New Roman" w:cs="Times New Roman" w:eastAsia="Times New Roman" w:hint="default"/>
          <w:spacing w:val="-1"/>
        </w:rPr>
        <w:t>4</w:t>
      </w:r>
      <w:r>
        <w:rPr>
          <w:spacing w:val="-1"/>
        </w:rPr>
        <w:t>）向被投资单位派出管理人</w:t>
      </w:r>
      <w:r>
        <w:rPr>
          <w:spacing w:val="-86"/>
        </w:rPr>
        <w:t> </w:t>
      </w:r>
      <w:r>
        <w:rPr>
          <w:spacing w:val="-86"/>
        </w:rPr>
      </w:r>
      <w:r>
        <w:rPr/>
        <w:t>员；（</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4"/>
          <w:szCs w:val="24"/>
        </w:rPr>
      </w:pPr>
    </w:p>
    <w:p>
      <w:pPr>
        <w:pStyle w:val="Heading6"/>
        <w:spacing w:line="240" w:lineRule="auto"/>
        <w:ind w:right="1034"/>
        <w:jc w:val="left"/>
        <w:rPr>
          <w:b w:val="0"/>
          <w:bCs w:val="0"/>
        </w:rPr>
      </w:pPr>
      <w:bookmarkStart w:name="14、投资性房地产" w:id="179"/>
      <w:bookmarkEnd w:id="179"/>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0"/>
        <w:ind w:left="154" w:right="1092" w:firstLine="420"/>
        <w:jc w:val="left"/>
      </w:pPr>
      <w:r>
        <w:rPr/>
        <w:t>投资性房地产是指为赚取租金或资本增值，或两者兼有而持有的房地产，包括已出租的土地使用权、 持有并准备增值后转让的土地使用权、已出租的建筑物、持有并准备出租的建筑物。</w:t>
      </w:r>
    </w:p>
    <w:p>
      <w:pPr>
        <w:pStyle w:val="BodyText"/>
        <w:spacing w:line="240" w:lineRule="auto"/>
        <w:ind w:left="573" w:right="1034"/>
        <w:jc w:val="left"/>
      </w:pPr>
      <w:r>
        <w:rPr/>
        <w:t>本公司的投资性房地产按其成本作为入账价值，外购投资性房地产的成本包括购买价款、相关税费和</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34"/>
        <w:jc w:val="left"/>
      </w:pPr>
      <w:r>
        <w:rPr>
          <w:spacing w:val="-1"/>
        </w:rPr>
        <w:t>可直接归属于该资产的其他支出；自行建造投资性房地产的成本，由建造该项资产达到预定可使用状态前</w:t>
      </w:r>
      <w:r>
        <w:rPr>
          <w:spacing w:val="-81"/>
        </w:rPr>
        <w:t> </w:t>
      </w:r>
      <w:r>
        <w:rPr>
          <w:spacing w:val="-81"/>
        </w:rPr>
      </w:r>
      <w:r>
        <w:rPr/>
        <w:t>所发生的必要支出构成。</w:t>
      </w:r>
    </w:p>
    <w:p>
      <w:pPr>
        <w:pStyle w:val="BodyText"/>
        <w:spacing w:line="273" w:lineRule="auto"/>
        <w:ind w:right="1034" w:firstLine="420"/>
        <w:jc w:val="left"/>
      </w:pPr>
      <w:r>
        <w:rPr>
          <w:spacing w:val="-1"/>
        </w:rPr>
        <w:t>本公司对投资性房地产采用成本模式进行后续计量，按其预计使用寿命及净残值率对建筑物和土地使</w:t>
      </w:r>
      <w:r>
        <w:rPr/>
        <w:t> 用权计提折旧或摊销。投资性房地产的预计使用寿命、净残值率及年折旧（摊销）率列示如下：</w:t>
      </w:r>
    </w:p>
    <w:tbl>
      <w:tblPr>
        <w:tblW w:w="0" w:type="auto"/>
        <w:jc w:val="left"/>
        <w:tblInd w:w="146" w:type="dxa"/>
        <w:tblLayout w:type="fixed"/>
        <w:tblCellMar>
          <w:top w:w="0" w:type="dxa"/>
          <w:left w:w="0" w:type="dxa"/>
          <w:bottom w:w="0" w:type="dxa"/>
          <w:right w:w="0" w:type="dxa"/>
        </w:tblCellMar>
        <w:tblLook w:val="01E0"/>
      </w:tblPr>
      <w:tblGrid>
        <w:gridCol w:w="2452"/>
        <w:gridCol w:w="2031"/>
        <w:gridCol w:w="2216"/>
        <w:gridCol w:w="1830"/>
      </w:tblGrid>
      <w:tr>
        <w:trPr>
          <w:trHeight w:val="355" w:hRule="exact"/>
        </w:trPr>
        <w:tc>
          <w:tcPr>
            <w:tcW w:w="24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18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年折旧（摊销）率</w:t>
            </w:r>
          </w:p>
        </w:tc>
      </w:tr>
      <w:tr>
        <w:trPr>
          <w:trHeight w:val="352" w:hRule="exact"/>
        </w:trPr>
        <w:tc>
          <w:tcPr>
            <w:tcW w:w="24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18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4.75%</w:t>
            </w:r>
          </w:p>
        </w:tc>
      </w:tr>
    </w:tbl>
    <w:p>
      <w:pPr>
        <w:spacing w:line="240" w:lineRule="auto" w:before="1"/>
        <w:rPr>
          <w:rFonts w:ascii="宋体" w:hAnsi="宋体" w:cs="宋体" w:eastAsia="宋体" w:hint="default"/>
          <w:sz w:val="7"/>
          <w:szCs w:val="7"/>
        </w:rPr>
      </w:pPr>
    </w:p>
    <w:p>
      <w:pPr>
        <w:pStyle w:val="BodyText"/>
        <w:spacing w:line="273" w:lineRule="auto" w:before="35"/>
        <w:ind w:left="154" w:right="1131" w:firstLine="420"/>
        <w:jc w:val="both"/>
      </w:pPr>
      <w:r>
        <w:rPr>
          <w:spacing w:val="-1"/>
        </w:rPr>
        <w:t>投资性房地产的用途改变为自用时，自改变之日起，本公司将该投资性房地产转换为固定资产或无形</w:t>
      </w:r>
      <w:r>
        <w:rPr/>
        <w:t> </w:t>
      </w:r>
      <w:r>
        <w:rPr>
          <w:spacing w:val="-1"/>
        </w:rPr>
        <w:t>资产。自用房地产的用途改变为赚取租金或资本增值时，自改变之日起，本公司将固定资产或无形资产转</w:t>
      </w:r>
      <w:r>
        <w:rPr>
          <w:spacing w:val="-83"/>
        </w:rPr>
        <w:t> </w:t>
      </w:r>
      <w:r>
        <w:rPr>
          <w:spacing w:val="-83"/>
        </w:rPr>
      </w:r>
      <w:r>
        <w:rPr/>
        <w:t>换为投资性房地产。发生转换时，以转换前的账面价值作为转换后的入账价值。</w:t>
      </w:r>
    </w:p>
    <w:p>
      <w:pPr>
        <w:pStyle w:val="BodyText"/>
        <w:spacing w:line="273" w:lineRule="auto"/>
        <w:ind w:right="1131" w:firstLine="420"/>
        <w:jc w:val="both"/>
      </w:pPr>
      <w:r>
        <w:rPr>
          <w:spacing w:val="-1"/>
        </w:rPr>
        <w:t>当投资性房地产被处置，或者永久退出使用且预计不能从其处置中取得经济利益时，终止确认该项投</w:t>
      </w:r>
      <w:r>
        <w:rPr/>
        <w:t> </w:t>
      </w:r>
      <w:r>
        <w:rPr>
          <w:spacing w:val="-1"/>
        </w:rPr>
        <w:t>资性房地产。投资性房地产出售、转让、报废或毁损的处置收入扣除其账面价值和相关税费后的金额计入</w:t>
      </w:r>
      <w:r>
        <w:rPr>
          <w:spacing w:val="-83"/>
        </w:rPr>
        <w:t> </w:t>
      </w:r>
      <w:r>
        <w:rPr>
          <w:spacing w:val="-83"/>
        </w:rPr>
      </w:r>
      <w:r>
        <w:rPr/>
        <w:t>当期损益。</w:t>
      </w:r>
    </w:p>
    <w:p>
      <w:pPr>
        <w:spacing w:line="240" w:lineRule="auto" w:before="8"/>
        <w:rPr>
          <w:rFonts w:ascii="宋体" w:hAnsi="宋体" w:cs="宋体" w:eastAsia="宋体" w:hint="default"/>
          <w:sz w:val="23"/>
          <w:szCs w:val="23"/>
        </w:rPr>
      </w:pPr>
    </w:p>
    <w:p>
      <w:pPr>
        <w:pStyle w:val="Heading6"/>
        <w:spacing w:line="240" w:lineRule="auto"/>
        <w:ind w:right="1034"/>
        <w:jc w:val="left"/>
        <w:rPr>
          <w:b w:val="0"/>
          <w:bCs w:val="0"/>
        </w:rPr>
      </w:pPr>
      <w:bookmarkStart w:name="15、固定资产" w:id="180"/>
      <w:bookmarkEnd w:id="180"/>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确认条件" w:id="181"/>
      <w:bookmarkEnd w:id="18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034"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）与该固定资产有关的经济利益很可能流入企业；（</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9"/>
        <w:rPr>
          <w:rFonts w:ascii="宋体" w:hAnsi="宋体" w:cs="宋体" w:eastAsia="宋体" w:hint="default"/>
          <w:sz w:val="20"/>
          <w:szCs w:val="20"/>
        </w:rPr>
      </w:pPr>
    </w:p>
    <w:p>
      <w:pPr>
        <w:pStyle w:val="Heading6"/>
        <w:spacing w:line="240" w:lineRule="auto"/>
        <w:ind w:right="1034"/>
        <w:jc w:val="left"/>
        <w:rPr>
          <w:b w:val="0"/>
          <w:bCs w:val="0"/>
        </w:rPr>
      </w:pPr>
      <w:bookmarkStart w:name="（2）折旧方法" w:id="182"/>
      <w:bookmarkEnd w:id="18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1034"/>
        <w:jc w:val="left"/>
        <w:rPr>
          <w:b w:val="0"/>
          <w:bCs w:val="0"/>
        </w:rPr>
      </w:pPr>
      <w:bookmarkStart w:name="（3）融资租入固定资产的认定依据、计价和折旧方法" w:id="183"/>
      <w:bookmarkEnd w:id="18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09" w:lineRule="auto" w:before="0"/>
        <w:ind w:left="153" w:right="1034" w:firstLine="0"/>
        <w:jc w:val="left"/>
        <w:rPr>
          <w:rFonts w:ascii="宋体" w:hAnsi="宋体" w:cs="宋体" w:eastAsia="宋体" w:hint="default"/>
          <w:sz w:val="18"/>
          <w:szCs w:val="18"/>
        </w:rPr>
      </w:pPr>
      <w:r>
        <w:rPr>
          <w:rFonts w:ascii="宋体" w:hAnsi="宋体" w:cs="宋体" w:eastAsia="宋体" w:hint="default"/>
          <w:spacing w:val="-4"/>
          <w:sz w:val="18"/>
          <w:szCs w:val="18"/>
        </w:rPr>
        <w:t>当本公司租入的固定资产符合下列一项或数项标准时，确认为融资租入固定资产：（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）在租赁期届满时，租赁资产的所有权</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转移给本公司。（</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）本公司有购买租赁资产的选择权，所订立的购买价款预计将远低于行使选择权时租赁资产的公允价值，</w:t>
      </w:r>
      <w:r>
        <w:rPr>
          <w:rFonts w:ascii="宋体" w:hAnsi="宋体" w:cs="宋体" w:eastAsia="宋体" w:hint="default"/>
          <w:spacing w:val="-70"/>
          <w:sz w:val="18"/>
          <w:szCs w:val="18"/>
        </w:rPr>
        <w:t> </w:t>
      </w:r>
      <w:r>
        <w:rPr>
          <w:rFonts w:ascii="宋体" w:hAnsi="宋体" w:cs="宋体" w:eastAsia="宋体" w:hint="default"/>
          <w:spacing w:val="-4"/>
          <w:sz w:val="18"/>
          <w:szCs w:val="18"/>
        </w:rPr>
        <w:t>因而在租赁开始日就可以合理确定本公司将会行使这种选择权。（</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）即使资产的所有权不转移，但租赁期占租赁资产使用寿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命的大部分。（</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）本公司在租赁开始日的最低租赁付款额现值，几乎相当于租赁开始日租赁资产公允价值。（</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）租赁资产性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质特殊，如果不作较大改造，只有本公司才能使用。融资租赁租入的固定资产，按租赁开始日租赁资产公允价值与最低租赁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付款额的现值两者中较低者，作为入账价值。最低租赁付款额作为长期应付款的入账价值，其差额作为未确认融资费用。在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租赁谈判和签订租赁合同过程中发生的，可归属于租赁项目的手续费、律师费、差旅费、印花税等初始直接费用，计入租入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资产价值。未确认融资费用在租赁期内各个期间采用实际利率法进行分摊。本公司采用与自有固定资产相一致的折旧政策计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提融资租入固定资产折旧。能够合理确定租赁期届满时取得租赁资产所有权的，在租赁资产使用寿命内计提折旧。无法合理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确定租赁期届满时能够取得租赁资产所有权的，在租赁期与租赁资产使用寿命两者中较短的期间内计提折旧。</w:t>
      </w:r>
    </w:p>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1034"/>
        <w:jc w:val="left"/>
        <w:rPr>
          <w:b w:val="0"/>
          <w:bCs w:val="0"/>
        </w:rPr>
      </w:pPr>
      <w:bookmarkStart w:name="16、在建工程" w:id="184"/>
      <w:bookmarkEnd w:id="184"/>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1034" w:hanging="420"/>
        <w:jc w:val="left"/>
      </w:pPr>
      <w:r>
        <w:rPr>
          <w:rFonts w:ascii="Times New Roman" w:hAnsi="Times New Roman" w:cs="Times New Roman" w:eastAsia="Times New Roman" w:hint="default"/>
          <w:b/>
          <w:bCs/>
        </w:rPr>
        <w:t>(1)</w:t>
      </w:r>
      <w:r>
        <w:rPr>
          <w:rFonts w:ascii="宋体" w:hAnsi="宋体" w:cs="宋体" w:eastAsia="宋体" w:hint="default"/>
          <w:b/>
          <w:bCs/>
        </w:rPr>
        <w:t>在建工程的类别</w:t>
      </w:r>
      <w:r>
        <w:rPr>
          <w:rFonts w:ascii="宋体" w:hAnsi="宋体" w:cs="宋体" w:eastAsia="宋体" w:hint="default"/>
          <w:b/>
          <w:bCs/>
          <w:w w:val="99"/>
        </w:rPr>
        <w:t> </w:t>
      </w:r>
      <w:r>
        <w:rPr>
          <w:spacing w:val="-1"/>
        </w:rPr>
        <w:t>本公司自行建造的在建工程按实际成本计价，实际成本由建造该项资产达到预定可使用状态前所发生</w:t>
      </w:r>
    </w:p>
    <w:p>
      <w:pPr>
        <w:pStyle w:val="BodyText"/>
        <w:spacing w:line="273" w:lineRule="auto" w:before="23"/>
        <w:ind w:left="154" w:right="1133"/>
        <w:jc w:val="both"/>
      </w:pPr>
      <w:r>
        <w:rPr>
          <w:spacing w:val="-1"/>
        </w:rPr>
        <w:t>的必要支出构成，包括工程用物资成本、人工成本、交纳的相关税费、应予资本化的借款费用以及应分摊</w:t>
      </w:r>
      <w:r>
        <w:rPr>
          <w:spacing w:val="-86"/>
        </w:rPr>
        <w:t> </w:t>
      </w:r>
      <w:r>
        <w:rPr>
          <w:spacing w:val="-86"/>
        </w:rPr>
      </w:r>
      <w:r>
        <w:rPr/>
        <w:t>的间接费用等。本公司的在建工程以项目分类核算。</w:t>
      </w:r>
    </w:p>
    <w:p>
      <w:pPr>
        <w:spacing w:line="256" w:lineRule="auto" w:before="7"/>
        <w:ind w:left="574" w:right="10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pStyle w:val="BodyText"/>
        <w:spacing w:line="273" w:lineRule="auto" w:before="22"/>
        <w:ind w:right="1131"/>
        <w:jc w:val="both"/>
      </w:pPr>
      <w:r>
        <w:rPr>
          <w:spacing w:val="-1"/>
        </w:rPr>
        <w:t>所建造的在建工程已达到预定可使用状态，但尚未办理竣工决算的，自达到预定可使用状态之日起，根据</w:t>
      </w:r>
      <w:r>
        <w:rPr>
          <w:spacing w:val="-83"/>
        </w:rPr>
        <w:t> </w:t>
      </w:r>
      <w:r>
        <w:rPr>
          <w:spacing w:val="-83"/>
        </w:rPr>
      </w:r>
      <w:r>
        <w:rPr>
          <w:spacing w:val="-1"/>
        </w:rPr>
        <w:t>工程预算、造价或者工程实际成本等，按估计的价值转入固定资产，并按本公司固定资产折旧政策计提固</w:t>
      </w:r>
      <w:r>
        <w:rPr>
          <w:spacing w:val="-83"/>
        </w:rPr>
        <w:t> </w:t>
      </w:r>
      <w:r>
        <w:rPr>
          <w:spacing w:val="-83"/>
        </w:rPr>
      </w:r>
      <w:r>
        <w:rPr/>
        <w:t>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1034"/>
        <w:jc w:val="left"/>
        <w:rPr>
          <w:b w:val="0"/>
          <w:bCs w:val="0"/>
        </w:rPr>
      </w:pPr>
      <w:bookmarkStart w:name="17、借款费用" w:id="185"/>
      <w:bookmarkEnd w:id="185"/>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公司发生的借款费用，可直接归属于符合资本化条件的资产的购建或者生产的，在符合资本化条件的</w:t>
      </w:r>
    </w:p>
    <w:p>
      <w:pPr>
        <w:pStyle w:val="BodyText"/>
        <w:spacing w:line="273" w:lineRule="auto" w:before="22"/>
        <w:ind w:left="154" w:right="1133"/>
        <w:jc w:val="both"/>
      </w:pPr>
      <w:r>
        <w:rPr>
          <w:spacing w:val="-1"/>
        </w:rPr>
        <w:t>情况下开始资本化，计入相关资产成本；其他借款费用，在发生时根据其发生额确认为费用，计入当期损</w:t>
      </w:r>
      <w:r>
        <w:rPr>
          <w:spacing w:val="-86"/>
        </w:rPr>
        <w:t> </w:t>
      </w:r>
      <w:r>
        <w:rPr>
          <w:spacing w:val="-86"/>
        </w:rPr>
      </w:r>
      <w:r>
        <w:rPr/>
        <w:t>益。</w:t>
      </w:r>
    </w:p>
    <w:p>
      <w:pPr>
        <w:pStyle w:val="BodyText"/>
        <w:spacing w:line="273" w:lineRule="auto"/>
        <w:ind w:left="154" w:right="1034" w:firstLine="420"/>
        <w:jc w:val="left"/>
      </w:pPr>
      <w:r>
        <w:rPr>
          <w:spacing w:val="-1"/>
        </w:rPr>
        <w:t>符合资本化条件的资产，是指需要经过相当长时间的购建或者生产活动才能达到预定可使用或者可销</w:t>
      </w:r>
      <w:r>
        <w:rPr/>
        <w:t> 售状态的固定资产、投资性房地产和存货等资产。</w:t>
      </w:r>
    </w:p>
    <w:p>
      <w:pPr>
        <w:pStyle w:val="BodyText"/>
        <w:spacing w:line="240" w:lineRule="auto"/>
        <w:ind w:left="574" w:right="1034"/>
        <w:jc w:val="left"/>
      </w:pPr>
      <w:r>
        <w:rPr/>
        <w:t>借款费用同时满足下列条件时开始资本化：</w:t>
      </w:r>
    </w:p>
    <w:p>
      <w:pPr>
        <w:pStyle w:val="BodyText"/>
        <w:spacing w:line="256" w:lineRule="auto" w:before="37"/>
        <w:ind w:left="154" w:right="1197"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22"/>
        <w:ind w:left="574" w:right="1034"/>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left="574" w:right="1034"/>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56" w:lineRule="auto" w:before="21"/>
        <w:ind w:left="574"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240" w:lineRule="auto" w:before="22"/>
        <w:ind w:left="154" w:right="1034"/>
        <w:jc w:val="left"/>
      </w:pPr>
      <w:r>
        <w:rPr/>
        <w:t>包括在内。</w:t>
      </w:r>
    </w:p>
    <w:p>
      <w:pPr>
        <w:pStyle w:val="BodyText"/>
        <w:spacing w:line="273" w:lineRule="auto" w:before="37"/>
        <w:ind w:left="574" w:right="1034"/>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ind w:left="154" w:right="1034"/>
        <w:jc w:val="left"/>
      </w:pPr>
      <w:r>
        <w:rPr/>
        <w:t>止资本化。</w:t>
      </w:r>
    </w:p>
    <w:p>
      <w:pPr>
        <w:pStyle w:val="BodyText"/>
        <w:spacing w:line="273" w:lineRule="auto" w:before="37"/>
        <w:ind w:left="154" w:right="1034" w:firstLine="420"/>
        <w:jc w:val="left"/>
      </w:pPr>
      <w:r>
        <w:rPr>
          <w:spacing w:val="-1"/>
        </w:rPr>
        <w:t>购建或者生产的资产的各部分分别完工，但必须等到整体完工后才可使用或可对外销售的，在该资产</w:t>
      </w:r>
      <w:r>
        <w:rPr/>
        <w:t> 整体完工时停止借款费用资本化。</w:t>
      </w:r>
    </w:p>
    <w:p>
      <w:pPr>
        <w:pStyle w:val="BodyText"/>
        <w:spacing w:line="256" w:lineRule="auto"/>
        <w:ind w:left="574" w:right="1197" w:hanging="420"/>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273" w:lineRule="auto" w:before="5"/>
        <w:ind w:left="154"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256" w:lineRule="auto" w:before="7"/>
        <w:ind w:left="574"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BodyText"/>
        <w:spacing w:line="273" w:lineRule="auto" w:before="22"/>
        <w:ind w:left="154" w:right="1110"/>
        <w:jc w:val="both"/>
      </w:pPr>
      <w:r>
        <w:rPr/>
        <w:t>投资收益）及其辅助费用在所购建或者生产的符合资本化条件的资产达到预定可使用或者可销售状态前， 予以资本化。</w:t>
      </w:r>
    </w:p>
    <w:p>
      <w:pPr>
        <w:pStyle w:val="BodyText"/>
        <w:spacing w:line="240" w:lineRule="auto"/>
        <w:ind w:left="574" w:right="1034"/>
        <w:jc w:val="left"/>
      </w:pPr>
      <w:r>
        <w:rPr/>
        <w:t>根据累计资产支出超过专门借款部分的资产支出加权平均数乘以所占用一般借款的资本化率，计算确</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3" w:right="1034" w:hanging="420"/>
        <w:jc w:val="left"/>
      </w:pPr>
      <w:r>
        <w:rPr/>
        <w:t>定一般借款应予资本化的利息金额。资本化率根据一般借款加权平均利率计算确定。 </w:t>
      </w:r>
      <w:r>
        <w:rPr>
          <w:spacing w:val="-1"/>
        </w:rPr>
        <w:t>借款存在折价或者溢价的，按照实际利率法确定每一会计期间应摊销的折价或者溢价金额，调整每期</w:t>
      </w:r>
    </w:p>
    <w:p>
      <w:pPr>
        <w:pStyle w:val="BodyText"/>
        <w:spacing w:line="240" w:lineRule="auto"/>
        <w:ind w:right="1034"/>
        <w:jc w:val="left"/>
      </w:pPr>
      <w:r>
        <w:rPr/>
        <w:t>利息金额。</w:t>
      </w:r>
    </w:p>
    <w:p>
      <w:pPr>
        <w:spacing w:line="240" w:lineRule="auto" w:before="12"/>
        <w:rPr>
          <w:rFonts w:ascii="宋体" w:hAnsi="宋体" w:cs="宋体" w:eastAsia="宋体" w:hint="default"/>
          <w:sz w:val="25"/>
          <w:szCs w:val="25"/>
        </w:rPr>
      </w:pPr>
    </w:p>
    <w:p>
      <w:pPr>
        <w:pStyle w:val="Heading6"/>
        <w:spacing w:line="240" w:lineRule="auto"/>
        <w:ind w:right="1034"/>
        <w:jc w:val="left"/>
        <w:rPr>
          <w:b w:val="0"/>
          <w:bCs w:val="0"/>
        </w:rPr>
      </w:pPr>
      <w:bookmarkStart w:name="18、无形资产" w:id="186"/>
      <w:bookmarkEnd w:id="186"/>
      <w:r>
        <w:rPr>
          <w:b w:val="0"/>
          <w:bCs w:val="0"/>
        </w:rPr>
      </w:r>
      <w:r>
        <w:rPr>
          <w:rFonts w:ascii="Times New Roman" w:hAnsi="Times New Roman" w:cs="Times New Roman" w:eastAsia="Times New Roman" w:hint="default"/>
        </w:rPr>
        <w:t>18</w:t>
      </w:r>
      <w:r>
        <w:rPr/>
        <w:t>、无形资产</w:t>
      </w:r>
      <w:r>
        <w:rPr>
          <w:b w:val="0"/>
          <w:bCs w:val="0"/>
        </w:rPr>
      </w:r>
    </w:p>
    <w:p>
      <w:pPr>
        <w:spacing w:line="590" w:lineRule="atLeast" w:before="23"/>
        <w:ind w:left="574" w:right="3402" w:hanging="420"/>
        <w:jc w:val="left"/>
        <w:rPr>
          <w:rFonts w:ascii="宋体" w:hAnsi="宋体" w:cs="宋体" w:eastAsia="宋体" w:hint="default"/>
          <w:sz w:val="21"/>
          <w:szCs w:val="21"/>
        </w:rPr>
      </w:pPr>
      <w:bookmarkStart w:name="（1）计价方法、使用寿命、减值测试"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无形资产是指本公司拥有或者控制的没有实物形态的可辨认非货币性资产。</w:t>
      </w:r>
    </w:p>
    <w:p>
      <w:pPr>
        <w:pStyle w:val="Heading6"/>
        <w:spacing w:line="240" w:lineRule="auto" w:before="37"/>
        <w:ind w:right="1034"/>
        <w:jc w:val="left"/>
        <w:rPr>
          <w:b w:val="0"/>
          <w:bCs w:val="0"/>
        </w:rPr>
      </w:pPr>
      <w:r>
        <w:rPr>
          <w:rFonts w:ascii="宋体" w:hAnsi="宋体" w:cs="宋体" w:eastAsia="宋体" w:hint="default"/>
        </w:rPr>
        <w:t>1.</w:t>
      </w:r>
      <w:r>
        <w:rPr>
          <w:rFonts w:ascii="宋体" w:hAnsi="宋体" w:cs="宋体" w:eastAsia="宋体" w:hint="default"/>
          <w:spacing w:val="39"/>
        </w:rPr>
        <w:t> </w:t>
      </w:r>
      <w:r>
        <w:rPr/>
        <w:t>无形资产的初始计量</w:t>
      </w:r>
      <w:r>
        <w:rPr>
          <w:b w:val="0"/>
          <w:bCs w:val="0"/>
        </w:rPr>
      </w:r>
    </w:p>
    <w:p>
      <w:pPr>
        <w:pStyle w:val="BodyText"/>
        <w:spacing w:line="273" w:lineRule="auto" w:before="37"/>
        <w:ind w:left="513" w:right="1171" w:firstLine="420"/>
        <w:jc w:val="both"/>
      </w:pPr>
      <w:r>
        <w:rPr/>
        <w:t>外购无形资产的成本，包括购买价款、相关税费以及直接归属于使该项资产达到预定用途所发生 的其他支出。购买无形资产的价款超过正常信用条件延期支付，实质上具有融资性质的，无形资产的 成本以购买价款的现值为基础确定。</w:t>
      </w:r>
    </w:p>
    <w:p>
      <w:pPr>
        <w:pStyle w:val="BodyText"/>
        <w:spacing w:line="273" w:lineRule="auto"/>
        <w:ind w:left="514" w:right="1171" w:firstLine="420"/>
        <w:jc w:val="both"/>
      </w:pPr>
      <w:r>
        <w:rPr/>
        <w:t>债务重组取得债务人用以抵债的无形资产，以该无形资产的公允价值为基础确定其入账价值，并 将重组债务的账面价值与该用以抵债的无形资产公允价值之间的差额，计入当期损益。</w:t>
      </w:r>
    </w:p>
    <w:p>
      <w:pPr>
        <w:pStyle w:val="BodyText"/>
        <w:spacing w:line="273" w:lineRule="auto"/>
        <w:ind w:left="513" w:right="1169" w:firstLine="420"/>
        <w:jc w:val="both"/>
      </w:pPr>
      <w:r>
        <w:rPr/>
        <w:t>在非货币性资产交换具备商业实质且换入资产或换出资产的公允价值能够可靠计量的前提下，非 货币性资产交换换入的无形资产以换出资产的公允价值为基础确定其入账价值，除非有确凿证据表明 换入资产的公允价值更加可靠；不满足上述前提的非货币性资产交换，以换出资产的账面价值和应支 付的相关税费作为换入无形资产的成本，不确认损益。</w:t>
      </w:r>
    </w:p>
    <w:p>
      <w:pPr>
        <w:pStyle w:val="BodyText"/>
        <w:spacing w:line="273" w:lineRule="auto"/>
        <w:ind w:left="513" w:right="1171" w:firstLine="420"/>
        <w:jc w:val="both"/>
      </w:pPr>
      <w:r>
        <w:rPr/>
        <w:t>以同一控制下的企业吸收合并方式取得的无形资产按被合并方的账面价值确定其入账价值；以非 同一控制下的企业吸收合并方式取得的无形资产按公允价值确定其入账价值。</w:t>
      </w:r>
    </w:p>
    <w:p>
      <w:pPr>
        <w:pStyle w:val="BodyText"/>
        <w:spacing w:line="273" w:lineRule="auto"/>
        <w:ind w:left="513" w:right="1169" w:firstLine="420"/>
        <w:jc w:val="both"/>
      </w:pPr>
      <w:r>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spacing w:line="273" w:lineRule="auto" w:before="7"/>
        <w:ind w:left="573" w:right="1093"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无形资产的后续计量</w:t>
      </w:r>
      <w:r>
        <w:rPr>
          <w:rFonts w:ascii="宋体" w:hAnsi="宋体" w:cs="宋体" w:eastAsia="宋体" w:hint="default"/>
          <w:b/>
          <w:bCs/>
          <w:w w:val="99"/>
          <w:sz w:val="21"/>
          <w:szCs w:val="21"/>
        </w:rPr>
        <w:t> </w:t>
      </w:r>
      <w:r>
        <w:rPr>
          <w:rFonts w:ascii="宋体" w:hAnsi="宋体" w:cs="宋体" w:eastAsia="宋体" w:hint="default"/>
          <w:sz w:val="21"/>
          <w:szCs w:val="21"/>
        </w:rPr>
        <w:t>本公司在取得无形资产时分析判断其使用寿命，划分为使用寿命有限和使用寿命不确定的无形资产。</w:t>
      </w:r>
    </w:p>
    <w:p>
      <w:pPr>
        <w:pStyle w:val="BodyText"/>
        <w:spacing w:line="256" w:lineRule="auto"/>
        <w:ind w:left="574" w:right="1034" w:hanging="420"/>
        <w:jc w:val="left"/>
      </w:pPr>
      <w:r>
        <w:rPr/>
        <w:t>（</w:t>
      </w:r>
      <w:r>
        <w:rPr>
          <w:rFonts w:ascii="Times New Roman" w:hAnsi="Times New Roman" w:cs="Times New Roman" w:eastAsia="Times New Roman" w:hint="default"/>
        </w:rPr>
        <w:t>1</w:t>
      </w:r>
      <w:r>
        <w:rPr/>
        <w:t>）使用寿命有限的无形资产 </w:t>
      </w:r>
      <w:r>
        <w:rPr>
          <w:spacing w:val="-1"/>
        </w:rPr>
        <w:t>对于使用寿命有限的无形资产，在为企业带来经济利益的期限内按直线法摊销。使用寿命有限的无形</w:t>
      </w:r>
    </w:p>
    <w:p>
      <w:pPr>
        <w:pStyle w:val="BodyText"/>
        <w:spacing w:line="240" w:lineRule="auto" w:before="22"/>
        <w:ind w:left="154" w:right="1034"/>
        <w:jc w:val="left"/>
      </w:pPr>
      <w:r>
        <w:rPr/>
        <w:t>资产预计寿命及依据如下：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806"/>
        <w:gridCol w:w="1872"/>
        <w:gridCol w:w="3743"/>
      </w:tblGrid>
      <w:tr>
        <w:trPr>
          <w:trHeight w:val="355" w:hRule="exact"/>
        </w:trPr>
        <w:tc>
          <w:tcPr>
            <w:tcW w:w="2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5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5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4-10</w:t>
            </w:r>
            <w:r>
              <w:rPr>
                <w:rFonts w:ascii="宋体" w:hAnsi="宋体" w:cs="宋体" w:eastAsia="宋体" w:hint="default"/>
                <w:sz w:val="18"/>
                <w:szCs w:val="18"/>
              </w:rPr>
              <w:t>年</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5"/>
        <w:rPr>
          <w:rFonts w:ascii="宋体" w:hAnsi="宋体" w:cs="宋体" w:eastAsia="宋体" w:hint="default"/>
          <w:sz w:val="5"/>
          <w:szCs w:val="5"/>
        </w:rPr>
      </w:pPr>
    </w:p>
    <w:p>
      <w:pPr>
        <w:pStyle w:val="BodyText"/>
        <w:spacing w:line="273" w:lineRule="auto" w:before="35"/>
        <w:ind w:left="154" w:right="1092" w:firstLine="420"/>
        <w:jc w:val="left"/>
      </w:pPr>
      <w:r>
        <w:rPr/>
        <w:t>每期末，对使用寿命有限的无形资产的使用寿命及摊销方法进行复核，如与原先估计数存在差异的， 进行相应的调整。</w:t>
      </w:r>
    </w:p>
    <w:p>
      <w:pPr>
        <w:pStyle w:val="BodyText"/>
        <w:spacing w:line="240" w:lineRule="auto"/>
        <w:ind w:left="573" w:right="1034"/>
        <w:jc w:val="left"/>
      </w:pPr>
      <w:r>
        <w:rPr/>
        <w:t>经复核，本期期末无形资产的使用寿命及摊销方法与以前估计未有不同。</w:t>
      </w:r>
    </w:p>
    <w:p>
      <w:pPr>
        <w:pStyle w:val="BodyText"/>
        <w:spacing w:line="256" w:lineRule="auto" w:before="37"/>
        <w:ind w:left="573" w:right="1034" w:hanging="420"/>
        <w:jc w:val="left"/>
      </w:pPr>
      <w:r>
        <w:rPr/>
        <w:t>（</w:t>
      </w:r>
      <w:r>
        <w:rPr>
          <w:rFonts w:ascii="Times New Roman" w:hAnsi="Times New Roman" w:cs="Times New Roman" w:eastAsia="Times New Roman" w:hint="default"/>
        </w:rPr>
        <w:t>2</w:t>
      </w:r>
      <w:r>
        <w:rPr/>
        <w:t>）使用寿命不确定的无形资产 </w:t>
      </w:r>
      <w:r>
        <w:rPr>
          <w:spacing w:val="-1"/>
        </w:rPr>
        <w:t>无法预见无形资产为企业带来经济利益期限的，视为使用寿命不确定的无形资产。对于使用寿命不确</w:t>
      </w:r>
    </w:p>
    <w:p>
      <w:pPr>
        <w:pStyle w:val="BodyText"/>
        <w:spacing w:line="273" w:lineRule="auto" w:before="22"/>
        <w:ind w:right="1034"/>
        <w:jc w:val="left"/>
      </w:pPr>
      <w:r>
        <w:rPr>
          <w:spacing w:val="-1"/>
        </w:rPr>
        <w:t>定的无形资产，在持有期间内不摊销，每期末对无形资产的寿命进行复核。如果期末重新复核后仍为不确</w:t>
      </w:r>
      <w:r>
        <w:rPr>
          <w:spacing w:val="-83"/>
        </w:rPr>
        <w:t> </w:t>
      </w:r>
      <w:r>
        <w:rPr>
          <w:spacing w:val="-83"/>
        </w:rPr>
      </w:r>
      <w:r>
        <w:rPr/>
        <w:t>定的，在每个会计期间继续进行减值测试。</w:t>
      </w:r>
    </w:p>
    <w:p>
      <w:pPr>
        <w:pStyle w:val="BodyText"/>
        <w:spacing w:line="240" w:lineRule="auto"/>
        <w:ind w:left="574" w:right="1034"/>
        <w:jc w:val="left"/>
      </w:pPr>
      <w:r>
        <w:rPr/>
        <w:t>经复核，该类无形资产的使用寿命仍为不确定。</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2）内部研究开发支出会计政策" w:id="188"/>
      <w:bookmarkEnd w:id="18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spacing w:line="273" w:lineRule="auto" w:before="0"/>
        <w:ind w:left="934" w:right="0"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pacing w:val="-2"/>
          <w:sz w:val="21"/>
          <w:szCs w:val="21"/>
        </w:rPr>
        <w:t>研究阶段：为获取并理解新的科学或技术知识等而进行的独创性的有计划调查、研究活动的阶段。</w:t>
      </w:r>
      <w:r>
        <w:rPr>
          <w:rFonts w:ascii="宋体" w:hAnsi="宋体" w:cs="宋体" w:eastAsia="宋体" w:hint="default"/>
          <w:sz w:val="21"/>
          <w:szCs w:val="21"/>
        </w:rPr>
        <w:t> 开发阶段：在进行商业性生产或使用前，将研究成果或其他知识应用于某项计划或设计，以生产</w:t>
      </w:r>
    </w:p>
    <w:p>
      <w:pPr>
        <w:pStyle w:val="BodyText"/>
        <w:spacing w:line="273" w:lineRule="auto"/>
        <w:ind w:left="934" w:right="4302" w:hanging="421"/>
        <w:jc w:val="left"/>
      </w:pPr>
      <w:r>
        <w:rPr/>
        <w:t>出新的或具有实质性改进的材料、装置、产品等活动的阶段。 内部研究开发项目研究阶段的支出，在发生时计入当期损益。</w:t>
      </w:r>
    </w:p>
    <w:p>
      <w:pPr>
        <w:spacing w:line="273" w:lineRule="auto" w:before="7"/>
        <w:ind w:left="573" w:right="3403"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ind w:left="573" w:right="1034"/>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73" w:right="1034"/>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1215" w:firstLine="42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BodyText"/>
        <w:spacing w:line="256" w:lineRule="auto" w:before="22"/>
        <w:ind w:right="1215" w:firstLine="42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256" w:lineRule="auto" w:before="22"/>
        <w:ind w:left="574" w:right="1034"/>
        <w:jc w:val="left"/>
      </w:pPr>
      <w:r>
        <w:rPr/>
        <w:t>（</w:t>
      </w:r>
      <w:r>
        <w:rPr>
          <w:rFonts w:ascii="Times New Roman" w:hAnsi="Times New Roman" w:cs="Times New Roman" w:eastAsia="Times New Roman" w:hint="default"/>
        </w:rPr>
        <w:t>5</w:t>
      </w:r>
      <w:r>
        <w:rPr/>
        <w:t>）归属于该无形资产开发阶段的支出能够可靠地计量。 </w:t>
      </w:r>
      <w:r>
        <w:rPr>
          <w:spacing w:val="-1"/>
        </w:rPr>
        <w:t>不满足上述条件的开发阶段的支出，于发生时计入当期损益。以前期间已计入损益的开发支出不在以</w:t>
      </w:r>
    </w:p>
    <w:p>
      <w:pPr>
        <w:pStyle w:val="BodyText"/>
        <w:spacing w:line="273" w:lineRule="auto" w:before="22"/>
        <w:ind w:left="154" w:right="1034"/>
        <w:jc w:val="left"/>
      </w:pPr>
      <w:r>
        <w:rPr>
          <w:spacing w:val="-1"/>
        </w:rPr>
        <w:t>后期间重新确认为资产。已资本化的开发阶段的支出在资产负债表上列示为开发支出，自该项目达到预定</w:t>
      </w:r>
      <w:r>
        <w:rPr>
          <w:spacing w:val="-81"/>
        </w:rPr>
        <w:t> </w:t>
      </w:r>
      <w:r>
        <w:rPr>
          <w:spacing w:val="-81"/>
        </w:rPr>
      </w:r>
      <w:r>
        <w:rPr/>
        <w:t>用途之日起转为无形资产。</w:t>
      </w:r>
    </w:p>
    <w:p>
      <w:pPr>
        <w:spacing w:line="240" w:lineRule="auto" w:before="8"/>
        <w:rPr>
          <w:rFonts w:ascii="宋体" w:hAnsi="宋体" w:cs="宋体" w:eastAsia="宋体" w:hint="default"/>
          <w:sz w:val="24"/>
          <w:szCs w:val="24"/>
        </w:rPr>
      </w:pPr>
    </w:p>
    <w:p>
      <w:pPr>
        <w:pStyle w:val="BodyText"/>
        <w:spacing w:line="590" w:lineRule="atLeast" w:before="0"/>
        <w:ind w:left="574" w:right="1092" w:hanging="420"/>
        <w:jc w:val="left"/>
      </w:pPr>
      <w:bookmarkStart w:name="19、长期资产减值" w:id="189"/>
      <w:bookmarkEnd w:id="189"/>
      <w:r>
        <w:rPr/>
      </w:r>
      <w:r>
        <w:rPr>
          <w:rFonts w:ascii="Times New Roman" w:hAnsi="Times New Roman" w:cs="Times New Roman" w:eastAsia="Times New Roman" w:hint="default"/>
          <w:b/>
          <w:bCs/>
        </w:rPr>
        <w:t>19</w:t>
      </w:r>
      <w:r>
        <w:rPr>
          <w:rFonts w:ascii="宋体" w:hAnsi="宋体" w:cs="宋体" w:eastAsia="宋体" w:hint="default"/>
          <w:b/>
          <w:bCs/>
        </w:rPr>
        <w:t>、长期资产减值</w:t>
      </w:r>
      <w:r>
        <w:rPr>
          <w:rFonts w:ascii="宋体" w:hAnsi="宋体" w:cs="宋体" w:eastAsia="宋体" w:hint="default"/>
          <w:b/>
          <w:bCs/>
          <w:w w:val="99"/>
        </w:rPr>
        <w:t> </w:t>
      </w:r>
      <w:r>
        <w:rPr/>
        <w:t>本公司在资产负债表日判断长期资产是否存在可能发生减值的迹象。如果长期资产存在减值迹象的，</w:t>
      </w:r>
    </w:p>
    <w:p>
      <w:pPr>
        <w:pStyle w:val="BodyText"/>
        <w:spacing w:line="273" w:lineRule="auto" w:before="37"/>
        <w:ind w:left="154" w:right="1034"/>
        <w:jc w:val="left"/>
      </w:pPr>
      <w:r>
        <w:rPr>
          <w:spacing w:val="-1"/>
        </w:rPr>
        <w:t>以单项资产为基础估计其可收回金额；难以对单项资产的可收回金额进行估计的，以该资产所属的资产组</w:t>
      </w:r>
      <w:r>
        <w:rPr>
          <w:spacing w:val="-81"/>
        </w:rPr>
        <w:t> </w:t>
      </w:r>
      <w:r>
        <w:rPr>
          <w:spacing w:val="-81"/>
        </w:rPr>
      </w:r>
      <w:r>
        <w:rPr/>
        <w:t>为基础确定资产组的可收回金额。</w:t>
      </w:r>
    </w:p>
    <w:p>
      <w:pPr>
        <w:pStyle w:val="BodyText"/>
        <w:spacing w:line="273" w:lineRule="auto"/>
        <w:ind w:left="154" w:right="1132" w:firstLine="420"/>
        <w:jc w:val="both"/>
      </w:pPr>
      <w:r>
        <w:rPr>
          <w:spacing w:val="-1"/>
        </w:rPr>
        <w:t>资产可收回金额的估计，根据其公允价值减去处置费用后的净额与资产预计未来现金流量的现值两者</w:t>
      </w:r>
      <w:r>
        <w:rPr/>
        <w:t> 之间较高者确定。</w:t>
      </w:r>
    </w:p>
    <w:p>
      <w:pPr>
        <w:pStyle w:val="BodyText"/>
        <w:spacing w:line="273" w:lineRule="auto"/>
        <w:ind w:left="154" w:right="1131" w:firstLine="420"/>
        <w:jc w:val="both"/>
      </w:pPr>
      <w:r>
        <w:rPr>
          <w:spacing w:val="-1"/>
        </w:rPr>
        <w:t>可收回金额的计量结果表明，长期资产的可收回金额低于其账面价值的，将长期资产的账面价值减记</w:t>
      </w:r>
      <w:r>
        <w:rPr/>
        <w:t> </w:t>
      </w:r>
      <w:r>
        <w:rPr>
          <w:spacing w:val="-1"/>
        </w:rPr>
        <w:t>至可收回金额，减记的金额确认为资产减值损失，计入当期损益，同时计提相应的资产减值准备。资产减</w:t>
      </w:r>
      <w:r>
        <w:rPr>
          <w:spacing w:val="-86"/>
        </w:rPr>
        <w:t> </w:t>
      </w:r>
      <w:r>
        <w:rPr>
          <w:spacing w:val="-86"/>
        </w:rPr>
      </w:r>
      <w:r>
        <w:rPr/>
        <w:t>值损失一经确认，在以后会计期间不得转回。</w:t>
      </w:r>
    </w:p>
    <w:p>
      <w:pPr>
        <w:pStyle w:val="BodyText"/>
        <w:spacing w:line="273" w:lineRule="auto"/>
        <w:ind w:left="154" w:right="1131" w:firstLine="420"/>
        <w:jc w:val="both"/>
      </w:pPr>
      <w:r>
        <w:rPr>
          <w:spacing w:val="-1"/>
        </w:rPr>
        <w:t>资产减值损失确认后，减值资产的折旧或者摊销费用在未来期间作相应调整，以使该资产在剩余使用</w:t>
      </w:r>
      <w:r>
        <w:rPr/>
        <w:t> 寿命内，系统地分摊调整后的资产账面价值（扣除预计净残值）。</w:t>
      </w:r>
    </w:p>
    <w:p>
      <w:pPr>
        <w:pStyle w:val="BodyText"/>
        <w:spacing w:line="273" w:lineRule="auto"/>
        <w:ind w:right="1131" w:firstLine="420"/>
        <w:jc w:val="both"/>
      </w:pPr>
      <w:r>
        <w:rPr>
          <w:spacing w:val="-1"/>
        </w:rPr>
        <w:t>因企业合并所形成的商誉和使用寿命不确定的无形资产，无论是否存在减值迹象，每年都进行减值测</w:t>
      </w:r>
      <w:r>
        <w:rPr/>
        <w:t> 试。</w:t>
      </w:r>
    </w:p>
    <w:p>
      <w:pPr>
        <w:pStyle w:val="BodyText"/>
        <w:spacing w:line="273" w:lineRule="auto"/>
        <w:ind w:left="154" w:right="1130" w:firstLine="420"/>
        <w:jc w:val="both"/>
      </w:pPr>
      <w:r>
        <w:rPr>
          <w:spacing w:val="-1"/>
        </w:rPr>
        <w:t>在对商誉进行减值测试时，将商誉的账面价值分摊至预期从企业合并的协同效应中受益的资产组或资</w:t>
      </w:r>
      <w:r>
        <w:rPr/>
        <w:t> </w:t>
      </w:r>
      <w:r>
        <w:rPr>
          <w:spacing w:val="-1"/>
        </w:rPr>
        <w:t>产组组合。在对包含商誉的相关资产组或者资产组组合进行减值测试时，如与商誉相关的资产组或者资产</w:t>
      </w:r>
      <w:r>
        <w:rPr>
          <w:spacing w:val="-81"/>
        </w:rPr>
        <w:t> </w:t>
      </w:r>
      <w:r>
        <w:rPr>
          <w:spacing w:val="-81"/>
        </w:rPr>
      </w:r>
      <w:r>
        <w:rPr>
          <w:spacing w:val="-1"/>
        </w:rPr>
        <w:t>组组合存在减值迹象的，先对不包含商誉的资产组或者资产组组合进行减值测试，计算可收回金额，并与</w:t>
      </w:r>
      <w:r>
        <w:rPr>
          <w:spacing w:val="-83"/>
        </w:rPr>
        <w:t> </w:t>
      </w:r>
      <w:r>
        <w:rPr>
          <w:spacing w:val="-83"/>
        </w:rPr>
      </w:r>
      <w:r>
        <w:rPr>
          <w:spacing w:val="-1"/>
        </w:rPr>
        <w:t>相关账面价值相比较，确认相应的减值损失。再对包含商誉的资产组或者资产组组合进行减值测试，比较</w:t>
      </w:r>
      <w:r>
        <w:rPr>
          <w:spacing w:val="-83"/>
        </w:rPr>
        <w:t> </w:t>
      </w:r>
      <w:r>
        <w:rPr>
          <w:spacing w:val="-83"/>
        </w:rPr>
      </w:r>
      <w:r>
        <w:rPr>
          <w:spacing w:val="-1"/>
        </w:rPr>
        <w:t>这些相关资产组或者资产组组合的账面价值（包括所分摊的商誉的账面价值部分）与其可收回金额，如相</w:t>
      </w:r>
      <w:r>
        <w:rPr>
          <w:spacing w:val="-83"/>
        </w:rPr>
        <w:t> </w:t>
      </w:r>
      <w:r>
        <w:rPr>
          <w:spacing w:val="-83"/>
        </w:rPr>
      </w:r>
      <w:r>
        <w:rPr/>
        <w:t>关资产组或者资产组组合的可收回金额低于其账面价值的，确认商誉的减值损失。</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20、长期待摊费用" w:id="190"/>
      <w:bookmarkEnd w:id="190"/>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034" w:firstLine="420"/>
        <w:jc w:val="left"/>
      </w:pPr>
      <w:r>
        <w:rPr>
          <w:spacing w:val="-1"/>
        </w:rPr>
        <w:t>本公司长期待摊费用是指已经支出，但受益期限在</w:t>
      </w:r>
      <w:r>
        <w:rPr>
          <w:rFonts w:ascii="Times New Roman" w:hAnsi="Times New Roman" w:cs="Times New Roman" w:eastAsia="Times New Roman" w:hint="default"/>
          <w:spacing w:val="-1"/>
        </w:rPr>
        <w:t>1</w:t>
      </w:r>
      <w:r>
        <w:rPr>
          <w:spacing w:val="-1"/>
        </w:rPr>
        <w:t>年以上（不含</w:t>
      </w:r>
      <w:r>
        <w:rPr>
          <w:rFonts w:ascii="Times New Roman" w:hAnsi="Times New Roman" w:cs="Times New Roman" w:eastAsia="Times New Roman" w:hint="default"/>
          <w:spacing w:val="-1"/>
        </w:rPr>
        <w:t>1</w:t>
      </w:r>
      <w:r>
        <w:rPr>
          <w:spacing w:val="-1"/>
        </w:rPr>
        <w:t>年）的各项费用，有明确受益期限</w:t>
      </w:r>
      <w:r>
        <w:rPr/>
        <w:t> 的，按受益期限平均摊销；无明确受益期的，分</w:t>
      </w:r>
      <w:r>
        <w:rPr>
          <w:rFonts w:ascii="Times New Roman" w:hAnsi="Times New Roman" w:cs="Times New Roman" w:eastAsia="Times New Roman" w:hint="default"/>
        </w:rPr>
        <w:t>5</w:t>
      </w:r>
      <w:r>
        <w:rPr/>
        <w:t>年平均摊销，一旦预计对以后会计期间不能带来经济利 益流入，就将摊余价值一次性计入当期损益。</w:t>
      </w:r>
    </w:p>
    <w:p>
      <w:pPr>
        <w:spacing w:line="240" w:lineRule="auto" w:before="10"/>
        <w:rPr>
          <w:rFonts w:ascii="宋体" w:hAnsi="宋体" w:cs="宋体" w:eastAsia="宋体" w:hint="default"/>
          <w:sz w:val="24"/>
          <w:szCs w:val="24"/>
        </w:rPr>
      </w:pPr>
    </w:p>
    <w:p>
      <w:pPr>
        <w:pStyle w:val="Heading6"/>
        <w:spacing w:line="240" w:lineRule="auto"/>
        <w:ind w:left="154" w:right="1034"/>
        <w:jc w:val="left"/>
        <w:rPr>
          <w:b w:val="0"/>
          <w:bCs w:val="0"/>
        </w:rPr>
      </w:pPr>
      <w:bookmarkStart w:name="21、职工薪酬" w:id="191"/>
      <w:bookmarkEnd w:id="191"/>
      <w:r>
        <w:rPr>
          <w:b w:val="0"/>
          <w:bCs w:val="0"/>
        </w:rPr>
      </w:r>
      <w:r>
        <w:rPr>
          <w:rFonts w:ascii="Times New Roman" w:hAnsi="Times New Roman" w:cs="Times New Roman" w:eastAsia="Times New Roman" w:hint="default"/>
        </w:rPr>
        <w:t>21</w:t>
      </w:r>
      <w:r>
        <w:rPr/>
        <w:t>、职工薪酬</w:t>
      </w:r>
      <w:r>
        <w:rPr>
          <w:b w:val="0"/>
          <w:bCs w:val="0"/>
        </w:rPr>
      </w:r>
    </w:p>
    <w:p>
      <w:pPr>
        <w:spacing w:line="590" w:lineRule="atLeast" w:before="23"/>
        <w:ind w:left="574" w:right="1302" w:hanging="420"/>
        <w:jc w:val="left"/>
        <w:rPr>
          <w:rFonts w:ascii="宋体" w:hAnsi="宋体" w:cs="宋体" w:eastAsia="宋体" w:hint="default"/>
          <w:sz w:val="21"/>
          <w:szCs w:val="21"/>
        </w:rPr>
      </w:pPr>
      <w:bookmarkStart w:name="（1）短期薪酬的会计处理方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短期薪酬是指本公司在职工提供相关服务的年度报告期间结束后十二个月内需要全部予以支付的职</w:t>
      </w:r>
    </w:p>
    <w:p>
      <w:pPr>
        <w:pStyle w:val="BodyText"/>
        <w:spacing w:line="273" w:lineRule="auto" w:before="37"/>
        <w:ind w:left="154" w:right="1023"/>
        <w:jc w:val="left"/>
      </w:pPr>
      <w:r>
        <w:rPr>
          <w:spacing w:val="-3"/>
        </w:rPr>
        <w:t>工薪酬，离职后福利和辞退福利除外。本公司在职工提供服务的会计期间，将应付的短期薪酬确认为负债，</w:t>
      </w:r>
      <w:r>
        <w:rPr>
          <w:spacing w:val="-90"/>
        </w:rPr>
        <w:t> </w:t>
      </w:r>
      <w:r>
        <w:rPr>
          <w:spacing w:val="-90"/>
        </w:rPr>
      </w:r>
      <w:r>
        <w:rPr/>
        <w:t>并根据职工提供服务的受益对象计入相关资产成本和费用。</w:t>
      </w:r>
    </w:p>
    <w:p>
      <w:pPr>
        <w:spacing w:line="590" w:lineRule="atLeast" w:before="9"/>
        <w:ind w:left="573" w:right="1034" w:hanging="420"/>
        <w:jc w:val="left"/>
        <w:rPr>
          <w:rFonts w:ascii="宋体" w:hAnsi="宋体" w:cs="宋体" w:eastAsia="宋体" w:hint="default"/>
          <w:sz w:val="21"/>
          <w:szCs w:val="21"/>
        </w:rPr>
      </w:pPr>
      <w:bookmarkStart w:name="（2）离职后福利的会计处理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离职后福利是指本公司为获得职工提供的服务而在职工退休或与企业解除劳动关系后，提供的各种形</w:t>
      </w:r>
    </w:p>
    <w:p>
      <w:pPr>
        <w:pStyle w:val="BodyText"/>
        <w:spacing w:line="273" w:lineRule="auto" w:before="37"/>
        <w:ind w:left="573" w:right="1034" w:hanging="420"/>
        <w:jc w:val="left"/>
      </w:pPr>
      <w:r>
        <w:rPr/>
        <w:t>式的报酬和福利，短期薪酬和辞退福利除外。 本公司的离职后福利计划分类为设定提存计划和设定受益计划。 </w:t>
      </w:r>
      <w:r>
        <w:rPr>
          <w:spacing w:val="-1"/>
        </w:rPr>
        <w:t>离职后福利设定提存计划主要为参加由各地劳动及社会保障机构组织实施的社会基本养老保险、失业</w:t>
      </w:r>
    </w:p>
    <w:p>
      <w:pPr>
        <w:pStyle w:val="BodyText"/>
        <w:spacing w:line="273" w:lineRule="auto"/>
        <w:ind w:right="1034"/>
        <w:jc w:val="left"/>
      </w:pPr>
      <w:r>
        <w:rPr>
          <w:spacing w:val="-1"/>
        </w:rPr>
        <w:t>保险等。在职工为本公司提供服务的会计期间，将根据设定提存计划计算的应缴存金额确认为负债，并计</w:t>
      </w:r>
      <w:r>
        <w:rPr>
          <w:spacing w:val="-83"/>
        </w:rPr>
        <w:t> </w:t>
      </w:r>
      <w:r>
        <w:rPr>
          <w:spacing w:val="-83"/>
        </w:rPr>
      </w:r>
      <w:r>
        <w:rPr/>
        <w:t>入当期损益或相关资产成本。</w:t>
      </w:r>
    </w:p>
    <w:p>
      <w:pPr>
        <w:pStyle w:val="BodyText"/>
        <w:spacing w:line="240" w:lineRule="auto" w:before="8"/>
        <w:ind w:left="574" w:right="1034"/>
        <w:jc w:val="left"/>
      </w:pPr>
      <w:r>
        <w:rPr/>
        <w:t>本公司按照国家规定的标准和年金计划定期缴付上述款项后，不再有其他的支付义务。</w:t>
      </w:r>
    </w:p>
    <w:p>
      <w:pPr>
        <w:spacing w:line="590" w:lineRule="atLeast" w:before="39"/>
        <w:ind w:left="573" w:right="1034" w:hanging="420"/>
        <w:jc w:val="left"/>
        <w:rPr>
          <w:rFonts w:ascii="宋体" w:hAnsi="宋体" w:cs="宋体" w:eastAsia="宋体" w:hint="default"/>
          <w:sz w:val="21"/>
          <w:szCs w:val="21"/>
        </w:rPr>
      </w:pPr>
      <w:bookmarkStart w:name="（3）辞退福利的会计处理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辞退福利是指本公司在职工劳动合同到期之前解除与职工的劳动关系，或者为鼓励职工自愿接受裁减</w:t>
      </w:r>
    </w:p>
    <w:p>
      <w:pPr>
        <w:pStyle w:val="BodyText"/>
        <w:spacing w:line="273" w:lineRule="auto" w:before="37"/>
        <w:ind w:right="1130"/>
        <w:jc w:val="both"/>
      </w:pPr>
      <w:r>
        <w:rPr>
          <w:spacing w:val="-1"/>
        </w:rPr>
        <w:t>而给予职工的补偿，在本公司不能单方面撤回解除劳动关系计划或裁减建议时和确认与涉及支付辞退福利</w:t>
      </w:r>
      <w:r>
        <w:rPr>
          <w:spacing w:val="-80"/>
        </w:rPr>
        <w:t> </w:t>
      </w:r>
      <w:r>
        <w:rPr>
          <w:spacing w:val="-80"/>
        </w:rPr>
      </w:r>
      <w:r>
        <w:rPr>
          <w:spacing w:val="-1"/>
        </w:rPr>
        <w:t>的重组相关的成本费用时两者孰早日，确认因解除与职工的劳动关系给予补偿而产生的负债，同时计入当</w:t>
      </w:r>
      <w:r>
        <w:rPr>
          <w:spacing w:val="-81"/>
        </w:rPr>
        <w:t> </w:t>
      </w:r>
      <w:r>
        <w:rPr>
          <w:spacing w:val="-81"/>
        </w:rPr>
      </w:r>
      <w:r>
        <w:rPr/>
        <w:t>期损益。</w:t>
      </w:r>
    </w:p>
    <w:p>
      <w:pPr>
        <w:spacing w:line="240" w:lineRule="auto" w:before="8"/>
        <w:rPr>
          <w:rFonts w:ascii="宋体" w:hAnsi="宋体" w:cs="宋体" w:eastAsia="宋体" w:hint="default"/>
          <w:sz w:val="23"/>
          <w:szCs w:val="23"/>
        </w:rPr>
      </w:pPr>
    </w:p>
    <w:p>
      <w:pPr>
        <w:spacing w:line="506" w:lineRule="auto" w:before="0"/>
        <w:ind w:left="573" w:right="2353" w:hanging="420"/>
        <w:jc w:val="left"/>
        <w:rPr>
          <w:rFonts w:ascii="宋体" w:hAnsi="宋体" w:cs="宋体" w:eastAsia="宋体" w:hint="default"/>
          <w:sz w:val="21"/>
          <w:szCs w:val="21"/>
        </w:rPr>
      </w:pPr>
      <w:bookmarkStart w:name="（4）其他长期职工福利的会计处理方法"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其他长期职工福利是指除短期薪酬、离职后福利、辞退福利之外的其他所有职工福利。</w:t>
      </w:r>
    </w:p>
    <w:p>
      <w:pPr>
        <w:pStyle w:val="Heading6"/>
        <w:spacing w:line="240" w:lineRule="auto" w:before="105"/>
        <w:ind w:right="1034"/>
        <w:jc w:val="left"/>
        <w:rPr>
          <w:b w:val="0"/>
          <w:bCs w:val="0"/>
        </w:rPr>
      </w:pPr>
      <w:bookmarkStart w:name="22、预计负债" w:id="196"/>
      <w:bookmarkEnd w:id="196"/>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4"/>
          <w:szCs w:val="24"/>
        </w:rPr>
      </w:pPr>
    </w:p>
    <w:p>
      <w:pPr>
        <w:pStyle w:val="BodyText"/>
        <w:spacing w:line="268" w:lineRule="auto" w:before="0"/>
        <w:ind w:left="573" w:right="3823" w:hanging="420"/>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256" w:lineRule="auto" w:before="12"/>
        <w:ind w:left="574" w:right="31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本公司预计负债按履行相关现时义务所需的支出的最佳估计数进行初始计量。</w:t>
      </w:r>
    </w:p>
    <w:p>
      <w:pPr>
        <w:pStyle w:val="BodyText"/>
        <w:spacing w:line="240" w:lineRule="auto" w:before="21"/>
        <w:ind w:left="573" w:right="1034"/>
        <w:jc w:val="left"/>
      </w:pPr>
      <w:r>
        <w:rPr/>
        <w:t>本公司在确定最佳估计数时，综合考虑与或有事项有关的风险、不确定性和货币时间价值等因素。对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3" w:right="1034" w:hanging="420"/>
        <w:jc w:val="left"/>
      </w:pPr>
      <w:r>
        <w:rPr/>
        <w:t>于货币时间价值影响重大的，通过对相关未来现金流出进行折现后确定最佳估计数。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BodyText"/>
        <w:spacing w:line="273" w:lineRule="auto"/>
        <w:ind w:left="573" w:right="1034"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273" w:lineRule="auto"/>
        <w:ind w:right="1034"/>
        <w:jc w:val="left"/>
      </w:pPr>
      <w:r>
        <w:rPr>
          <w:spacing w:val="-1"/>
        </w:rPr>
        <w:t>性不相同的，如或有事项涉及单个项目的，则最佳估计数按照最可能发生金额确定；如或有事项涉及多个</w:t>
      </w:r>
      <w:r>
        <w:rPr>
          <w:spacing w:val="-82"/>
        </w:rPr>
        <w:t> </w:t>
      </w:r>
      <w:r>
        <w:rPr>
          <w:spacing w:val="-82"/>
        </w:rPr>
      </w:r>
      <w:r>
        <w:rPr/>
        <w:t>项目的，则最佳估计数按各种可能结果及相关概率计算确定。</w:t>
      </w:r>
    </w:p>
    <w:p>
      <w:pPr>
        <w:pStyle w:val="BodyText"/>
        <w:spacing w:line="273" w:lineRule="auto"/>
        <w:ind w:right="1131" w:firstLine="420"/>
        <w:jc w:val="both"/>
      </w:pPr>
      <w:r>
        <w:rPr>
          <w:spacing w:val="-1"/>
        </w:rPr>
        <w:t>本公司清偿预计负债所需支出全部或部分预期由第三方补偿的，补偿金额在基本确定能够收到时，作</w:t>
      </w:r>
      <w:r>
        <w:rPr/>
        <w:t> 为资产单独确认，确认的补偿金额不超过预计负债的账面价值。</w:t>
      </w:r>
    </w:p>
    <w:p>
      <w:pPr>
        <w:spacing w:line="240" w:lineRule="auto" w:before="8"/>
        <w:rPr>
          <w:rFonts w:ascii="宋体" w:hAnsi="宋体" w:cs="宋体" w:eastAsia="宋体" w:hint="default"/>
          <w:sz w:val="23"/>
          <w:szCs w:val="23"/>
        </w:rPr>
      </w:pPr>
    </w:p>
    <w:p>
      <w:pPr>
        <w:pStyle w:val="Heading6"/>
        <w:spacing w:line="240" w:lineRule="auto"/>
        <w:ind w:right="1034"/>
        <w:jc w:val="left"/>
        <w:rPr>
          <w:b w:val="0"/>
          <w:bCs w:val="0"/>
        </w:rPr>
      </w:pPr>
      <w:bookmarkStart w:name="23、股份支付" w:id="197"/>
      <w:bookmarkEnd w:id="197"/>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361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sz w:val="21"/>
          <w:szCs w:val="21"/>
        </w:rPr>
        <w:t>本公司的股份支付分为以权益结算的股份支付和以现金结算的股份支付。</w:t>
      </w:r>
    </w:p>
    <w:p>
      <w:pPr>
        <w:spacing w:line="256" w:lineRule="auto" w:before="22"/>
        <w:ind w:left="573"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对于授予的存在活跃市场的期权等权益工具，按照活跃市场中的报价确定其公允价值。对于授予的不</w:t>
      </w:r>
    </w:p>
    <w:p>
      <w:pPr>
        <w:pStyle w:val="BodyText"/>
        <w:spacing w:line="264" w:lineRule="auto" w:before="22"/>
        <w:ind w:right="0"/>
        <w:jc w:val="left"/>
      </w:pPr>
      <w:r>
        <w:rPr/>
        <w:t>存在活跃市场的期权等权益工具，采用期权定价模型等确定其公允价值，选用的期权定价模型考虑以下因 </w:t>
      </w:r>
      <w:r>
        <w:rPr>
          <w:spacing w:val="-5"/>
        </w:rPr>
        <w:t>素：（</w:t>
      </w:r>
      <w:r>
        <w:rPr>
          <w:rFonts w:ascii="Times New Roman" w:hAnsi="Times New Roman" w:cs="Times New Roman" w:eastAsia="Times New Roman" w:hint="default"/>
          <w:spacing w:val="-5"/>
        </w:rPr>
        <w:t>1</w:t>
      </w:r>
      <w:r>
        <w:rPr>
          <w:spacing w:val="-5"/>
        </w:rPr>
        <w:t>）期权的行权价格；（</w:t>
      </w:r>
      <w:r>
        <w:rPr>
          <w:rFonts w:ascii="Times New Roman" w:hAnsi="Times New Roman" w:cs="Times New Roman" w:eastAsia="Times New Roman" w:hint="default"/>
          <w:spacing w:val="-5"/>
        </w:rPr>
        <w:t>2</w:t>
      </w:r>
      <w:r>
        <w:rPr>
          <w:spacing w:val="-5"/>
        </w:rPr>
        <w:t>）期权的有效期；（</w:t>
      </w:r>
      <w:r>
        <w:rPr>
          <w:rFonts w:ascii="Times New Roman" w:hAnsi="Times New Roman" w:cs="Times New Roman" w:eastAsia="Times New Roman" w:hint="default"/>
          <w:spacing w:val="-5"/>
        </w:rPr>
        <w:t>3</w:t>
      </w:r>
      <w:r>
        <w:rPr>
          <w:spacing w:val="-5"/>
        </w:rPr>
        <w:t>）标的股份的现行价格；（</w:t>
      </w:r>
      <w:r>
        <w:rPr>
          <w:rFonts w:ascii="Times New Roman" w:hAnsi="Times New Roman" w:cs="Times New Roman" w:eastAsia="Times New Roman" w:hint="default"/>
          <w:spacing w:val="-5"/>
        </w:rPr>
        <w:t>4</w:t>
      </w:r>
      <w:r>
        <w:rPr>
          <w:spacing w:val="-5"/>
        </w:rPr>
        <w:t>）股价预计波动率；（</w:t>
      </w:r>
      <w:r>
        <w:rPr>
          <w:rFonts w:ascii="Times New Roman" w:hAnsi="Times New Roman" w:cs="Times New Roman" w:eastAsia="Times New Roman" w:hint="default"/>
          <w:spacing w:val="-5"/>
        </w:rPr>
        <w:t>5</w:t>
      </w:r>
      <w:r>
        <w:rPr>
          <w:spacing w:val="-5"/>
        </w:rPr>
        <w:t>）</w:t>
      </w:r>
      <w:r>
        <w:rPr>
          <w:spacing w:val="-93"/>
        </w:rPr>
        <w:t> </w:t>
      </w:r>
      <w:r>
        <w:rPr/>
        <w:t>股份的预计股利；（</w:t>
      </w:r>
      <w:r>
        <w:rPr>
          <w:rFonts w:ascii="Times New Roman" w:hAnsi="Times New Roman" w:cs="Times New Roman" w:eastAsia="Times New Roman" w:hint="default"/>
        </w:rPr>
        <w:t>6</w:t>
      </w:r>
      <w:r>
        <w:rPr/>
        <w:t>）期权有效期内的无风险利率。</w:t>
      </w:r>
    </w:p>
    <w:p>
      <w:pPr>
        <w:pStyle w:val="BodyText"/>
        <w:spacing w:line="273" w:lineRule="auto" w:before="0"/>
        <w:ind w:right="1130" w:firstLine="420"/>
        <w:jc w:val="both"/>
      </w:pPr>
      <w:r>
        <w:rPr>
          <w:spacing w:val="-1"/>
        </w:rPr>
        <w:t>在确定权益工具授予日的公允价值时，考虑股份支付协议规定的可行权条件中的市场条件和非可行权</w:t>
      </w:r>
      <w:r>
        <w:rPr/>
        <w:t> </w:t>
      </w:r>
      <w:r>
        <w:rPr>
          <w:spacing w:val="-5"/>
        </w:rPr>
        <w:t>条件的影响。股份支付存在非可行权条件的，只要职工或其他方满足了所有可行权条件中的非市场条件（如</w:t>
      </w:r>
      <w:r>
        <w:rPr>
          <w:spacing w:val="-101"/>
        </w:rPr>
        <w:t> </w:t>
      </w:r>
      <w:r>
        <w:rPr>
          <w:spacing w:val="-101"/>
        </w:rPr>
      </w:r>
      <w:r>
        <w:rPr/>
        <w:t>服务期限等），即确认已得到服务相对应的成本费用。</w:t>
      </w:r>
    </w:p>
    <w:p>
      <w:pPr>
        <w:spacing w:line="256" w:lineRule="auto" w:before="8"/>
        <w:ind w:left="574"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、确定可行权权益工具最佳估计的依据</w:t>
      </w:r>
      <w:r>
        <w:rPr>
          <w:rFonts w:ascii="宋体" w:hAnsi="宋体" w:cs="宋体" w:eastAsia="宋体" w:hint="default"/>
          <w:b/>
          <w:bCs/>
          <w:w w:val="99"/>
          <w:sz w:val="21"/>
          <w:szCs w:val="21"/>
        </w:rPr>
        <w:t> </w:t>
      </w:r>
      <w:r>
        <w:rPr>
          <w:rFonts w:ascii="宋体" w:hAnsi="宋体" w:cs="宋体" w:eastAsia="宋体" w:hint="default"/>
          <w:spacing w:val="-1"/>
          <w:sz w:val="21"/>
          <w:szCs w:val="21"/>
        </w:rPr>
        <w:t>等待期内每个资产负债表日，根据最新取得的可行权职工人数变动等后续信息作出最佳估计，修正预</w:t>
      </w:r>
    </w:p>
    <w:p>
      <w:pPr>
        <w:pStyle w:val="BodyText"/>
        <w:spacing w:line="240" w:lineRule="auto" w:before="22"/>
        <w:ind w:left="154" w:right="1034"/>
        <w:jc w:val="left"/>
      </w:pPr>
      <w:r>
        <w:rPr/>
        <w:t>计可行权的权益工具数量。在可行权日，最终预计可行权权益工具的数量与实际可行权数量一致。</w:t>
      </w:r>
    </w:p>
    <w:p>
      <w:pPr>
        <w:spacing w:line="256" w:lineRule="auto" w:before="37"/>
        <w:ind w:left="573"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99"/>
          <w:sz w:val="21"/>
          <w:szCs w:val="21"/>
        </w:rPr>
        <w:t> </w:t>
      </w:r>
      <w:r>
        <w:rPr>
          <w:rFonts w:ascii="宋体" w:hAnsi="宋体" w:cs="宋体" w:eastAsia="宋体" w:hint="default"/>
          <w:spacing w:val="-1"/>
          <w:sz w:val="21"/>
          <w:szCs w:val="21"/>
        </w:rPr>
        <w:t>以权益结算的股份支付，按授予职工权益工具的公允价值计量。授予后立即可行权的，在授予日按照</w:t>
      </w:r>
    </w:p>
    <w:p>
      <w:pPr>
        <w:pStyle w:val="BodyText"/>
        <w:spacing w:line="273" w:lineRule="auto" w:before="22"/>
        <w:ind w:right="1131"/>
        <w:jc w:val="both"/>
      </w:pPr>
      <w:r>
        <w:rPr>
          <w:spacing w:val="-1"/>
        </w:rPr>
        <w:t>权益工具的公允价值计入相关成本或费用，相应增加资本公积。在完成等待期内的服务或达到规定业绩条</w:t>
      </w:r>
      <w:r>
        <w:rPr>
          <w:spacing w:val="-81"/>
        </w:rPr>
        <w:t> </w:t>
      </w:r>
      <w:r>
        <w:rPr>
          <w:spacing w:val="-81"/>
        </w:rPr>
      </w:r>
      <w:r>
        <w:rPr>
          <w:spacing w:val="-1"/>
        </w:rPr>
        <w:t>件才可行权的，在等待期内的每个资产负债表日，以对可行权权益工具数量的最佳估计为基础，按照权益</w:t>
      </w:r>
      <w:r>
        <w:rPr>
          <w:spacing w:val="-83"/>
        </w:rPr>
        <w:t> </w:t>
      </w:r>
      <w:r>
        <w:rPr>
          <w:spacing w:val="-83"/>
        </w:rPr>
      </w:r>
      <w:r>
        <w:rPr>
          <w:spacing w:val="-1"/>
        </w:rPr>
        <w:t>工具授予日的公允价值，将当期取得的服务计入相关成本或费用和资本公积。在可行权日之后不再对已确</w:t>
      </w:r>
      <w:r>
        <w:rPr>
          <w:spacing w:val="-81"/>
        </w:rPr>
        <w:t> </w:t>
      </w:r>
      <w:r>
        <w:rPr>
          <w:spacing w:val="-81"/>
        </w:rPr>
      </w:r>
      <w:r>
        <w:rPr/>
        <w:t>认的相关成本或费用和所有者权益总额进行调整。</w:t>
      </w:r>
    </w:p>
    <w:p>
      <w:pPr>
        <w:pStyle w:val="BodyText"/>
        <w:spacing w:line="273" w:lineRule="auto"/>
        <w:ind w:right="1024" w:firstLine="420"/>
        <w:jc w:val="left"/>
        <w:rPr>
          <w:rFonts w:ascii="宋体" w:hAnsi="宋体" w:cs="宋体" w:eastAsia="宋体" w:hint="default"/>
        </w:rPr>
      </w:pPr>
      <w:r>
        <w:rPr/>
        <w:t>以现金结算的股份支付，按照本公司承担的以股份或其他权益工具为基础计算确定的负债的公允价值 </w:t>
      </w:r>
      <w:r>
        <w:rPr>
          <w:spacing w:val="-3"/>
        </w:rPr>
        <w:t>计量。授予后立即可行权的，在授予日以本公司承担负债的公允价值计入相关成本或费用，相应增加负债。</w:t>
      </w:r>
      <w:r>
        <w:rPr>
          <w:spacing w:val="-90"/>
        </w:rPr>
        <w:t> </w:t>
      </w:r>
      <w:r>
        <w:rPr>
          <w:spacing w:val="-90"/>
        </w:rPr>
      </w:r>
      <w:r>
        <w:rPr/>
        <w:t>在完成等待期内的服务或达到规定业绩条件以后才可行权的以现金结算的股份支付，在等待期内的每个资</w:t>
      </w:r>
      <w:r>
        <w:rPr/>
        <w:t>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 </w:t>
      </w:r>
      <w:r>
        <w:rPr>
          <w:rFonts w:ascii="Times New Roman" w:hAnsi="Times New Roman" w:cs="Times New Roman" w:eastAsia="Times New Roman" w:hint="default"/>
          <w:b/>
          <w:bCs/>
        </w:rPr>
        <w:t>5</w:t>
      </w:r>
      <w:r>
        <w:rPr>
          <w:rFonts w:ascii="宋体" w:hAnsi="宋体" w:cs="宋体" w:eastAsia="宋体" w:hint="default"/>
          <w:b/>
          <w:bCs/>
        </w:rPr>
        <w:t>、对于存在修改条款和条件的情况的，本期的修改情况及相关会计处理</w:t>
      </w:r>
      <w:r>
        <w:rPr>
          <w:rFonts w:ascii="宋体" w:hAnsi="宋体" w:cs="宋体" w:eastAsia="宋体" w:hint="default"/>
        </w:rPr>
      </w:r>
    </w:p>
    <w:p>
      <w:pPr>
        <w:pStyle w:val="BodyText"/>
        <w:spacing w:line="273" w:lineRule="auto" w:before="0"/>
        <w:ind w:right="1131" w:firstLine="420"/>
        <w:jc w:val="both"/>
      </w:pPr>
      <w:r>
        <w:rPr>
          <w:spacing w:val="-1"/>
        </w:rPr>
        <w:t>若在等待期内取消了授予的权益工具，本公司对取消所授予的权益性工具作为加速行权处理，将剩余</w:t>
      </w:r>
      <w:r>
        <w:rPr/>
        <w:t> </w:t>
      </w:r>
      <w:r>
        <w:rPr>
          <w:spacing w:val="-1"/>
        </w:rPr>
        <w:t>等待期内应确认的金额立即计入当期损益，同时确认资本公积。职工或其他方能够选择满足非可行权条件</w:t>
      </w:r>
      <w:r>
        <w:rPr>
          <w:spacing w:val="-81"/>
        </w:rPr>
        <w:t> </w:t>
      </w:r>
      <w:r>
        <w:rPr>
          <w:spacing w:val="-81"/>
        </w:rPr>
      </w:r>
      <w:r>
        <w:rPr/>
        <w:t>但在等待期内未满足的，本公司将其作为授予权益工具的取消处理。</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24、收入" w:id="198"/>
      <w:bookmarkEnd w:id="198"/>
      <w:r>
        <w:rPr>
          <w:b w:val="0"/>
          <w:bCs w:val="0"/>
        </w:rPr>
      </w: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BodyText"/>
        <w:spacing w:line="273" w:lineRule="auto" w:before="23"/>
        <w:ind w:left="154" w:right="1023"/>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273" w:lineRule="auto"/>
        <w:ind w:right="1110" w:firstLine="420"/>
        <w:jc w:val="both"/>
      </w:pPr>
      <w:r>
        <w:rPr/>
        <w:t>具体地，成套开关设备收入确认的时点是：本公司与客户签订销售合同后，根据合同要求组织生产， </w:t>
      </w:r>
      <w:r>
        <w:rPr>
          <w:spacing w:val="-1"/>
        </w:rPr>
        <w:t>产品完工后验收入库，根据客户要求开具出库单将产品发到指定地点进行安装调试，安装调试达到验收标</w:t>
      </w:r>
      <w:r>
        <w:rPr>
          <w:spacing w:val="-81"/>
        </w:rPr>
        <w:t> </w:t>
      </w:r>
      <w:r>
        <w:rPr>
          <w:spacing w:val="-81"/>
        </w:rPr>
      </w:r>
      <w:r>
        <w:rPr/>
        <w:t>准后即获得收取货款的权利，据此开具发票确认收入。</w:t>
      </w:r>
    </w:p>
    <w:p>
      <w:pPr>
        <w:pStyle w:val="BodyText"/>
        <w:spacing w:line="273" w:lineRule="auto"/>
        <w:ind w:left="154" w:right="1034" w:firstLine="420"/>
        <w:jc w:val="left"/>
      </w:pPr>
      <w:r>
        <w:rPr>
          <w:spacing w:val="-1"/>
        </w:rPr>
        <w:t>其他产品确认的时点是：本公司根据合同要求组织生产，于仓库发出产品，开具出库单，获得收取货</w:t>
      </w:r>
      <w:r>
        <w:rPr/>
        <w:t> 款的权利，据此开具发票确认收入。</w:t>
      </w:r>
    </w:p>
    <w:p>
      <w:pPr>
        <w:spacing w:line="256" w:lineRule="auto" w:before="7"/>
        <w:ind w:left="574"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22"/>
        <w:ind w:left="154" w:right="1034"/>
        <w:jc w:val="left"/>
      </w:pPr>
      <w:r>
        <w:rPr/>
        <w:t>使用权收入金额：</w:t>
      </w:r>
    </w:p>
    <w:p>
      <w:pPr>
        <w:pStyle w:val="BodyText"/>
        <w:spacing w:line="240" w:lineRule="auto" w:before="37"/>
        <w:ind w:left="574" w:right="1034"/>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left="574" w:right="1034"/>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56" w:lineRule="auto" w:before="21"/>
        <w:ind w:left="574" w:right="103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、提供劳务收入的确认依据和方法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273" w:lineRule="auto" w:before="22"/>
        <w:ind w:left="574" w:right="4662" w:hanging="420"/>
        <w:jc w:val="left"/>
      </w:pPr>
      <w:r>
        <w:rPr/>
        <w:t>务交易的完工进度，依据已完工作的测量确定。 提供劳务交易的结果能够可靠估计，是指同时满足下列条件：</w:t>
      </w:r>
    </w:p>
    <w:p>
      <w:pPr>
        <w:pStyle w:val="BodyText"/>
        <w:spacing w:line="240" w:lineRule="auto"/>
        <w:ind w:left="574" w:right="1034"/>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21"/>
        <w:ind w:left="574" w:right="1034"/>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21"/>
        <w:ind w:left="574" w:right="1034"/>
        <w:jc w:val="left"/>
      </w:pPr>
      <w:r>
        <w:rPr/>
        <w:t>（</w:t>
      </w:r>
      <w:r>
        <w:rPr>
          <w:rFonts w:ascii="Times New Roman" w:hAnsi="Times New Roman" w:cs="Times New Roman" w:eastAsia="Times New Roman" w:hint="default"/>
        </w:rPr>
        <w:t>3</w:t>
      </w:r>
      <w:r>
        <w:rPr/>
        <w:t>）交易的完工进度能够可靠地确定；</w:t>
      </w:r>
    </w:p>
    <w:p>
      <w:pPr>
        <w:pStyle w:val="BodyText"/>
        <w:spacing w:line="256" w:lineRule="auto" w:before="21"/>
        <w:ind w:left="574" w:right="1034"/>
        <w:jc w:val="left"/>
      </w:pPr>
      <w:r>
        <w:rPr/>
        <w:t>（</w:t>
      </w:r>
      <w:r>
        <w:rPr>
          <w:rFonts w:ascii="Times New Roman" w:hAnsi="Times New Roman" w:cs="Times New Roman" w:eastAsia="Times New Roman" w:hint="default"/>
        </w:rPr>
        <w:t>4</w:t>
      </w:r>
      <w:r>
        <w:rPr/>
        <w:t>）交易中已发生和将发生的成本能够可靠地计量。 </w:t>
      </w:r>
      <w:r>
        <w:rPr>
          <w:spacing w:val="-1"/>
        </w:rPr>
        <w:t>按照已收或应收的合同或协议价款确定提供劳务收入总额，但已收或应收的合同或协议价款不公允的</w:t>
      </w:r>
    </w:p>
    <w:p>
      <w:pPr>
        <w:pStyle w:val="BodyText"/>
        <w:spacing w:line="273" w:lineRule="auto" w:before="22"/>
        <w:ind w:left="154" w:right="1131"/>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pStyle w:val="BodyText"/>
        <w:spacing w:line="240" w:lineRule="auto"/>
        <w:ind w:left="574" w:right="1034"/>
        <w:jc w:val="left"/>
      </w:pPr>
      <w:r>
        <w:rPr/>
        <w:t>在资产负债表日提供劳务交易结果不能够可靠估计的，分别下列情况处理：</w:t>
      </w:r>
    </w:p>
    <w:p>
      <w:pPr>
        <w:pStyle w:val="BodyText"/>
        <w:spacing w:line="256" w:lineRule="auto" w:before="37"/>
        <w:ind w:right="1198" w:firstLine="42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 并按相同金额结转劳务成本。</w:t>
      </w:r>
    </w:p>
    <w:p>
      <w:pPr>
        <w:pStyle w:val="BodyText"/>
        <w:spacing w:line="256" w:lineRule="auto" w:before="22"/>
        <w:ind w:left="154" w:right="1197" w:firstLine="42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 供劳务收入。</w:t>
      </w:r>
    </w:p>
    <w:p>
      <w:pPr>
        <w:pStyle w:val="BodyText"/>
        <w:spacing w:line="273" w:lineRule="auto" w:before="22"/>
        <w:ind w:right="1131" w:firstLine="420"/>
        <w:jc w:val="both"/>
      </w:pPr>
      <w:r>
        <w:rPr>
          <w:spacing w:val="-1"/>
        </w:rPr>
        <w:t>本公司与其他企业签订的合同或协议包括销售商品和提供劳务时，销售商品部分和提供劳务部分能够</w:t>
      </w:r>
      <w:r>
        <w:rPr/>
        <w:t> </w:t>
      </w:r>
      <w:r>
        <w:rPr>
          <w:spacing w:val="-1"/>
        </w:rPr>
        <w:t>区分且能够单独计量的，将销售商品的部分作为销售商品处理，将提供劳务的部分作为提供劳务处理。销</w:t>
      </w:r>
      <w:r>
        <w:rPr>
          <w:spacing w:val="-83"/>
        </w:rPr>
        <w:t> </w:t>
      </w:r>
      <w:r>
        <w:rPr>
          <w:spacing w:val="-83"/>
        </w:rPr>
      </w:r>
      <w:r>
        <w:rPr>
          <w:spacing w:val="-1"/>
        </w:rPr>
        <w:t>售商品部分和提供劳务部分不能够区分，或虽能区分但不能够单独计量的，将销售商品部分和提供劳务部</w:t>
      </w:r>
      <w:r>
        <w:rPr>
          <w:spacing w:val="-81"/>
        </w:rPr>
        <w:t> </w:t>
      </w:r>
      <w:r>
        <w:rPr>
          <w:spacing w:val="-81"/>
        </w:rPr>
      </w:r>
      <w:r>
        <w:rPr/>
        <w:t>分全部作为销售商品处理。</w:t>
      </w:r>
    </w:p>
    <w:p>
      <w:pPr>
        <w:pStyle w:val="Heading6"/>
        <w:spacing w:line="240" w:lineRule="auto" w:before="7"/>
        <w:ind w:right="1034"/>
        <w:jc w:val="left"/>
        <w:rPr>
          <w:b w:val="0"/>
          <w:bCs w:val="0"/>
        </w:rPr>
      </w:pPr>
      <w:r>
        <w:rPr>
          <w:rFonts w:ascii="Times New Roman" w:hAnsi="Times New Roman" w:cs="Times New Roman" w:eastAsia="Times New Roman" w:hint="default"/>
        </w:rPr>
        <w:t>4</w:t>
      </w:r>
      <w:r>
        <w:rPr/>
        <w:t>、建造合同收入的确认依据和方法</w:t>
      </w:r>
      <w:r>
        <w:rPr>
          <w:b w:val="0"/>
          <w:bCs w:val="0"/>
        </w:rPr>
      </w:r>
    </w:p>
    <w:p>
      <w:pPr>
        <w:pStyle w:val="BodyText"/>
        <w:spacing w:line="268" w:lineRule="auto" w:before="21"/>
        <w:ind w:left="154" w:right="1034"/>
        <w:jc w:val="left"/>
      </w:pPr>
      <w:r>
        <w:rPr/>
        <w:t>（</w:t>
      </w:r>
      <w:r>
        <w:rPr>
          <w:rFonts w:ascii="Times New Roman" w:hAnsi="Times New Roman" w:cs="Times New Roman" w:eastAsia="Times New Roman" w:hint="default"/>
        </w:rPr>
        <w:t>1</w:t>
      </w:r>
      <w:r>
        <w:rPr/>
        <w:t>）当建造合同的结果能够可靠地估计时，与其相关的合同收入和合同费用在资产负债表日按完工百分 </w:t>
      </w:r>
      <w:r>
        <w:rPr>
          <w:spacing w:val="-1"/>
        </w:rPr>
        <w:t>比法予以确认。完工百分比法，是指根据合同完工进度确认合同收入和合同费用的方法。合同完工进度按</w:t>
      </w:r>
      <w:r>
        <w:rPr>
          <w:spacing w:val="-83"/>
        </w:rPr>
        <w:t> </w:t>
      </w:r>
      <w:r>
        <w:rPr>
          <w:spacing w:val="-83"/>
        </w:rPr>
      </w:r>
      <w:r>
        <w:rPr>
          <w:spacing w:val="-1"/>
        </w:rPr>
        <w:t>照累计实际发生的合同费用占合同预计总成本的比例【或：已完成的合同工作量占合同预计总工作量的比</w:t>
      </w:r>
      <w:r>
        <w:rPr>
          <w:spacing w:val="-81"/>
        </w:rPr>
        <w:t> </w:t>
      </w:r>
      <w:r>
        <w:rPr>
          <w:spacing w:val="-81"/>
        </w:rPr>
      </w:r>
      <w:r>
        <w:rPr/>
        <w:t>例、或：实际测定的完工进度】确定。</w:t>
      </w:r>
    </w:p>
    <w:p>
      <w:pPr>
        <w:pStyle w:val="BodyText"/>
        <w:spacing w:line="240" w:lineRule="auto" w:before="12"/>
        <w:ind w:left="574" w:right="1034"/>
        <w:jc w:val="left"/>
      </w:pPr>
      <w:r>
        <w:rPr/>
        <w:t>固定造价合同的结果能够可靠估计，是指同时满足下列条件：</w:t>
      </w:r>
    </w:p>
    <w:p>
      <w:pPr>
        <w:pStyle w:val="BodyText"/>
        <w:spacing w:line="240" w:lineRule="auto" w:before="37"/>
        <w:ind w:left="573" w:right="1034"/>
        <w:jc w:val="left"/>
      </w:pPr>
      <w:r>
        <w:rPr>
          <w:rFonts w:ascii="Times New Roman" w:hAnsi="Times New Roman" w:cs="Times New Roman" w:eastAsia="Times New Roman" w:hint="default"/>
        </w:rPr>
        <w:t>1</w:t>
      </w:r>
      <w:r>
        <w:rPr/>
        <w:t>）合同总收入能够可靠地计量；</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3" w:right="1034"/>
        <w:jc w:val="left"/>
      </w:pPr>
      <w:r>
        <w:rPr>
          <w:rFonts w:ascii="Times New Roman" w:hAnsi="Times New Roman" w:cs="Times New Roman" w:eastAsia="Times New Roman" w:hint="default"/>
        </w:rPr>
        <w:t>2</w:t>
      </w:r>
      <w:r>
        <w:rPr/>
        <w:t>）与合同相关的经济利益很可能流入企业；</w:t>
      </w:r>
    </w:p>
    <w:p>
      <w:pPr>
        <w:pStyle w:val="BodyText"/>
        <w:spacing w:line="240" w:lineRule="auto" w:before="21"/>
        <w:ind w:left="573" w:right="1034"/>
        <w:jc w:val="left"/>
      </w:pPr>
      <w:r>
        <w:rPr>
          <w:rFonts w:ascii="Times New Roman" w:hAnsi="Times New Roman" w:cs="Times New Roman" w:eastAsia="Times New Roman" w:hint="default"/>
        </w:rPr>
        <w:t>3</w:t>
      </w:r>
      <w:r>
        <w:rPr/>
        <w:t>）实际发生的合同成本能够清楚地区分和可靠地计量；</w:t>
      </w:r>
    </w:p>
    <w:p>
      <w:pPr>
        <w:pStyle w:val="BodyText"/>
        <w:spacing w:line="256" w:lineRule="auto" w:before="21"/>
        <w:ind w:left="573" w:right="4348"/>
        <w:jc w:val="left"/>
      </w:pPr>
      <w:r>
        <w:rPr>
          <w:rFonts w:ascii="Times New Roman" w:hAnsi="Times New Roman" w:cs="Times New Roman" w:eastAsia="Times New Roman" w:hint="default"/>
        </w:rPr>
        <w:t>4</w:t>
      </w:r>
      <w:r>
        <w:rPr/>
        <w:t>）合同完工进度和为完成合同尚需发生的成本能够可靠地确定。 成本加成合同的结果能够可靠估计，是指同时满足下列条件：</w:t>
      </w:r>
    </w:p>
    <w:p>
      <w:pPr>
        <w:pStyle w:val="BodyText"/>
        <w:spacing w:line="240" w:lineRule="auto" w:before="23"/>
        <w:ind w:right="1034"/>
        <w:jc w:val="left"/>
      </w:pPr>
      <w:r>
        <w:rPr>
          <w:rFonts w:ascii="Times New Roman" w:hAnsi="Times New Roman" w:cs="Times New Roman" w:eastAsia="Times New Roman" w:hint="default"/>
        </w:rPr>
        <w:t>1</w:t>
      </w:r>
      <w:r>
        <w:rPr/>
        <w:t>）与合同相关的经济利益很可能流入企业；</w:t>
      </w:r>
    </w:p>
    <w:p>
      <w:pPr>
        <w:pStyle w:val="BodyText"/>
        <w:spacing w:line="256" w:lineRule="auto" w:before="21"/>
        <w:ind w:left="573" w:right="1034" w:hanging="420"/>
        <w:jc w:val="left"/>
      </w:pPr>
      <w:r>
        <w:rPr>
          <w:rFonts w:ascii="Times New Roman" w:hAnsi="Times New Roman" w:cs="Times New Roman" w:eastAsia="Times New Roman" w:hint="default"/>
        </w:rPr>
        <w:t>2</w:t>
      </w:r>
      <w:r>
        <w:rPr/>
        <w:t>）实际发生的合同成本能够清楚地区分和可靠地计量。 </w:t>
      </w:r>
      <w:r>
        <w:rPr>
          <w:spacing w:val="-1"/>
        </w:rPr>
        <w:t>在资产负债表日，按照合同总收入乘以完工进度扣除以前会计期间累计已确认收入后的金额，确认为</w:t>
      </w:r>
    </w:p>
    <w:p>
      <w:pPr>
        <w:pStyle w:val="BodyText"/>
        <w:spacing w:line="273" w:lineRule="auto" w:before="22"/>
        <w:ind w:right="1131"/>
        <w:jc w:val="both"/>
      </w:pPr>
      <w:r>
        <w:rPr>
          <w:spacing w:val="-1"/>
        </w:rPr>
        <w:t>当期合同收入；同时，按照合同预计总成本乘以完工进度扣除以前会计期间累计已确认费用后的金额，确</w:t>
      </w:r>
      <w:r>
        <w:rPr>
          <w:spacing w:val="-83"/>
        </w:rPr>
        <w:t> </w:t>
      </w:r>
      <w:r>
        <w:rPr>
          <w:spacing w:val="-83"/>
        </w:rPr>
      </w:r>
      <w:r>
        <w:rPr>
          <w:spacing w:val="-1"/>
        </w:rPr>
        <w:t>认为当期合同费用。合同工程的变动、索赔及奖金以可能带来收入并能可靠计算的数额为限计入合同总收</w:t>
      </w:r>
      <w:r>
        <w:rPr>
          <w:spacing w:val="-81"/>
        </w:rPr>
        <w:t> </w:t>
      </w:r>
      <w:r>
        <w:rPr>
          <w:spacing w:val="-81"/>
        </w:rPr>
      </w:r>
      <w:r>
        <w:rPr/>
        <w:t>入。</w:t>
      </w:r>
    </w:p>
    <w:p>
      <w:pPr>
        <w:pStyle w:val="BodyText"/>
        <w:spacing w:line="256" w:lineRule="auto"/>
        <w:ind w:left="154" w:right="1197"/>
        <w:jc w:val="left"/>
      </w:pPr>
      <w:r>
        <w:rPr/>
        <w:t>（</w:t>
      </w:r>
      <w:r>
        <w:rPr>
          <w:rFonts w:ascii="Times New Roman" w:hAnsi="Times New Roman" w:cs="Times New Roman" w:eastAsia="Times New Roman" w:hint="default"/>
        </w:rPr>
        <w:t>2</w:t>
      </w:r>
      <w:r>
        <w:rPr/>
        <w:t>）建造合同的结果不能可靠估计的，分别下列情况处理： </w:t>
      </w:r>
      <w:r>
        <w:rPr>
          <w:rFonts w:ascii="Times New Roman" w:hAnsi="Times New Roman" w:cs="Times New Roman" w:eastAsia="Times New Roman" w:hint="default"/>
        </w:rPr>
        <w:t>1</w:t>
      </w:r>
      <w:r>
        <w:rPr/>
        <w:t>）合同成本能够收回的，合同收入根据能够收回的实际合同成本予以确认，合同成本在其发生的当期确 认为合同费用。</w:t>
      </w:r>
    </w:p>
    <w:p>
      <w:pPr>
        <w:pStyle w:val="BodyText"/>
        <w:spacing w:line="240" w:lineRule="auto" w:before="22"/>
        <w:ind w:left="154" w:right="1034"/>
        <w:jc w:val="left"/>
      </w:pPr>
      <w:r>
        <w:rPr>
          <w:rFonts w:ascii="Times New Roman" w:hAnsi="Times New Roman" w:cs="Times New Roman" w:eastAsia="Times New Roman" w:hint="default"/>
        </w:rPr>
        <w:t>2</w:t>
      </w:r>
      <w:r>
        <w:rPr/>
        <w:t>）合同成本不可能收回的，在发生时立即确认为合同费用，不确认合同收入。</w:t>
      </w:r>
    </w:p>
    <w:p>
      <w:pPr>
        <w:pStyle w:val="BodyText"/>
        <w:spacing w:line="240" w:lineRule="auto" w:before="21"/>
        <w:ind w:left="154" w:right="1034"/>
        <w:jc w:val="left"/>
      </w:pPr>
      <w:r>
        <w:rPr/>
        <w:t>（</w:t>
      </w:r>
      <w:r>
        <w:rPr>
          <w:rFonts w:ascii="Times New Roman" w:hAnsi="Times New Roman" w:cs="Times New Roman" w:eastAsia="Times New Roman" w:hint="default"/>
        </w:rPr>
        <w:t>3</w:t>
      </w:r>
      <w:r>
        <w:rPr/>
        <w:t>）如果合同总成本很可能超过合同总收入，则预期损失立即确认为费用。</w:t>
      </w:r>
    </w:p>
    <w:p>
      <w:pPr>
        <w:pStyle w:val="Heading6"/>
        <w:spacing w:line="240" w:lineRule="auto" w:before="21"/>
        <w:ind w:left="154" w:right="1034"/>
        <w:jc w:val="left"/>
        <w:rPr>
          <w:b w:val="0"/>
          <w:bCs w:val="0"/>
        </w:rPr>
      </w:pPr>
      <w:r>
        <w:rPr>
          <w:rFonts w:ascii="Times New Roman" w:hAnsi="Times New Roman" w:cs="Times New Roman" w:eastAsia="Times New Roman" w:hint="default"/>
        </w:rPr>
        <w:t>5</w:t>
      </w:r>
      <w:r>
        <w:rPr/>
        <w:t>、本公司相关收入的具体确认原则</w:t>
      </w:r>
      <w:r>
        <w:rPr>
          <w:b w:val="0"/>
          <w:bCs w:val="0"/>
        </w:rPr>
      </w:r>
    </w:p>
    <w:p>
      <w:pPr>
        <w:pStyle w:val="BodyText"/>
        <w:spacing w:line="264" w:lineRule="auto" w:before="21"/>
        <w:ind w:left="154" w:right="1034" w:firstLine="420"/>
        <w:jc w:val="left"/>
      </w:pPr>
      <w:r>
        <w:rPr/>
        <w:t>（</w:t>
      </w:r>
      <w:r>
        <w:rPr>
          <w:rFonts w:ascii="Times New Roman" w:hAnsi="Times New Roman" w:cs="Times New Roman" w:eastAsia="Times New Roman" w:hint="default"/>
        </w:rPr>
        <w:t>1</w:t>
      </w:r>
      <w:r>
        <w:rPr/>
        <w:t>）成套开关设备收入确认的时点是：本公司与客户签订销售合同后，根据合同要求组织生产，产 </w:t>
      </w:r>
      <w:r>
        <w:rPr>
          <w:spacing w:val="-1"/>
        </w:rPr>
        <w:t>品完工后验收入库，根据客户要求开具出库单将产品发到指定地点进行安装调试，安装调试达到验收标准</w:t>
      </w:r>
      <w:r>
        <w:rPr>
          <w:spacing w:val="-81"/>
        </w:rPr>
        <w:t> </w:t>
      </w:r>
      <w:r>
        <w:rPr>
          <w:spacing w:val="-81"/>
        </w:rPr>
      </w:r>
      <w:r>
        <w:rPr/>
        <w:t>后即获得收取货款的权利，据此开具发票确认收入。</w:t>
      </w:r>
    </w:p>
    <w:p>
      <w:pPr>
        <w:pStyle w:val="BodyText"/>
        <w:spacing w:line="240" w:lineRule="auto" w:before="16"/>
        <w:ind w:left="574" w:right="1034"/>
        <w:jc w:val="left"/>
      </w:pPr>
      <w:r>
        <w:rPr/>
        <w:t>（</w:t>
      </w:r>
      <w:r>
        <w:rPr>
          <w:rFonts w:ascii="Times New Roman" w:hAnsi="Times New Roman" w:cs="Times New Roman" w:eastAsia="Times New Roman" w:hint="default"/>
        </w:rPr>
        <w:t>2</w:t>
      </w:r>
      <w:r>
        <w:rPr/>
        <w:t>）系统集成收入的确认原则：</w:t>
      </w:r>
    </w:p>
    <w:p>
      <w:pPr>
        <w:pStyle w:val="BodyText"/>
        <w:spacing w:line="256" w:lineRule="auto" w:before="21"/>
        <w:ind w:left="154" w:right="1197" w:firstLine="420"/>
        <w:jc w:val="left"/>
      </w:pPr>
      <w:r>
        <w:rPr>
          <w:rFonts w:ascii="Times New Roman" w:hAnsi="Times New Roman" w:cs="Times New Roman" w:eastAsia="Times New Roman" w:hint="default"/>
        </w:rPr>
        <w:t>1</w:t>
      </w:r>
      <w:r>
        <w:rPr/>
        <w:t>）本公司对以提供系统集成设备为主，同时提供设备的安装、调试及运行等配套服务的，经验收合 格后取得业主方的竣工验收单后确认销售收入的实现。</w:t>
      </w:r>
    </w:p>
    <w:p>
      <w:pPr>
        <w:pStyle w:val="BodyText"/>
        <w:spacing w:line="256" w:lineRule="auto" w:before="23"/>
        <w:ind w:left="154" w:right="1197" w:firstLine="420"/>
        <w:jc w:val="left"/>
      </w:pPr>
      <w:r>
        <w:rPr>
          <w:rFonts w:ascii="Times New Roman" w:hAnsi="Times New Roman" w:cs="Times New Roman" w:eastAsia="Times New Roman" w:hint="default"/>
        </w:rPr>
        <w:t>2</w:t>
      </w:r>
      <w:r>
        <w:rPr/>
        <w:t>）本公司对以提供客户解决方案和应用软件开发服务的系统集成类项目，按照完工百分比法确认收 入。如项目在同一会计年度内开始并完成的，应根据经业主方确认的竣工验收单确认销售收入的实现。</w:t>
      </w:r>
    </w:p>
    <w:p>
      <w:pPr>
        <w:pStyle w:val="BodyText"/>
        <w:spacing w:line="273" w:lineRule="auto" w:before="22"/>
        <w:ind w:right="1130" w:firstLine="420"/>
        <w:jc w:val="both"/>
      </w:pPr>
      <w:r>
        <w:rPr>
          <w:spacing w:val="-1"/>
        </w:rPr>
        <w:t>完工百分比法的确认方法：根据累计发生的实际成本占合同预计总成本的比例确定。预算总成本的编</w:t>
      </w:r>
      <w:r>
        <w:rPr/>
        <w:t> </w:t>
      </w:r>
      <w:r>
        <w:rPr>
          <w:spacing w:val="-1"/>
        </w:rPr>
        <w:t>制：公司对项目预算管理通过编制项目总体预算来实现，预算事项主要包括设备的采购成本、工程施工成</w:t>
      </w:r>
      <w:r>
        <w:rPr>
          <w:spacing w:val="-83"/>
        </w:rPr>
        <w:t> </w:t>
      </w:r>
      <w:r>
        <w:rPr>
          <w:spacing w:val="-83"/>
        </w:rPr>
      </w:r>
      <w:r>
        <w:rPr>
          <w:spacing w:val="-1"/>
        </w:rPr>
        <w:t>本、安装材料、人工费以及其他费用等支出。其中材料、设备、施工成本在制定预算时通过市场询价、商</w:t>
      </w:r>
      <w:r>
        <w:rPr>
          <w:spacing w:val="-83"/>
        </w:rPr>
        <w:t> </w:t>
      </w:r>
      <w:r>
        <w:rPr>
          <w:spacing w:val="-83"/>
        </w:rPr>
      </w:r>
      <w:r>
        <w:rPr/>
        <w:t>务谈判确定，人工费用根据项目投入的人员、时间来编制预算。</w:t>
      </w:r>
    </w:p>
    <w:p>
      <w:pPr>
        <w:pStyle w:val="BodyText"/>
        <w:spacing w:line="256" w:lineRule="auto"/>
        <w:ind w:right="1140" w:firstLine="420"/>
        <w:jc w:val="left"/>
      </w:pPr>
      <w:r>
        <w:rPr>
          <w:rFonts w:ascii="Times New Roman" w:hAnsi="Times New Roman" w:cs="Times New Roman" w:eastAsia="Times New Roman" w:hint="default"/>
        </w:rPr>
        <w:t>3</w:t>
      </w:r>
      <w:r>
        <w:rPr/>
        <w:t>）本公司对</w:t>
      </w:r>
      <w:r>
        <w:rPr>
          <w:rFonts w:ascii="Times New Roman" w:hAnsi="Times New Roman" w:cs="Times New Roman" w:eastAsia="Times New Roman" w:hint="default"/>
        </w:rPr>
        <w:t>BT</w:t>
      </w:r>
      <w:r>
        <w:rPr/>
        <w:t>业务系统集成的收入按应收取对价的公允价值计量，同时确认长期应收款。长期应收 款采用摊余成本计量并按期确认利息收入，实际利率在长期应收款存续期内一般保持不变。</w:t>
      </w:r>
    </w:p>
    <w:p>
      <w:pPr>
        <w:pStyle w:val="BodyText"/>
        <w:spacing w:line="256" w:lineRule="auto" w:before="22"/>
        <w:ind w:left="154" w:right="1034" w:firstLine="423"/>
        <w:jc w:val="left"/>
      </w:pPr>
      <w:r>
        <w:rPr>
          <w:rFonts w:ascii="Times New Roman" w:hAnsi="Times New Roman" w:cs="Times New Roman" w:eastAsia="Times New Roman" w:hint="default"/>
          <w:spacing w:val="-1"/>
        </w:rPr>
        <w:t>BT</w:t>
      </w:r>
      <w:r>
        <w:rPr>
          <w:spacing w:val="-1"/>
        </w:rPr>
        <w:t>项目涉及的长期应收款原则上不计提坏账准备，如有确凿证据表明不能收回或收回可能性不大时，</w:t>
      </w:r>
      <w:r>
        <w:rPr/>
        <w:t> 则按其不可收回金额计提坏账准备。</w:t>
      </w:r>
    </w:p>
    <w:p>
      <w:pPr>
        <w:pStyle w:val="BodyText"/>
        <w:spacing w:line="256" w:lineRule="auto" w:before="22"/>
        <w:ind w:left="154" w:right="1197" w:firstLine="420"/>
        <w:jc w:val="left"/>
      </w:pPr>
      <w:r>
        <w:rPr/>
        <w:t>（</w:t>
      </w:r>
      <w:r>
        <w:rPr>
          <w:rFonts w:ascii="Times New Roman" w:hAnsi="Times New Roman" w:cs="Times New Roman" w:eastAsia="Times New Roman" w:hint="default"/>
        </w:rPr>
        <w:t>3</w:t>
      </w:r>
      <w:r>
        <w:rPr/>
        <w:t>）软件开发和咨询服务收入的确认原则：该类业务的收入均在提供软件产品和咨询服务后，经客 户验收确认以后作为销售收入的实现。</w:t>
      </w:r>
    </w:p>
    <w:p>
      <w:pPr>
        <w:pStyle w:val="BodyText"/>
        <w:spacing w:line="256" w:lineRule="auto" w:before="22"/>
        <w:ind w:left="154" w:right="1197" w:firstLine="420"/>
        <w:jc w:val="left"/>
      </w:pPr>
      <w:r>
        <w:rPr/>
        <w:t>（</w:t>
      </w:r>
      <w:r>
        <w:rPr>
          <w:rFonts w:ascii="Times New Roman" w:hAnsi="Times New Roman" w:cs="Times New Roman" w:eastAsia="Times New Roman" w:hint="default"/>
        </w:rPr>
        <w:t>4</w:t>
      </w:r>
      <w:r>
        <w:rPr/>
        <w:t>）其他产品确认的时点是：本公司根据合同要求组织生产，于仓库发出产品，开具出库单，获得 收取货款的权利，据此开具发票确认收入。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left="154" w:right="1034"/>
        <w:jc w:val="left"/>
        <w:rPr>
          <w:b w:val="0"/>
          <w:bCs w:val="0"/>
        </w:rPr>
      </w:pPr>
      <w:bookmarkStart w:name="25、政府补助" w:id="199"/>
      <w:bookmarkEnd w:id="199"/>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9"/>
        <w:rPr>
          <w:rFonts w:ascii="宋体" w:hAnsi="宋体" w:cs="宋体" w:eastAsia="宋体" w:hint="default"/>
          <w:b/>
          <w:bCs/>
          <w:sz w:val="24"/>
          <w:szCs w:val="24"/>
        </w:rPr>
      </w:pPr>
    </w:p>
    <w:p>
      <w:pPr>
        <w:spacing w:line="506" w:lineRule="auto" w:before="0"/>
        <w:ind w:left="574" w:right="1092" w:hanging="420"/>
        <w:jc w:val="left"/>
        <w:rPr>
          <w:rFonts w:ascii="宋体" w:hAnsi="宋体" w:cs="宋体" w:eastAsia="宋体" w:hint="default"/>
          <w:sz w:val="21"/>
          <w:szCs w:val="21"/>
        </w:rPr>
      </w:pPr>
      <w:bookmarkStart w:name="（1）与资产相关的政府补助判断依据及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与资产相关的政府补助，确认为递延收益，按照所建造或购买的资产使用年限分期计入营业外收入；</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2）与收益相关的政府补助判断依据及会计处理方法" w:id="201"/>
      <w:bookmarkEnd w:id="20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与收益相关的政府补助，用于补偿企业以后期间的相关费用或损失的，确认为递延收益，在确认相关</w:t>
      </w:r>
      <w:r>
        <w:rPr/>
        <w:t> </w:t>
      </w:r>
      <w:r>
        <w:rPr>
          <w:spacing w:val="-1"/>
        </w:rPr>
        <w:t>费用的期间计入当期营业外收入；用于补偿企业已发生的相关费用或损失的，取得时直接计入当期营业外</w:t>
      </w:r>
      <w:r>
        <w:rPr>
          <w:spacing w:val="-81"/>
        </w:rPr>
        <w:t> </w:t>
      </w:r>
      <w:r>
        <w:rPr>
          <w:spacing w:val="-81"/>
        </w:rPr>
      </w:r>
      <w:r>
        <w:rPr/>
        <w:t>收入。</w:t>
      </w:r>
    </w:p>
    <w:p>
      <w:pPr>
        <w:pStyle w:val="BodyText"/>
        <w:spacing w:line="273" w:lineRule="auto"/>
        <w:ind w:right="1034" w:firstLine="420"/>
        <w:jc w:val="left"/>
      </w:pPr>
      <w:r>
        <w:rPr>
          <w:spacing w:val="-1"/>
        </w:rPr>
        <w:t>已确认的政府补助需要返还时，存在相关递延收益余额的，冲减相关递延收益账面余额，超出部分计</w:t>
      </w:r>
      <w:r>
        <w:rPr/>
        <w:t> 入当期损益；不存在相关递延收益的，直接计入当期损益。</w:t>
      </w:r>
    </w:p>
    <w:p>
      <w:pPr>
        <w:spacing w:line="612" w:lineRule="exact" w:before="64"/>
        <w:ind w:left="573" w:right="1163" w:hanging="420"/>
        <w:jc w:val="left"/>
        <w:rPr>
          <w:rFonts w:ascii="宋体" w:hAnsi="宋体" w:cs="宋体" w:eastAsia="宋体" w:hint="default"/>
          <w:sz w:val="21"/>
          <w:szCs w:val="21"/>
        </w:rPr>
      </w:pPr>
      <w:bookmarkStart w:name="26、递延所得税资产/递延所得税负债" w:id="202"/>
      <w:bookmarkEnd w:id="202"/>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pStyle w:val="BodyText"/>
        <w:spacing w:line="219" w:lineRule="exact" w:before="0"/>
        <w:ind w:left="154" w:right="1034"/>
        <w:jc w:val="left"/>
      </w:pPr>
      <w:r>
        <w:rPr/>
        <w:t>确认。于资产负债表日，递延所得税资产和递延所得税负债，按照预期收回该资产或清偿该负债期间的适</w:t>
      </w:r>
    </w:p>
    <w:p>
      <w:pPr>
        <w:pStyle w:val="BodyText"/>
        <w:spacing w:line="240" w:lineRule="auto" w:before="37"/>
        <w:ind w:left="154" w:right="1034"/>
        <w:jc w:val="left"/>
      </w:pPr>
      <w:r>
        <w:rPr/>
        <w:t>用税率计量。</w:t>
      </w:r>
    </w:p>
    <w:p>
      <w:pPr>
        <w:spacing w:line="273" w:lineRule="auto" w:before="37"/>
        <w:ind w:left="934" w:right="1152"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z w:val="21"/>
          <w:szCs w:val="21"/>
        </w:rPr>
        <w:t>本公司以很可能取得用来抵扣可抵扣暂时性差异、能够结转以后年度的可抵扣亏损和税款抵减的</w:t>
      </w:r>
    </w:p>
    <w:p>
      <w:pPr>
        <w:pStyle w:val="BodyText"/>
        <w:spacing w:line="264" w:lineRule="auto"/>
        <w:ind w:left="513" w:right="1169"/>
        <w:jc w:val="both"/>
      </w:pPr>
      <w:r>
        <w:rPr/>
        <w:t>应纳税所得额为限，确认由可抵扣暂时性差异产生的递延所得税资产。但是，同时具有下列特征的交 易中因资产或负债的初始确认所产生的递延所得税资产不予确认：（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 交易发生时既不影响会计利润也不影响应纳税所得额或可抵扣亏损。</w:t>
      </w:r>
    </w:p>
    <w:p>
      <w:pPr>
        <w:pStyle w:val="BodyText"/>
        <w:spacing w:line="273" w:lineRule="auto" w:before="16"/>
        <w:ind w:left="514" w:right="1169" w:firstLine="420"/>
        <w:jc w:val="both"/>
      </w:pPr>
      <w:r>
        <w:rPr/>
        <w:t>对于与联营企业投资相关的可抵扣暂时性差异，同时满足下列条件的，确认相应的递延所得税资 产：暂时性差异在可预见的未来很可能转回，且未来很可能获得用来抵扣可抵扣暂时性差异的应纳税 所得额。</w:t>
      </w:r>
    </w:p>
    <w:p>
      <w:pPr>
        <w:spacing w:line="273" w:lineRule="auto" w:before="7"/>
        <w:ind w:left="573" w:right="2143"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sz w:val="21"/>
          <w:szCs w:val="21"/>
        </w:rPr>
        <w:t>公司将当期与以前期间应交未交的应纳税暂时性差异确认为递延所得税负债。但不包括：</w:t>
      </w:r>
    </w:p>
    <w:p>
      <w:pPr>
        <w:pStyle w:val="BodyText"/>
        <w:spacing w:line="240" w:lineRule="auto"/>
        <w:ind w:left="573" w:right="1034"/>
        <w:jc w:val="left"/>
      </w:pPr>
      <w:r>
        <w:rPr/>
        <w:t>（</w:t>
      </w:r>
      <w:r>
        <w:rPr>
          <w:rFonts w:ascii="Times New Roman" w:hAnsi="Times New Roman" w:cs="Times New Roman" w:eastAsia="Times New Roman" w:hint="default"/>
        </w:rPr>
        <w:t>1</w:t>
      </w:r>
      <w:r>
        <w:rPr/>
        <w:t>）商誉的初始确认所形成的暂时性差异；</w:t>
      </w:r>
    </w:p>
    <w:p>
      <w:pPr>
        <w:pStyle w:val="BodyText"/>
        <w:spacing w:line="256" w:lineRule="auto" w:before="21"/>
        <w:ind w:right="1198" w:firstLine="42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 得额（或可抵扣亏损）所形成的暂时性差异；</w:t>
      </w:r>
    </w:p>
    <w:p>
      <w:pPr>
        <w:pStyle w:val="BodyText"/>
        <w:spacing w:line="256" w:lineRule="auto" w:before="22"/>
        <w:ind w:left="154" w:right="1197" w:firstLine="42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 且该暂时性差异在可预见的未来很可能不会转回。</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left="154" w:right="1034"/>
        <w:jc w:val="left"/>
        <w:rPr>
          <w:b w:val="0"/>
          <w:bCs w:val="0"/>
        </w:rPr>
      </w:pPr>
      <w:bookmarkStart w:name="27、租赁" w:id="203"/>
      <w:bookmarkEnd w:id="203"/>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经营租赁的会计处理方法" w:id="204"/>
      <w:bookmarkEnd w:id="20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154" w:right="1197" w:firstLine="42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 期费用。公司支付的与租赁交易相关的初始直接费用，计入当期费用。</w:t>
      </w:r>
    </w:p>
    <w:p>
      <w:pPr>
        <w:pStyle w:val="BodyText"/>
        <w:spacing w:line="273" w:lineRule="auto" w:before="22"/>
        <w:ind w:right="1034" w:firstLine="420"/>
        <w:jc w:val="left"/>
      </w:pPr>
      <w:r>
        <w:rPr>
          <w:spacing w:val="-1"/>
        </w:rPr>
        <w:t>资产出租方承担了应由公司承担的与租赁相关的费用时，公司将该部分费用从租金总额中扣除，按扣</w:t>
      </w:r>
      <w:r>
        <w:rPr/>
        <w:t> 除后的租金费用在租赁期内分摊，计入当期费用。</w:t>
      </w:r>
    </w:p>
    <w:p>
      <w:pPr>
        <w:pStyle w:val="BodyText"/>
        <w:spacing w:line="266" w:lineRule="auto"/>
        <w:ind w:left="154" w:right="1092" w:firstLine="42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 租赁收入。公司支付的与租赁交易相关的初始直接费用，计入当期费用；如金额较大的，则予以资本化， 在整个租赁期间内按照与租赁收入确认相同的基础分期计入当期收益。</w:t>
      </w:r>
    </w:p>
    <w:p>
      <w:pPr>
        <w:pStyle w:val="BodyText"/>
        <w:spacing w:line="273" w:lineRule="auto" w:before="14"/>
        <w:ind w:right="1034" w:firstLine="420"/>
        <w:jc w:val="left"/>
      </w:pPr>
      <w:r>
        <w:rPr>
          <w:spacing w:val="-1"/>
        </w:rPr>
        <w:t>公司承担了应由承租方承担的与租赁相关的费用时，公司将该部分费用从租金收入总额中扣除，按扣</w:t>
      </w:r>
      <w:r>
        <w:rPr/>
        <w:t> 除后的租金费用在租赁期内分配。</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2）融资租赁的会计处理方法" w:id="205"/>
      <w:bookmarkEnd w:id="20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024"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 </w:t>
      </w:r>
      <w:r>
        <w:rPr>
          <w:spacing w:val="-3"/>
        </w:rPr>
        <w:t>作为租入资产的入账价值，将最低租赁付款额作为长期应付款的入账价值，其差额作为未确认的融资费用。</w:t>
      </w:r>
    </w:p>
    <w:p>
      <w:pPr>
        <w:pStyle w:val="BodyText"/>
        <w:spacing w:line="240" w:lineRule="auto" w:before="23"/>
        <w:ind w:left="573" w:right="1034"/>
        <w:jc w:val="left"/>
      </w:pPr>
      <w:r>
        <w:rPr/>
        <w:t>公司采用实际利率法对未确认的融资费用，在资产租赁期间内摊销，计入财务费用。</w:t>
      </w:r>
    </w:p>
    <w:p>
      <w:pPr>
        <w:pStyle w:val="BodyText"/>
        <w:spacing w:line="264" w:lineRule="auto" w:before="37"/>
        <w:ind w:right="1034" w:firstLine="42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 </w:t>
      </w:r>
      <w:r>
        <w:rPr>
          <w:spacing w:val="-1"/>
        </w:rPr>
        <w:t>为未实现融资收益，在将来收到租金的各期间内确认为租赁收入，公司发生的与出租交易相关的初始直接</w:t>
      </w:r>
      <w:r>
        <w:rPr>
          <w:spacing w:val="-81"/>
        </w:rPr>
        <w:t> </w:t>
      </w:r>
      <w:r>
        <w:rPr>
          <w:spacing w:val="-81"/>
        </w:rPr>
      </w:r>
      <w:r>
        <w:rPr/>
        <w:t>费用，计入应收融资租赁款的初始计量中，并减少租赁期内确认的收益金额。</w:t>
      </w:r>
    </w:p>
    <w:p>
      <w:pPr>
        <w:spacing w:line="240" w:lineRule="auto" w:before="3"/>
        <w:rPr>
          <w:rFonts w:ascii="宋体" w:hAnsi="宋体" w:cs="宋体" w:eastAsia="宋体" w:hint="default"/>
          <w:sz w:val="24"/>
          <w:szCs w:val="24"/>
        </w:rPr>
      </w:pPr>
    </w:p>
    <w:p>
      <w:pPr>
        <w:pStyle w:val="Heading6"/>
        <w:spacing w:line="240" w:lineRule="auto"/>
        <w:ind w:right="1034"/>
        <w:jc w:val="left"/>
        <w:rPr>
          <w:b w:val="0"/>
          <w:bCs w:val="0"/>
        </w:rPr>
      </w:pPr>
      <w:bookmarkStart w:name="28、重要会计政策和会计估计变更" w:id="206"/>
      <w:bookmarkEnd w:id="206"/>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重要会计政策变更" w:id="207"/>
      <w:bookmarkEnd w:id="20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1034"/>
        <w:jc w:val="left"/>
        <w:rPr>
          <w:b w:val="0"/>
          <w:bCs w:val="0"/>
        </w:rPr>
      </w:pPr>
      <w:bookmarkStart w:name="（2）重要会计估计变更" w:id="208"/>
      <w:bookmarkEnd w:id="20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1034"/>
        <w:jc w:val="left"/>
        <w:rPr>
          <w:b w:val="0"/>
          <w:bCs w:val="0"/>
        </w:rPr>
      </w:pPr>
      <w:bookmarkStart w:name="六、税项" w:id="209"/>
      <w:bookmarkEnd w:id="209"/>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主要税种及税率" w:id="210"/>
      <w:bookmarkEnd w:id="21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销售货物或提供加工、修理修配劳务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或租金收入为纳税 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安徽中电兴发与鑫龙科技股份有限公司本部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安徽鑫龙电器股份有限公司北京鑫龙北方分公司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安徽鑫龙电器股份有限公司天津分公司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安徽鑫龙电器股份有限公司营销中心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安徽鑫龙电器元件销售有限公司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安徽鑫龙变压器有限公司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安徽鑫东投资管理有限公司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安徽佑赛科技有限公司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安徽鑫龙电力工程安装有限公司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斯高思（安徽）电器有限公司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亳州鑫龙电气有限公司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天津市泰达工程设计有限公司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安徽杰偌新材料技术有限公司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信诺非凡</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中电兴发机器人技术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安徽鑫龙电器成套有限公司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both"/>
        <w:rPr>
          <w:b w:val="0"/>
          <w:bCs w:val="0"/>
        </w:rPr>
      </w:pPr>
      <w:bookmarkStart w:name="2、税收优惠" w:id="211"/>
      <w:bookmarkEnd w:id="21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266" w:lineRule="auto" w:before="0"/>
        <w:ind w:left="154" w:right="1034" w:firstLine="42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日，安徽中电兴发与鑫龙科技股份有限公司、安徽鑫龙低压电器有限公司、安徽森 </w:t>
      </w:r>
      <w:r>
        <w:rPr>
          <w:spacing w:val="-1"/>
        </w:rPr>
        <w:t>源电器有限公司、安徽鑫龙自动化有限公司、安徽佑赛科技有限公司取得安徽省科学技术厅、安徽省财政</w:t>
      </w:r>
      <w:r>
        <w:rPr>
          <w:spacing w:val="-83"/>
        </w:rPr>
        <w:t> </w:t>
      </w:r>
      <w:r>
        <w:rPr>
          <w:spacing w:val="-83"/>
        </w:rPr>
      </w:r>
      <w:r>
        <w:rPr/>
        <w:t>厅、安徽省国家税务局、安徽省地方税务局联合颁发的《高新技术企业证书》（证书编号分别为 </w:t>
      </w:r>
      <w:r>
        <w:rPr>
          <w:rFonts w:ascii="Times New Roman" w:hAnsi="Times New Roman" w:cs="Times New Roman" w:eastAsia="Times New Roman" w:hint="default"/>
          <w:spacing w:val="-1"/>
        </w:rPr>
        <w:t>GR201434000593</w:t>
      </w:r>
      <w:r>
        <w:rPr>
          <w:spacing w:val="-1"/>
        </w:rPr>
        <w:t>、</w:t>
      </w:r>
      <w:r>
        <w:rPr>
          <w:rFonts w:ascii="Times New Roman" w:hAnsi="Times New Roman" w:cs="Times New Roman" w:eastAsia="Times New Roman" w:hint="default"/>
          <w:spacing w:val="-1"/>
        </w:rPr>
        <w:t>GR201434000102</w:t>
      </w:r>
      <w:r>
        <w:rPr>
          <w:spacing w:val="-1"/>
        </w:rPr>
        <w:t>、</w:t>
      </w:r>
      <w:r>
        <w:rPr>
          <w:rFonts w:ascii="Times New Roman" w:hAnsi="Times New Roman" w:cs="Times New Roman" w:eastAsia="Times New Roman" w:hint="default"/>
          <w:spacing w:val="-1"/>
        </w:rPr>
        <w:t>GR201434000608</w:t>
      </w:r>
      <w:r>
        <w:rPr>
          <w:spacing w:val="-1"/>
        </w:rPr>
        <w:t>、</w:t>
      </w:r>
      <w:r>
        <w:rPr>
          <w:rFonts w:ascii="Times New Roman" w:hAnsi="Times New Roman" w:cs="Times New Roman" w:eastAsia="Times New Roman" w:hint="default"/>
          <w:spacing w:val="-1"/>
        </w:rPr>
        <w:t>GR201434000239</w:t>
      </w:r>
      <w:r>
        <w:rPr>
          <w:spacing w:val="-1"/>
        </w:rPr>
        <w:t>、</w:t>
      </w:r>
      <w:r>
        <w:rPr>
          <w:rFonts w:ascii="Times New Roman" w:hAnsi="Times New Roman" w:cs="Times New Roman" w:eastAsia="Times New Roman" w:hint="default"/>
          <w:spacing w:val="-1"/>
        </w:rPr>
        <w:t>GR201434000444</w:t>
      </w:r>
      <w:r>
        <w:rPr>
          <w:spacing w:val="-1"/>
        </w:rPr>
        <w:t>），有效期</w:t>
      </w:r>
    </w:p>
    <w:p>
      <w:pPr>
        <w:pStyle w:val="BodyText"/>
        <w:spacing w:line="264" w:lineRule="auto" w:before="0"/>
        <w:ind w:right="1131"/>
        <w:jc w:val="both"/>
      </w:pPr>
      <w:r>
        <w:rPr>
          <w:spacing w:val="-1"/>
        </w:rPr>
        <w:t>三年。根据有关规定，安徽中电兴发与鑫龙科技股份有限公司、安徽鑫龙低压电器有限公司、安徽森源电</w:t>
      </w:r>
      <w:r>
        <w:rPr>
          <w:spacing w:val="-86"/>
        </w:rPr>
        <w:t> </w:t>
      </w:r>
      <w:r>
        <w:rPr>
          <w:spacing w:val="-86"/>
        </w:rPr>
      </w:r>
      <w:r>
        <w:rPr>
          <w:spacing w:val="-1"/>
        </w:rPr>
        <w:t>器有限公司、安徽鑫龙自动化有限公司、安徽佑赛科技有限公司</w:t>
      </w:r>
      <w:r>
        <w:rPr>
          <w:rFonts w:ascii="Times New Roman" w:hAnsi="Times New Roman" w:cs="Times New Roman" w:eastAsia="Times New Roman" w:hint="default"/>
          <w:spacing w:val="-1"/>
        </w:rPr>
        <w:t>2015</w:t>
      </w:r>
      <w:r>
        <w:rPr>
          <w:spacing w:val="-1"/>
        </w:rPr>
        <w:t>年度享受国家关于高新技术企业的相</w:t>
      </w:r>
      <w:r>
        <w:rPr>
          <w:spacing w:val="-79"/>
        </w:rPr>
        <w:t> </w:t>
      </w:r>
      <w:r>
        <w:rPr/>
        <w:t>关优惠政策，按</w:t>
      </w:r>
      <w:r>
        <w:rPr>
          <w:rFonts w:ascii="Times New Roman" w:hAnsi="Times New Roman" w:cs="Times New Roman" w:eastAsia="Times New Roman" w:hint="default"/>
        </w:rPr>
        <w:t>15%</w:t>
      </w:r>
      <w:r>
        <w:rPr/>
        <w:t>的税率计缴企业所得税。</w:t>
      </w:r>
    </w:p>
    <w:p>
      <w:pPr>
        <w:pStyle w:val="BodyText"/>
        <w:spacing w:line="256" w:lineRule="auto" w:before="0"/>
        <w:ind w:right="1111"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日，苏州开关二厂有限公司取得江苏省科学技术厅、江苏省财政厅、江苏省国家税务局、 </w:t>
      </w:r>
      <w:r>
        <w:rPr>
          <w:spacing w:val="-2"/>
        </w:rPr>
        <w:t>江苏省地方税务局联合颁发的《高新技术企业证书》（证书编号为</w:t>
      </w:r>
      <w:r>
        <w:rPr>
          <w:rFonts w:ascii="Times New Roman" w:hAnsi="Times New Roman" w:cs="Times New Roman" w:eastAsia="Times New Roman" w:hint="default"/>
          <w:spacing w:val="-2"/>
        </w:rPr>
        <w:t>GF201432000415</w:t>
      </w:r>
      <w:r>
        <w:rPr>
          <w:spacing w:val="-2"/>
        </w:rPr>
        <w:t>），有效期三年。根据</w:t>
      </w:r>
      <w:r>
        <w:rPr>
          <w:spacing w:val="-83"/>
        </w:rPr>
        <w:t> </w:t>
      </w:r>
      <w:r>
        <w:rPr>
          <w:spacing w:val="-83"/>
        </w:rPr>
      </w:r>
      <w:r>
        <w:rPr>
          <w:spacing w:val="-4"/>
        </w:rPr>
        <w:t>有关规定，苏州开关二厂有限公司</w:t>
      </w:r>
      <w:r>
        <w:rPr>
          <w:rFonts w:ascii="Times New Roman" w:hAnsi="Times New Roman" w:cs="Times New Roman" w:eastAsia="Times New Roman" w:hint="default"/>
          <w:spacing w:val="-4"/>
        </w:rPr>
        <w:t>2015</w:t>
      </w:r>
      <w:r>
        <w:rPr>
          <w:spacing w:val="-4"/>
        </w:rPr>
        <w:t>年度按</w:t>
      </w:r>
      <w:r>
        <w:rPr>
          <w:rFonts w:ascii="Times New Roman" w:hAnsi="Times New Roman" w:cs="Times New Roman" w:eastAsia="Times New Roman" w:hint="default"/>
          <w:spacing w:val="-4"/>
        </w:rPr>
        <w:t>15%</w:t>
      </w:r>
      <w:r>
        <w:rPr>
          <w:spacing w:val="-4"/>
        </w:rPr>
        <w:t>的税率计缴企业所得税。根据财政部和国家税务总局《关</w:t>
      </w:r>
      <w:r>
        <w:rPr>
          <w:spacing w:val="-103"/>
        </w:rPr>
        <w:t> </w:t>
      </w:r>
      <w:r>
        <w:rPr>
          <w:spacing w:val="-103"/>
        </w:rPr>
      </w:r>
      <w:r>
        <w:rPr/>
        <w:t>于促进残疾人就业税收优惠政策的通知》（财税</w:t>
      </w:r>
      <w:r>
        <w:rPr>
          <w:rFonts w:ascii="Times New Roman" w:hAnsi="Times New Roman" w:cs="Times New Roman" w:eastAsia="Times New Roman" w:hint="default"/>
        </w:rPr>
        <w:t>[2007]92</w:t>
      </w:r>
      <w:r>
        <w:rPr/>
        <w:t>号），公司支付给残疾人的实际工资可在企业所 得税前据实扣除，并可按支付给残疾人实际工资的</w:t>
      </w:r>
      <w:r>
        <w:rPr>
          <w:rFonts w:ascii="Times New Roman" w:hAnsi="Times New Roman" w:cs="Times New Roman" w:eastAsia="Times New Roman" w:hint="default"/>
        </w:rPr>
        <w:t>100%</w:t>
      </w:r>
      <w:r>
        <w:rPr/>
        <w:t>加计扣除。</w:t>
      </w:r>
    </w:p>
    <w:p>
      <w:pPr>
        <w:pStyle w:val="BodyText"/>
        <w:spacing w:line="256" w:lineRule="auto" w:before="5"/>
        <w:ind w:right="1117"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日，北京中电兴发科技有限公司公司取得北京市科学技术委员会、北京市财政局、北京 </w:t>
      </w:r>
      <w:r>
        <w:rPr>
          <w:spacing w:val="-2"/>
        </w:rPr>
        <w:t>市国家税务局、北京市地方税务局联合颁发的《高新技术企业证书》（证书编号为</w:t>
      </w:r>
      <w:r>
        <w:rPr>
          <w:rFonts w:ascii="Times New Roman" w:hAnsi="Times New Roman" w:cs="Times New Roman" w:eastAsia="Times New Roman" w:hint="default"/>
          <w:spacing w:val="-2"/>
        </w:rPr>
        <w:t>GR201411000037</w:t>
      </w:r>
      <w:r>
        <w:rPr>
          <w:spacing w:val="-2"/>
        </w:rPr>
        <w:t>），有</w:t>
      </w:r>
      <w:r>
        <w:rPr>
          <w:spacing w:val="-103"/>
        </w:rPr>
        <w:t> </w:t>
      </w:r>
      <w:r>
        <w:rPr>
          <w:spacing w:val="-103"/>
        </w:rPr>
      </w:r>
      <w:r>
        <w:rPr/>
        <w:t>效期三年。根据有关规定，北京中电兴发科技有限公司</w:t>
      </w:r>
      <w:r>
        <w:rPr>
          <w:rFonts w:ascii="Times New Roman" w:hAnsi="Times New Roman" w:cs="Times New Roman" w:eastAsia="Times New Roman" w:hint="default"/>
        </w:rPr>
        <w:t>2015</w:t>
      </w:r>
      <w:r>
        <w:rPr/>
        <w:t>年度按</w:t>
      </w:r>
      <w:r>
        <w:rPr>
          <w:rFonts w:ascii="Times New Roman" w:hAnsi="Times New Roman" w:cs="Times New Roman" w:eastAsia="Times New Roman" w:hint="default"/>
        </w:rPr>
        <w:t>15%</w:t>
      </w:r>
      <w:r>
        <w:rPr/>
        <w:t>的税率计缴企业所得税。</w:t>
      </w:r>
    </w:p>
    <w:p>
      <w:pPr>
        <w:pStyle w:val="BodyText"/>
        <w:spacing w:line="256" w:lineRule="auto" w:before="5"/>
        <w:ind w:right="1011"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日，信诺非凡（北京）科技有限公司取得经北京市科学技术委员会、北京市财政局、北 京市国家税务局、北京市地方税务局联合颁发的《高新技术企业证书》（证书编号为</w:t>
      </w:r>
      <w:r>
        <w:rPr>
          <w:rFonts w:ascii="Times New Roman" w:hAnsi="Times New Roman" w:cs="Times New Roman" w:eastAsia="Times New Roman" w:hint="default"/>
        </w:rPr>
        <w:t>GR201311000090</w:t>
      </w:r>
      <w:r>
        <w:rPr/>
        <w:t>）， 有效期三年。根据有关规定，信诺非凡（北京）科技有限公司</w:t>
      </w:r>
      <w:r>
        <w:rPr>
          <w:rFonts w:ascii="Times New Roman" w:hAnsi="Times New Roman" w:cs="Times New Roman" w:eastAsia="Times New Roman" w:hint="default"/>
        </w:rPr>
        <w:t>2015</w:t>
      </w:r>
      <w:r>
        <w:rPr/>
        <w:t>年度按</w:t>
      </w:r>
      <w:r>
        <w:rPr>
          <w:rFonts w:ascii="Times New Roman" w:hAnsi="Times New Roman" w:cs="Times New Roman" w:eastAsia="Times New Roman" w:hint="default"/>
        </w:rPr>
        <w:t>15%</w:t>
      </w:r>
      <w:r>
        <w:rPr/>
        <w:t>的税率计缴企业所得税。</w:t>
      </w:r>
    </w:p>
    <w:p>
      <w:pPr>
        <w:pStyle w:val="BodyText"/>
        <w:spacing w:line="256" w:lineRule="auto" w:before="5"/>
        <w:ind w:right="1198" w:firstLine="420"/>
        <w:jc w:val="left"/>
      </w:pPr>
      <w:r>
        <w:rPr/>
        <w:t>注</w:t>
      </w:r>
      <w:r>
        <w:rPr>
          <w:rFonts w:ascii="Times New Roman" w:hAnsi="Times New Roman" w:cs="Times New Roman" w:eastAsia="Times New Roman" w:hint="default"/>
        </w:rPr>
        <w:t>2</w:t>
      </w:r>
      <w:r>
        <w:rPr/>
        <w:t>、经税务机关批准，安徽鑫龙电器股份有限公司营销中心由安徽鑫龙电器股份有限公司本部汇总 向其所在地主管税务机关申报纳税。</w:t>
      </w:r>
    </w:p>
    <w:p>
      <w:pPr>
        <w:pStyle w:val="BodyText"/>
        <w:spacing w:line="240" w:lineRule="auto" w:before="22"/>
        <w:ind w:left="573" w:right="0"/>
        <w:jc w:val="left"/>
      </w:pPr>
      <w:r>
        <w:rPr/>
        <w:t>注</w:t>
      </w:r>
      <w:r>
        <w:rPr>
          <w:rFonts w:ascii="Times New Roman" w:hAnsi="Times New Roman" w:cs="Times New Roman" w:eastAsia="Times New Roman" w:hint="default"/>
        </w:rPr>
        <w:t>3</w:t>
      </w:r>
      <w:r>
        <w:rPr>
          <w:spacing w:val="-47"/>
        </w:rPr>
        <w:t>、</w:t>
      </w:r>
      <w:r>
        <w:rPr/>
        <w:t>根</w:t>
      </w:r>
      <w:r>
        <w:rPr>
          <w:spacing w:val="-47"/>
        </w:rPr>
        <w:t>据</w:t>
      </w:r>
      <w:r>
        <w:rPr/>
        <w:t>《国务院关于印发进一步鼓励软件企业和集成电路产业发展若干政策的通知</w:t>
      </w:r>
      <w:r>
        <w:rPr>
          <w:spacing w:val="-94"/>
        </w:rPr>
        <w:t>》</w:t>
      </w:r>
      <w:r>
        <w:rPr/>
        <w:t>（国</w:t>
      </w:r>
      <w:r>
        <w:rPr>
          <w:spacing w:val="-46"/>
        </w:rPr>
        <w:t>发</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11</w:t>
      </w:r>
      <w:r>
        <w:rPr/>
        <w:t>】</w:t>
      </w:r>
    </w:p>
    <w:p>
      <w:pPr>
        <w:pStyle w:val="BodyText"/>
        <w:spacing w:line="240" w:lineRule="auto" w:before="21"/>
        <w:ind w:right="0"/>
        <w:jc w:val="both"/>
      </w:pPr>
      <w:r>
        <w:rPr>
          <w:rFonts w:ascii="Times New Roman" w:hAnsi="Times New Roman" w:cs="Times New Roman" w:eastAsia="Times New Roman" w:hint="default"/>
        </w:rPr>
        <w:t>4</w:t>
      </w:r>
      <w:r>
        <w:rPr/>
        <w:t>号）和《关于软件产品增值税政策的通知》（财税</w:t>
      </w:r>
      <w:r>
        <w:rPr>
          <w:rFonts w:ascii="Times New Roman" w:hAnsi="Times New Roman" w:cs="Times New Roman" w:eastAsia="Times New Roman" w:hint="default"/>
        </w:rPr>
        <w:t>[2011]100</w:t>
      </w:r>
      <w:r>
        <w:rPr/>
        <w:t>号）的规定，信诺非凡（北京）科技有限公</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28"/>
        <w:jc w:val="left"/>
      </w:pPr>
      <w:r>
        <w:rPr/>
        <w:t>司作为增值税一般纳税人销售自行开发生产的软件产品，按照</w:t>
      </w:r>
      <w:r>
        <w:rPr>
          <w:rFonts w:ascii="Times New Roman" w:hAnsi="Times New Roman" w:cs="Times New Roman" w:eastAsia="Times New Roman" w:hint="default"/>
        </w:rPr>
        <w:t>17%</w:t>
      </w:r>
      <w:r>
        <w:rPr/>
        <w:t>税率征收增值税后，对其增值税实际税 负超过</w:t>
      </w:r>
      <w:r>
        <w:rPr>
          <w:rFonts w:ascii="Times New Roman" w:hAnsi="Times New Roman" w:cs="Times New Roman" w:eastAsia="Times New Roman" w:hint="default"/>
        </w:rPr>
        <w:t>3%</w:t>
      </w:r>
      <w:r>
        <w:rPr/>
        <w:t>的部分实行即征即退政策。</w:t>
      </w:r>
    </w:p>
    <w:p>
      <w:pPr>
        <w:spacing w:line="240" w:lineRule="auto" w:before="8"/>
        <w:rPr>
          <w:rFonts w:ascii="宋体" w:hAnsi="宋体" w:cs="宋体" w:eastAsia="宋体" w:hint="default"/>
          <w:sz w:val="21"/>
          <w:szCs w:val="21"/>
        </w:rPr>
      </w:pPr>
    </w:p>
    <w:p>
      <w:pPr>
        <w:pStyle w:val="Heading4"/>
        <w:spacing w:line="240" w:lineRule="auto"/>
        <w:ind w:right="1034"/>
        <w:jc w:val="left"/>
        <w:rPr>
          <w:b w:val="0"/>
          <w:bCs w:val="0"/>
        </w:rPr>
      </w:pPr>
      <w:bookmarkStart w:name="七、合并财务报表项目注释" w:id="212"/>
      <w:bookmarkEnd w:id="212"/>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034"/>
        <w:jc w:val="left"/>
        <w:rPr>
          <w:b w:val="0"/>
          <w:bCs w:val="0"/>
        </w:rPr>
      </w:pPr>
      <w:bookmarkStart w:name="1、货币资金" w:id="213"/>
      <w:bookmarkEnd w:id="21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309,182.36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182,045.87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406,963,500.32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264,748,350.66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43,910,641.85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21,087,216.80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451,183,324.53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286,017,613.33</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56" w:lineRule="auto" w:before="0"/>
        <w:ind w:left="154" w:right="1034" w:firstLine="420"/>
        <w:jc w:val="left"/>
      </w:pP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日止，除下述受限的货币资金外，本公司不存在其他质押、冻结，或有潜在收回风</w:t>
      </w:r>
      <w:r>
        <w:rPr/>
        <w:t> 险的款项。</w:t>
      </w:r>
    </w:p>
    <w:p>
      <w:pPr>
        <w:pStyle w:val="BodyText"/>
        <w:spacing w:line="240" w:lineRule="auto" w:before="22"/>
        <w:ind w:left="574" w:right="1034"/>
        <w:jc w:val="left"/>
      </w:pPr>
      <w:r>
        <w:rPr/>
        <w:t>其中受限制的货币资金明细如下：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652"/>
        <w:gridCol w:w="2439"/>
        <w:gridCol w:w="2439"/>
      </w:tblGrid>
      <w:tr>
        <w:trPr>
          <w:trHeight w:val="355" w:hRule="exact"/>
        </w:trPr>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637"/>
              <w:jc w:val="righ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12,606,613.50</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10,240,655.15</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31,304,028.35</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10,846,561.65</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637"/>
              <w:jc w:val="righ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43,910,641.85</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21,087,216.80</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应收票据" w:id="214"/>
      <w:bookmarkEnd w:id="214"/>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应收票据分类列示" w:id="215"/>
      <w:bookmarkEnd w:id="21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59,492,961.27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50,004,673.78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23,860,068.59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7,920,920.30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83,353,029.86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57,925,594.08</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期末公司已背书或贴现且在资产负债表日尚未到期的应收票据" w:id="216"/>
      <w:bookmarkEnd w:id="216"/>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68,193,684.21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68,193,684.21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3、应收账款" w:id="217"/>
      <w:bookmarkEnd w:id="217"/>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应收账款分类披露" w:id="218"/>
      <w:bookmarkEnd w:id="21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1,181,72</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6,257.08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121,156,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014.72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1,060,570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,242.36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748,888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,869.23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64,911,61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683,977,25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1,182,02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6,257.08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center"/>
              <w:rPr>
                <w:rFonts w:ascii="Times New Roman" w:hAnsi="Times New Roman" w:cs="Times New Roman" w:eastAsia="Times New Roman" w:hint="default"/>
                <w:sz w:val="18"/>
                <w:szCs w:val="18"/>
              </w:rPr>
            </w:pPr>
            <w:r>
              <w:rPr>
                <w:rFonts w:ascii="Times New Roman"/>
                <w:sz w:val="18"/>
              </w:rPr>
              <w:t>121,456,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014.72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10.28%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1,060,570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,242.36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748,888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,869.23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64,911,61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683,977,25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1"/>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680,096,811.37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20,402,904.33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283,929,880.51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28,392,988.06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121,632,200.98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24,326,440.20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96,067,364.22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48,033,682.13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1,181,726,257.08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121,156,014.72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1"/>
          <w:szCs w:val="21"/>
        </w:rPr>
      </w:pPr>
    </w:p>
    <w:p>
      <w:pPr>
        <w:pStyle w:val="Heading6"/>
        <w:spacing w:line="240" w:lineRule="auto"/>
        <w:ind w:right="1034"/>
        <w:jc w:val="left"/>
        <w:rPr>
          <w:b w:val="0"/>
          <w:bCs w:val="0"/>
        </w:rPr>
      </w:pPr>
      <w:bookmarkStart w:name="（2）本期计提、收回或转回的坏账准备情况" w:id="219"/>
      <w:bookmarkEnd w:id="2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437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15,130,419.99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3）按欠款方归集的期末余额前五名的应收账款情况" w:id="220"/>
      <w:bookmarkEnd w:id="220"/>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44"/>
        <w:gridCol w:w="1985"/>
        <w:gridCol w:w="1559"/>
        <w:gridCol w:w="1985"/>
      </w:tblGrid>
      <w:tr>
        <w:trPr>
          <w:trHeight w:val="667"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75" w:right="50"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贵州省省级财政国库支付中心</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71,239,048.40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6.03</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2,137,171.45</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镇江市公安局</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17,430,000.00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1.47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1,743,000.00</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天津滨电电力工程有限公司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15,877,770.85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476,333.13</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上海市安装工程集团有限公司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15,272,811.34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1.29</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458,184.34</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中国医科大学</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13,188,261.73</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1.12</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395,647.85</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133,007,892.32</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11.25</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5,210,336.77</w:t>
            </w:r>
          </w:p>
        </w:tc>
      </w:tr>
    </w:tbl>
    <w:p>
      <w:pPr>
        <w:spacing w:line="240" w:lineRule="auto" w:before="5"/>
        <w:rPr>
          <w:rFonts w:ascii="宋体" w:hAnsi="宋体" w:cs="宋体" w:eastAsia="宋体" w:hint="default"/>
          <w:b/>
          <w:bCs/>
          <w:sz w:val="5"/>
          <w:szCs w:val="5"/>
        </w:rPr>
      </w:pPr>
    </w:p>
    <w:p>
      <w:pPr>
        <w:pStyle w:val="BodyText"/>
        <w:spacing w:line="256" w:lineRule="auto" w:before="35"/>
        <w:ind w:left="154" w:right="1034" w:firstLine="420"/>
        <w:jc w:val="left"/>
      </w:pPr>
      <w:r>
        <w:rPr>
          <w:spacing w:val="-1"/>
        </w:rPr>
        <w:t>应收账款其他说明：北京银行北清路支行</w:t>
      </w:r>
      <w:r>
        <w:rPr>
          <w:rFonts w:ascii="Times New Roman" w:hAnsi="Times New Roman" w:cs="Times New Roman" w:eastAsia="Times New Roman" w:hint="default"/>
          <w:spacing w:val="-1"/>
        </w:rPr>
        <w:t>2500</w:t>
      </w:r>
      <w:r>
        <w:rPr>
          <w:spacing w:val="-1"/>
        </w:rPr>
        <w:t>万元的借款由北京中关村科技融资担保有限公司提供担</w:t>
      </w:r>
      <w:r>
        <w:rPr/>
        <w:t> 保，公司以总额为</w:t>
      </w:r>
      <w:r>
        <w:rPr>
          <w:rFonts w:ascii="Times New Roman" w:hAnsi="Times New Roman" w:cs="Times New Roman" w:eastAsia="Times New Roman" w:hint="default"/>
        </w:rPr>
        <w:t>270,999,768.09</w:t>
      </w:r>
      <w:r>
        <w:rPr/>
        <w:t>元的应收账款作质押，同时瞿洪桂为上述担保借款提供反担保。</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6"/>
        <w:spacing w:line="240" w:lineRule="auto"/>
        <w:ind w:left="154" w:right="1034"/>
        <w:jc w:val="left"/>
        <w:rPr>
          <w:b w:val="0"/>
          <w:bCs w:val="0"/>
        </w:rPr>
      </w:pPr>
      <w:bookmarkStart w:name="4、预付款项" w:id="221"/>
      <w:bookmarkEnd w:id="221"/>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预付款项按账龄列示" w:id="222"/>
      <w:bookmarkEnd w:id="22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19,774,197.40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10,441,490.30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3,257,857.54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257,858.82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1,104,465.14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24,833.14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753,376.70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682,144.53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24,889,896.78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11,406,326.79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518"/>
        <w:gridCol w:w="1560"/>
        <w:gridCol w:w="2976"/>
        <w:gridCol w:w="1475"/>
      </w:tblGrid>
      <w:tr>
        <w:trPr>
          <w:trHeight w:val="356" w:hRule="exact"/>
        </w:trPr>
        <w:tc>
          <w:tcPr>
            <w:tcW w:w="25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52" w:hRule="exact"/>
        </w:trPr>
        <w:tc>
          <w:tcPr>
            <w:tcW w:w="25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北京中盛益华科技有限公司</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97" w:right="0"/>
              <w:jc w:val="left"/>
              <w:rPr>
                <w:rFonts w:ascii="Times New Roman" w:hAnsi="Times New Roman" w:cs="Times New Roman" w:eastAsia="Times New Roman" w:hint="default"/>
                <w:sz w:val="18"/>
                <w:szCs w:val="18"/>
              </w:rPr>
            </w:pPr>
            <w:r>
              <w:rPr>
                <w:rFonts w:ascii="Times New Roman"/>
                <w:sz w:val="18"/>
              </w:rPr>
              <w:t>1,343,231.77</w:t>
            </w:r>
          </w:p>
        </w:tc>
        <w:tc>
          <w:tcPr>
            <w:tcW w:w="29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960,000.00</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383,231.77</w:t>
            </w:r>
          </w:p>
        </w:tc>
        <w:tc>
          <w:tcPr>
            <w:tcW w:w="14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未到货</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6"/>
        <w:spacing w:line="240" w:lineRule="auto" w:before="35"/>
        <w:ind w:left="154" w:right="1034"/>
        <w:jc w:val="left"/>
        <w:rPr>
          <w:b w:val="0"/>
          <w:bCs w:val="0"/>
        </w:rPr>
      </w:pPr>
      <w:bookmarkStart w:name="（2）按预付对象归集的期末余额前五名的预付款情况" w:id="223"/>
      <w:bookmarkEnd w:id="22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44"/>
        <w:gridCol w:w="1276"/>
        <w:gridCol w:w="992"/>
        <w:gridCol w:w="1276"/>
        <w:gridCol w:w="2042"/>
      </w:tblGrid>
      <w:tr>
        <w:trPr>
          <w:trHeight w:val="979"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7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38" w:lineRule="auto" w:before="21"/>
              <w:ind w:left="38" w:right="37"/>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占预付账款 总额的比例 </w:t>
            </w:r>
            <w:r>
              <w:rPr>
                <w:rFonts w:ascii="Times New Roman" w:hAnsi="Times New Roman" w:cs="Times New Roman" w:eastAsia="Times New Roman" w:hint="default"/>
                <w:sz w:val="18"/>
                <w:szCs w:val="18"/>
              </w:rPr>
              <w:t>(%)</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20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贵州科星冠日电子有限公司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14" w:right="0"/>
              <w:jc w:val="left"/>
              <w:rPr>
                <w:rFonts w:ascii="Times New Roman" w:hAnsi="Times New Roman" w:cs="Times New Roman" w:eastAsia="Times New Roman" w:hint="default"/>
                <w:sz w:val="18"/>
                <w:szCs w:val="18"/>
              </w:rPr>
            </w:pPr>
            <w:r>
              <w:rPr>
                <w:rFonts w:ascii="Times New Roman"/>
                <w:sz w:val="18"/>
              </w:rPr>
              <w:t>2,801,250.00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70" w:right="0"/>
              <w:jc w:val="left"/>
              <w:rPr>
                <w:rFonts w:ascii="Times New Roman" w:hAnsi="Times New Roman" w:cs="Times New Roman" w:eastAsia="Times New Roman" w:hint="default"/>
                <w:sz w:val="18"/>
                <w:szCs w:val="18"/>
              </w:rPr>
            </w:pPr>
            <w:r>
              <w:rPr>
                <w:rFonts w:ascii="Times New Roman"/>
                <w:sz w:val="18"/>
              </w:rPr>
              <w:t>11.25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未到货</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944"/>
        <w:gridCol w:w="1276"/>
        <w:gridCol w:w="992"/>
        <w:gridCol w:w="1276"/>
        <w:gridCol w:w="2042"/>
      </w:tblGrid>
      <w:tr>
        <w:trPr>
          <w:trHeight w:val="355"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杭州海康威视科技有限公司</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1,976,490.00</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7.94</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0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未到货</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天津市利德市政建设工程有限公司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1,410,000.00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5.66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未到货</w:t>
            </w:r>
          </w:p>
        </w:tc>
      </w:tr>
      <w:tr>
        <w:trPr>
          <w:trHeight w:val="665"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45"/>
              <w:jc w:val="left"/>
              <w:rPr>
                <w:rFonts w:ascii="宋体" w:hAnsi="宋体" w:cs="宋体" w:eastAsia="宋体" w:hint="default"/>
                <w:sz w:val="18"/>
                <w:szCs w:val="18"/>
              </w:rPr>
            </w:pPr>
            <w:r>
              <w:rPr>
                <w:rFonts w:ascii="宋体" w:hAnsi="宋体" w:cs="宋体" w:eastAsia="宋体" w:hint="default"/>
                <w:sz w:val="18"/>
                <w:szCs w:val="18"/>
              </w:rPr>
              <w:t>成都市闽投冠林电子技术服务有限公 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1,079,846.60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4.34</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未到货</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深圳市海鑫达众科技有限公司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4.02</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未到货</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8,267,586.60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33.22</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204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spacing w:before="44"/>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5、应收利息" w:id="224"/>
      <w:bookmarkEnd w:id="224"/>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应收利息分类" w:id="225"/>
      <w:bookmarkEnd w:id="225"/>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597,923.89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597,923.89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6、其他应收款" w:id="226"/>
      <w:bookmarkEnd w:id="226"/>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其他应收款分类披露" w:id="227"/>
      <w:bookmarkEnd w:id="22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94,913,1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42.73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10,237,6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41.17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84,675,50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28,359,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501.73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1,629,226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26,730,275.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95,013,1</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42.73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10,337,6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41.17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84,675,50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1.56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28,359,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501.73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1,629,226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26,730,275.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53,624,970.88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1,608,749.14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21,615,367.45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2,161,536.76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11,230,156.48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2,246,031.30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8,442,647.92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4,221,323.97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94,913,142.73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10,237,641.17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5,939,809.83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3）其他应收款按款项性质分类情况" w:id="229"/>
      <w:bookmarkEnd w:id="229"/>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69,195,208.68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14,988,883.83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10,718,655.51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11,454,000.71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164,007.02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141,713.74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1,336,642.08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793,534.40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7,478,570.90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投资定金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1,120,058.54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981,369.05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95,013,142.73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28,359,501.73</w:t>
            </w:r>
          </w:p>
        </w:tc>
      </w:tr>
    </w:tbl>
    <w:p>
      <w:pPr>
        <w:spacing w:line="240" w:lineRule="auto" w:before="3"/>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4）按欠款方归集的期末余额前五名的其他应收款情况" w:id="230"/>
      <w:bookmarkEnd w:id="230"/>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云南云韵投资有限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投资定金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中国人民解放军总 后勤部京丰宾馆改 扩建工程领导小组 办公室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芜湖市鸠江区财政 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2,586,499.00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517,299.80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北京中科盾科技有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中国人民解放军天 津警备区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15,446,499.00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2,494,099.80</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7、存货" w:id="231"/>
      <w:bookmarkEnd w:id="231"/>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存货分类" w:id="232"/>
      <w:bookmarkEnd w:id="23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41,044,251.32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339,439.95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40,704,811.37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42,879,522.63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42,879,522.63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30,326,440.72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30,326,440.72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54,927,869.55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54,927,869.55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555,321,874.21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491,762.80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554,830,111.41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477,241,808.73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477,241,808.73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323,469.03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323,469.03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100,527.92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100,527.92</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208,934,318.98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285,974.89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208,648,344.09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835,950,354.26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1,117,177.64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834,833,176.62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575,149,728.83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575,149,728.83</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存货跌价准备" w:id="233"/>
      <w:bookmarkEnd w:id="23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339,439.95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339,439.95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491,762.80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491,762.80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20,161.55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265,813.34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285,974.89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20,161.55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1,097,016.09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1,117,177.64</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3）期末建造合同形成的已完工未结算资产情况" w:id="234"/>
      <w:bookmarkEnd w:id="234"/>
      <w:r>
        <w:rPr>
          <w:b w:val="0"/>
          <w:bCs w:val="0"/>
        </w:rPr>
      </w:r>
      <w:r>
        <w:rPr/>
        <w:t>（</w:t>
      </w:r>
      <w:r>
        <w:rPr>
          <w:rFonts w:ascii="Times New Roman" w:hAnsi="Times New Roman" w:cs="Times New Roman" w:eastAsia="Times New Roman" w:hint="default"/>
        </w:rPr>
        <w:t>3</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499,696,483.40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165,290,155.60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285,974.89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456,052,320.02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208,648,344.09</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8、划分为持有待售的资产" w:id="235"/>
      <w:bookmarkEnd w:id="235"/>
      <w:r>
        <w:rPr>
          <w:b w:val="0"/>
          <w:bCs w:val="0"/>
        </w:rPr>
      </w:r>
      <w:r>
        <w:rPr>
          <w:rFonts w:ascii="Times New Roman" w:hAnsi="Times New Roman" w:cs="Times New Roman" w:eastAsia="Times New Roman" w:hint="default"/>
        </w:rPr>
        <w:t>8</w:t>
      </w:r>
      <w:r>
        <w:rPr/>
        <w:t>、划分为持有待售的资产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持有待售权益性投资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6" w:lineRule="auto" w:before="90"/>
        <w:ind w:right="1131"/>
        <w:jc w:val="both"/>
      </w:pPr>
      <w:r>
        <w:rPr>
          <w:spacing w:val="-1"/>
        </w:rPr>
        <w:t>划分为持有待售的资产说明：子公司苏州开关二厂有限公司已与苏州益泰元投资企业（有限合伙）签订协</w:t>
      </w:r>
      <w:r>
        <w:rPr>
          <w:spacing w:val="-83"/>
        </w:rPr>
        <w:t> </w:t>
      </w:r>
      <w:r>
        <w:rPr>
          <w:spacing w:val="-83"/>
        </w:rPr>
      </w:r>
      <w:r>
        <w:rPr>
          <w:spacing w:val="-1"/>
        </w:rPr>
        <w:t>议，约定将苏州开关二厂有限公司持有的苏州高新百丰投资有限公司及苏州国发融富创业投资企业（有限</w:t>
      </w:r>
      <w:r>
        <w:rPr>
          <w:spacing w:val="-81"/>
        </w:rPr>
        <w:t> </w:t>
      </w:r>
      <w:r>
        <w:rPr>
          <w:spacing w:val="-81"/>
        </w:rPr>
      </w:r>
      <w:r>
        <w:rPr/>
        <w:t>合伙）股权按账面价值转让给苏州益泰元投资企业（有限合伙）</w:t>
      </w:r>
      <w:r>
        <w:rPr>
          <w:rFonts w:ascii="Times New Roman" w:hAnsi="Times New Roman" w:cs="Times New Roman" w:eastAsia="Times New Roman" w:hint="default"/>
        </w:rPr>
        <w:t>,</w:t>
      </w:r>
      <w:r>
        <w:rPr/>
        <w:t>款项已于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月一次性收回，苏州高 新百丰投资有限公司工商变更正在办理，苏州国发融富创业投资企业（有限合伙）工商变更已完成。</w:t>
      </w:r>
    </w:p>
    <w:p>
      <w:pPr>
        <w:spacing w:line="240" w:lineRule="auto" w:before="1"/>
        <w:rPr>
          <w:rFonts w:ascii="宋体" w:hAnsi="宋体" w:cs="宋体" w:eastAsia="宋体" w:hint="default"/>
          <w:sz w:val="24"/>
          <w:szCs w:val="24"/>
        </w:rPr>
      </w:pPr>
    </w:p>
    <w:p>
      <w:pPr>
        <w:pStyle w:val="Heading6"/>
        <w:spacing w:line="240" w:lineRule="auto"/>
        <w:ind w:right="0"/>
        <w:jc w:val="both"/>
        <w:rPr>
          <w:b w:val="0"/>
          <w:bCs w:val="0"/>
        </w:rPr>
      </w:pPr>
      <w:bookmarkStart w:name="9、其他流动资产" w:id="236"/>
      <w:bookmarkEnd w:id="236"/>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1,700,139.86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多交所得税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158,481.86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17,308,621.72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1034"/>
        <w:jc w:val="left"/>
        <w:rPr>
          <w:b w:val="0"/>
          <w:bCs w:val="0"/>
        </w:rPr>
      </w:pPr>
      <w:bookmarkStart w:name="10、可供出售金融资产" w:id="237"/>
      <w:bookmarkEnd w:id="237"/>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4"/>
        <w:jc w:val="left"/>
        <w:rPr>
          <w:b w:val="0"/>
          <w:bCs w:val="0"/>
        </w:rPr>
      </w:pPr>
      <w:bookmarkStart w:name="（1）可供出售金融资产情况" w:id="238"/>
      <w:bookmarkEnd w:id="23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期末按成本计量的可供出售金融资产" w:id="239"/>
      <w:bookmarkEnd w:id="239"/>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芜湖扬子 农村商业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146,000.00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芜湖市中 小企业信 用担保有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146,000.00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11、长期应收款" w:id="240"/>
      <w:bookmarkEnd w:id="240"/>
      <w:r>
        <w:rPr>
          <w:b w:val="0"/>
          <w:bCs w:val="0"/>
        </w:rPr>
      </w:r>
      <w:r>
        <w:rPr>
          <w:rFonts w:ascii="Times New Roman" w:hAnsi="Times New Roman" w:cs="Times New Roman" w:eastAsia="Times New Roman" w:hint="default"/>
        </w:rPr>
        <w:t>11</w:t>
      </w:r>
      <w:r>
        <w:rPr/>
        <w:t>、长期应收款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长期应收款情况" w:id="241"/>
      <w:bookmarkEnd w:id="24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85,105,882.60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85,105,882.60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减：未实现融资 收益</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-17,725,765.10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-17,725,765.10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67,380,117.50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67,380,117.50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12、长期股权投资" w:id="242"/>
      <w:bookmarkEnd w:id="242"/>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安徽美能 储能系统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26,069,59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-4,596,45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21,473,14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26,069,59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-4,596,45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21,473,14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26,069,59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-4,596,45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21,473,14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1034"/>
        <w:jc w:val="left"/>
        <w:rPr>
          <w:b w:val="0"/>
          <w:bCs w:val="0"/>
        </w:rPr>
      </w:pPr>
      <w:bookmarkStart w:name="13、投资性房地产" w:id="243"/>
      <w:bookmarkEnd w:id="243"/>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采用成本计量模式的投资性房地产" w:id="244"/>
      <w:bookmarkEnd w:id="24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20,230,200.00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20,230,200.00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20,230,200.00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20,230,200.00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20,230,200.00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20,230,200.00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240,233.63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240,233.63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240,233.63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240,233.63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240,233.63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240,233.63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6,567,212.47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6,567,212.47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6,567,212.47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6,567,212.47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6,567,212.47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6,567,212.47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13,422,753.90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13,422,753.90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采用公允价值计量模式的投资性房地产" w:id="245"/>
      <w:bookmarkEnd w:id="24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1034"/>
        <w:jc w:val="left"/>
        <w:rPr>
          <w:b w:val="0"/>
          <w:bCs w:val="0"/>
        </w:rPr>
      </w:pPr>
      <w:bookmarkStart w:name="（3）未办妥产权证书的投资性房地产情况" w:id="246"/>
      <w:bookmarkEnd w:id="24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13,422,753.90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1034"/>
        <w:jc w:val="left"/>
        <w:rPr>
          <w:b w:val="0"/>
          <w:bCs w:val="0"/>
        </w:rPr>
      </w:pPr>
      <w:bookmarkStart w:name="14、固定资产" w:id="247"/>
      <w:bookmarkEnd w:id="247"/>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固定资产情况" w:id="248"/>
      <w:bookmarkEnd w:id="24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37" w:right="47" w:hanging="90"/>
              <w:jc w:val="left"/>
              <w:rPr>
                <w:rFonts w:ascii="宋体" w:hAnsi="宋体" w:cs="宋体" w:eastAsia="宋体" w:hint="default"/>
                <w:sz w:val="18"/>
                <w:szCs w:val="18"/>
              </w:rPr>
            </w:pPr>
            <w:r>
              <w:rPr>
                <w:rFonts w:ascii="宋体" w:hAnsi="宋体" w:cs="宋体" w:eastAsia="宋体" w:hint="default"/>
                <w:sz w:val="18"/>
                <w:szCs w:val="18"/>
              </w:rPr>
              <w:t>六盘水天网工程 租赁部分资产</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322,511,406.59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90,754,968.04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20,441,286.37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22,338,155.46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456,045,816.46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285,726,242.09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5,144,909.59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9,948,966.14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9,824,008.01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212,630,018.50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523,274,144.33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27,899,562.37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203,604.98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784,546.58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2,278,157.43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31,165,871.36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69,714,346.20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69,714,346.20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188,112,333.52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4,941,304.61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9,164,419.56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7,545,850.58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212,630,018.50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422,393,926.77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2,295,658.31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6,513,909.25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57,538.98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8,867,106.54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2,295,658.31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6,513,909.25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57,538.98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8,867,106.54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608,237,648.68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93,604,219.32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23,876,343.26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32,104,624.49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212,630,018.50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970,452,854.25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59,675,569.15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44,980,483.16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14,995,281.80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15,023,086.30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134,674,420.41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40,815,694.58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8,427,416.46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8,546,060.14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9,677,738.07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30,297,242.79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97,764,152.04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21,867,908.85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6,894,008.59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2,692,845.56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3,332,522.28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6,730,749.07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41,518,034.35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18,947,785.73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1,533,407.87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5,853,214.58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6,345,215.79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23,566,493.72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56,246,117.69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303,398.70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4,990,342.38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52,076.41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5,345,817.49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303,398.70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4,990,342.38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52,076.41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5,345,817.49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100,491,263.73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53,104,500.92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18,550,999.56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24,648,747.96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30,297,242.79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227,092,754.96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507,746,384.95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40,499,718.40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5,325,343.70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7,455,876.53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182,332,775.71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743,360,099.29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262,835,837.44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45,774,484.88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5,446,004.57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7,315,069.16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321,371,396.05</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通过经营租赁租出的固定资产" w:id="249"/>
      <w:bookmarkEnd w:id="249"/>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六盘水租赁资产</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182,332,775.71</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3）未办妥产权证书的固定资产情况" w:id="250"/>
      <w:bookmarkEnd w:id="250"/>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196,460,508.49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1034"/>
        <w:jc w:val="left"/>
        <w:rPr>
          <w:b w:val="0"/>
          <w:bCs w:val="0"/>
        </w:rPr>
      </w:pPr>
      <w:bookmarkStart w:name="15、在建工程" w:id="251"/>
      <w:bookmarkEnd w:id="251"/>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在建工程情况" w:id="252"/>
      <w:bookmarkEnd w:id="25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高、低压开关柜 及元件技术研究 中心建设项目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42,108,363.79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42,108,363.79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万台智能 型电力电器元件 产品生产线项目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18,717,429.73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18,717,429.73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天律滨海湖</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 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33,021,213.00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33,021,213.00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29,221,189.30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29,221,189.30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鑫龙科技园景观 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2,741,000.00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35,762,213.00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35,762,213.00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90,046,982.82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90,046,982.82</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重要在建工程项目本期变动情况" w:id="253"/>
      <w:bookmarkEnd w:id="25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高、低压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开关柜 及元件 技术研 究中心 建设项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42,108,3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63.79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5,351,05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47,459,4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23.57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8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智能型 电力电 器元件 产品生 产线项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18,717,4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29.73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3,481,07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22,198,5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07.57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天律滨 海湖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29,221,1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89.30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3,800,02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33,021,2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264,000,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90,046,9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82.82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12,632,1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69,657,9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31.14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33,021,2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16、无形资产" w:id="254"/>
      <w:bookmarkEnd w:id="254"/>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1034"/>
        <w:jc w:val="left"/>
        <w:rPr>
          <w:b w:val="0"/>
          <w:bCs w:val="0"/>
        </w:rPr>
      </w:pPr>
      <w:bookmarkStart w:name="（1）无形资产情况" w:id="255"/>
      <w:bookmarkEnd w:id="25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605"/>
        <w:gridCol w:w="1571"/>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60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87,804,768.56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12,402,050.00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2,934,323.28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103,141,141.84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8,734,163.20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80,571,013.76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2,532,231.75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91,837,408.71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242,633.45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837,633.45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8,734,163.20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66,856,013.76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2,289,598.30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77,879,775.26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股东投入</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13,120,000.00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96,538,931.76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92,973,063.76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5,466,555.03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194,978,550.55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11,150,156.26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4,602,050.00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1,395,201.80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17,147,408.06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1,198,940.54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32,940,101.56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2,057,620.93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36,196,663.03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557,834.25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2,349,672.39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1,744,489.77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4,651,996.41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641,106.29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30,590,429.17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313,131.16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31,544,666.62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12,349,096.80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37,542,151.56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3,452,822.73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53,344,071.09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25,902,820.00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25,902,820.00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25,902,820.00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25,902,820.00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25,902,820.00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25,902,820.00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84,189,834.96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29,528,092.20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2,013,732.30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115,731,659.46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76,654,612.30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1,539,121.48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85,993,733.78</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6"/>
        <w:spacing w:line="240" w:lineRule="auto"/>
        <w:ind w:right="1034"/>
        <w:jc w:val="left"/>
        <w:rPr>
          <w:b w:val="0"/>
          <w:bCs w:val="0"/>
        </w:rPr>
      </w:pPr>
      <w:bookmarkStart w:name="17、商誉" w:id="256"/>
      <w:bookmarkEnd w:id="256"/>
      <w:r>
        <w:rPr>
          <w:b w:val="0"/>
          <w:bCs w:val="0"/>
        </w:rPr>
      </w:r>
      <w:r>
        <w:rPr>
          <w:rFonts w:ascii="Times New Roman" w:hAnsi="Times New Roman" w:cs="Times New Roman" w:eastAsia="Times New Roman" w:hint="default"/>
        </w:rPr>
        <w:t>17</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商誉账面原值" w:id="257"/>
      <w:bookmarkEnd w:id="25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78,884,309.82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78,884,309.82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北京中电兴发科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1,219,495,624.54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1,219,495,624.54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苏州开关二厂有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167,044,277.43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167,044,277.43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78,884,309.82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1,386,539,901.97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1,465,424,211.79</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商誉减值准备" w:id="258"/>
      <w:bookmarkEnd w:id="25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60" w:lineRule="auto" w:before="51"/>
        <w:ind w:left="154" w:right="6072"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pStyle w:val="BodyText"/>
        <w:spacing w:line="256" w:lineRule="auto" w:before="0"/>
        <w:ind w:right="1131" w:firstLine="420"/>
        <w:jc w:val="both"/>
      </w:pPr>
      <w:r>
        <w:rPr>
          <w:spacing w:val="-1"/>
        </w:rPr>
        <w:t>根据公司第六届董事会第十四次会议决议和</w:t>
      </w:r>
      <w:r>
        <w:rPr>
          <w:rFonts w:ascii="Times New Roman" w:hAnsi="Times New Roman" w:cs="Times New Roman" w:eastAsia="Times New Roman" w:hint="default"/>
          <w:spacing w:val="-1"/>
        </w:rPr>
        <w:t>2015</w:t>
      </w:r>
      <w:r>
        <w:rPr>
          <w:spacing w:val="-1"/>
        </w:rPr>
        <w:t>年第一次临时股东大会通过，并经中国证券监督管理</w:t>
      </w:r>
      <w:r>
        <w:rPr/>
        <w:t> 委员会证监许可</w:t>
      </w:r>
      <w:r>
        <w:rPr>
          <w:rFonts w:ascii="Times New Roman" w:hAnsi="Times New Roman" w:cs="Times New Roman" w:eastAsia="Times New Roman" w:hint="default"/>
        </w:rPr>
        <w:t>[2015]1726</w:t>
      </w:r>
      <w:r>
        <w:rPr>
          <w:rFonts w:ascii="Times New Roman" w:hAnsi="Times New Roman" w:cs="Times New Roman" w:eastAsia="Times New Roman" w:hint="default"/>
          <w:spacing w:val="-2"/>
        </w:rPr>
        <w:t> </w:t>
      </w:r>
      <w:r>
        <w:rPr/>
        <w:t>号文《关于核准安徽鑫龙电器股份有限公司向瞿洪桂等发行股份购买资产并募 集配套资金的批复》的核准，公司采取非公开发行股票方式分别向瞿洪桂发行 </w:t>
      </w:r>
      <w:r>
        <w:rPr>
          <w:rFonts w:ascii="Times New Roman" w:hAnsi="Times New Roman" w:cs="Times New Roman" w:eastAsia="Times New Roman" w:hint="default"/>
        </w:rPr>
        <w:t>127,394,324</w:t>
      </w:r>
      <w:r>
        <w:rPr>
          <w:rFonts w:ascii="Times New Roman" w:hAnsi="Times New Roman" w:cs="Times New Roman" w:eastAsia="Times New Roman" w:hint="default"/>
          <w:spacing w:val="9"/>
        </w:rPr>
        <w:t> </w:t>
      </w:r>
      <w:r>
        <w:rPr/>
        <w:t>股股份、向青 岛金石泓信投资中心（有限合伙）发行 </w:t>
      </w:r>
      <w:r>
        <w:rPr>
          <w:rFonts w:ascii="Times New Roman" w:hAnsi="Times New Roman" w:cs="Times New Roman" w:eastAsia="Times New Roman" w:hint="default"/>
        </w:rPr>
        <w:t>20,319,665 </w:t>
      </w:r>
      <w:r>
        <w:rPr/>
        <w:t>股股份、向张桂芹发行</w:t>
      </w:r>
      <w:r>
        <w:rPr>
          <w:rFonts w:ascii="Times New Roman" w:hAnsi="Times New Roman" w:cs="Times New Roman" w:eastAsia="Times New Roman" w:hint="default"/>
        </w:rPr>
        <w:t>2,147,957</w:t>
      </w:r>
      <w:r>
        <w:rPr>
          <w:rFonts w:ascii="Times New Roman" w:hAnsi="Times New Roman" w:cs="Times New Roman" w:eastAsia="Times New Roman" w:hint="default"/>
          <w:spacing w:val="-12"/>
        </w:rPr>
        <w:t> </w:t>
      </w:r>
      <w:r>
        <w:rPr/>
        <w:t>股股份、向孟涛发行 </w:t>
      </w:r>
      <w:r>
        <w:rPr>
          <w:rFonts w:ascii="Times New Roman" w:hAnsi="Times New Roman" w:cs="Times New Roman" w:eastAsia="Times New Roman" w:hint="default"/>
        </w:rPr>
        <w:t>1,696,111 </w:t>
      </w:r>
      <w:r>
        <w:rPr/>
        <w:t>股股份、向郭晨发行</w:t>
      </w:r>
      <w:r>
        <w:rPr>
          <w:rFonts w:ascii="Times New Roman" w:hAnsi="Times New Roman" w:cs="Times New Roman" w:eastAsia="Times New Roman" w:hint="default"/>
        </w:rPr>
        <w:t>1,187,272 </w:t>
      </w:r>
      <w:r>
        <w:rPr/>
        <w:t>股股份、向吴小岭发行 </w:t>
      </w:r>
      <w:r>
        <w:rPr>
          <w:rFonts w:ascii="Times New Roman" w:hAnsi="Times New Roman" w:cs="Times New Roman" w:eastAsia="Times New Roman" w:hint="default"/>
        </w:rPr>
        <w:t>746,290 </w:t>
      </w:r>
      <w:r>
        <w:rPr/>
        <w:t>股股份、向周超发行</w:t>
      </w:r>
      <w:r>
        <w:rPr>
          <w:rFonts w:ascii="Times New Roman" w:hAnsi="Times New Roman" w:cs="Times New Roman" w:eastAsia="Times New Roman" w:hint="default"/>
        </w:rPr>
        <w:t>678,447 </w:t>
      </w:r>
      <w:r>
        <w:rPr>
          <w:rFonts w:ascii="Times New Roman" w:hAnsi="Times New Roman" w:cs="Times New Roman" w:eastAsia="Times New Roman" w:hint="default"/>
          <w:spacing w:val="49"/>
        </w:rPr>
        <w:t> </w:t>
      </w:r>
      <w:r>
        <w:rPr/>
        <w:t>股</w:t>
      </w:r>
    </w:p>
    <w:p>
      <w:pPr>
        <w:pStyle w:val="BodyText"/>
        <w:spacing w:line="256" w:lineRule="auto" w:before="5"/>
        <w:ind w:right="1034"/>
        <w:jc w:val="left"/>
      </w:pPr>
      <w:r>
        <w:rPr/>
        <w:t>股份、向何利发行 </w:t>
      </w:r>
      <w:r>
        <w:rPr>
          <w:rFonts w:ascii="Times New Roman" w:hAnsi="Times New Roman" w:cs="Times New Roman" w:eastAsia="Times New Roman" w:hint="default"/>
        </w:rPr>
        <w:t>339,217</w:t>
      </w:r>
      <w:r>
        <w:rPr>
          <w:rFonts w:ascii="Times New Roman" w:hAnsi="Times New Roman" w:cs="Times New Roman" w:eastAsia="Times New Roman" w:hint="default"/>
          <w:spacing w:val="7"/>
        </w:rPr>
        <w:t> </w:t>
      </w:r>
      <w:r>
        <w:rPr/>
        <w:t>股股份及支付人民币</w:t>
      </w:r>
      <w:r>
        <w:rPr>
          <w:rFonts w:ascii="Times New Roman" w:hAnsi="Times New Roman" w:cs="Times New Roman" w:eastAsia="Times New Roman" w:hint="default"/>
        </w:rPr>
        <w:t>5.6</w:t>
      </w:r>
      <w:r>
        <w:rPr/>
        <w:t>亿元现金购买北京中电兴发科技有限公司</w:t>
      </w:r>
      <w:r>
        <w:rPr>
          <w:rFonts w:ascii="Times New Roman" w:hAnsi="Times New Roman" w:cs="Times New Roman" w:eastAsia="Times New Roman" w:hint="default"/>
        </w:rPr>
        <w:t>100%</w:t>
      </w:r>
      <w:r>
        <w:rPr/>
        <w:t>股权。 </w:t>
      </w:r>
      <w:r>
        <w:rPr>
          <w:spacing w:val="-2"/>
        </w:rPr>
        <w:t>投资成本为</w:t>
      </w:r>
      <w:r>
        <w:rPr>
          <w:rFonts w:ascii="Times New Roman" w:hAnsi="Times New Roman" w:cs="Times New Roman" w:eastAsia="Times New Roman" w:hint="default"/>
          <w:spacing w:val="-2"/>
        </w:rPr>
        <w:t>1,724,999,993.82</w:t>
      </w:r>
      <w:r>
        <w:rPr>
          <w:spacing w:val="-2"/>
        </w:rPr>
        <w:t>元，购并日可辨认净资产公允价值为</w:t>
      </w:r>
      <w:r>
        <w:rPr>
          <w:rFonts w:ascii="Times New Roman" w:hAnsi="Times New Roman" w:cs="Times New Roman" w:eastAsia="Times New Roman" w:hint="default"/>
          <w:spacing w:val="-2"/>
        </w:rPr>
        <w:t>505,504,369.28</w:t>
      </w:r>
      <w:r>
        <w:rPr>
          <w:spacing w:val="-2"/>
        </w:rPr>
        <w:t>元，按持股比例计算所享有</w:t>
      </w:r>
      <w:r>
        <w:rPr>
          <w:spacing w:val="-60"/>
        </w:rPr>
        <w:t> </w:t>
      </w:r>
      <w:r>
        <w:rPr>
          <w:spacing w:val="-60"/>
        </w:rPr>
      </w:r>
      <w:r>
        <w:rPr>
          <w:spacing w:val="-2"/>
        </w:rPr>
        <w:t>的金额为</w:t>
      </w:r>
      <w:r>
        <w:rPr>
          <w:rFonts w:ascii="Times New Roman" w:hAnsi="Times New Roman" w:cs="Times New Roman" w:eastAsia="Times New Roman" w:hint="default"/>
          <w:spacing w:val="-2"/>
        </w:rPr>
        <w:t>505,504,369.28</w:t>
      </w:r>
      <w:r>
        <w:rPr>
          <w:spacing w:val="-2"/>
        </w:rPr>
        <w:t>元。本期商誉为公司的合并成本大于可享有被购买方的各项可辨认净资产公允价值</w:t>
      </w:r>
      <w:r>
        <w:rPr>
          <w:spacing w:val="-74"/>
        </w:rPr>
        <w:t> </w:t>
      </w:r>
      <w:r>
        <w:rPr>
          <w:spacing w:val="-74"/>
        </w:rPr>
      </w:r>
      <w:r>
        <w:rPr/>
        <w:t>份额的差额，金额为</w:t>
      </w:r>
      <w:r>
        <w:rPr>
          <w:rFonts w:ascii="Times New Roman" w:hAnsi="Times New Roman" w:cs="Times New Roman" w:eastAsia="Times New Roman" w:hint="default"/>
        </w:rPr>
        <w:t>1,219,495,624.54</w:t>
      </w:r>
      <w:r>
        <w:rPr/>
        <w:t>元。 </w:t>
      </w:r>
      <w:r>
        <w:rPr>
          <w:spacing w:val="-1"/>
        </w:rPr>
        <w:t>根据公司第六届董事会第十七次会议决议和</w:t>
      </w:r>
      <w:r>
        <w:rPr>
          <w:rFonts w:ascii="Times New Roman" w:hAnsi="Times New Roman" w:cs="Times New Roman" w:eastAsia="Times New Roman" w:hint="default"/>
          <w:spacing w:val="-1"/>
        </w:rPr>
        <w:t>2015</w:t>
      </w:r>
      <w:r>
        <w:rPr>
          <w:spacing w:val="-1"/>
        </w:rPr>
        <w:t>年第三次临时股东大会通过，公司收购苏州开关二厂有限</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2"/>
        <w:jc w:val="both"/>
      </w:pPr>
      <w:r>
        <w:rPr/>
        <w:t>公司</w:t>
      </w:r>
      <w:r>
        <w:rPr>
          <w:spacing w:val="-28"/>
        </w:rPr>
        <w:t> </w:t>
      </w:r>
      <w:r>
        <w:rPr>
          <w:rFonts w:ascii="Times New Roman" w:hAnsi="Times New Roman" w:cs="Times New Roman" w:eastAsia="Times New Roman" w:hint="default"/>
        </w:rPr>
        <w:t>70%</w:t>
      </w:r>
      <w:r>
        <w:rPr/>
        <w:t>股权。投资成本为</w:t>
      </w:r>
      <w:r>
        <w:rPr>
          <w:rFonts w:ascii="Times New Roman" w:hAnsi="Times New Roman" w:cs="Times New Roman" w:eastAsia="Times New Roman" w:hint="default"/>
        </w:rPr>
        <w:t>294,000,000.00</w:t>
      </w:r>
      <w:r>
        <w:rPr/>
        <w:t>元，购并日可辨认净资产公允价值为</w:t>
      </w:r>
      <w:r>
        <w:rPr>
          <w:rFonts w:ascii="Times New Roman" w:hAnsi="Times New Roman" w:cs="Times New Roman" w:eastAsia="Times New Roman" w:hint="default"/>
        </w:rPr>
        <w:t>181,365,317.96</w:t>
      </w:r>
      <w:r>
        <w:rPr/>
        <w:t>元，按持股 </w:t>
      </w:r>
      <w:r>
        <w:rPr>
          <w:spacing w:val="-2"/>
        </w:rPr>
        <w:t>比例计算所享有的金额为</w:t>
      </w:r>
      <w:r>
        <w:rPr>
          <w:rFonts w:ascii="Times New Roman" w:hAnsi="Times New Roman" w:cs="Times New Roman" w:eastAsia="Times New Roman" w:hint="default"/>
          <w:spacing w:val="-2"/>
        </w:rPr>
        <w:t>126,955,722.57</w:t>
      </w:r>
      <w:r>
        <w:rPr>
          <w:spacing w:val="-2"/>
        </w:rPr>
        <w:t>元。本期商誉为公司的合并成本大于可享有被购买方的各项可辨认</w:t>
      </w:r>
      <w:r>
        <w:rPr>
          <w:spacing w:val="-75"/>
        </w:rPr>
        <w:t> </w:t>
      </w:r>
      <w:r>
        <w:rPr>
          <w:spacing w:val="-75"/>
        </w:rPr>
      </w:r>
      <w:r>
        <w:rPr/>
        <w:t>净资产公允价值份额的差额，金额为</w:t>
      </w:r>
      <w:r>
        <w:rPr>
          <w:rFonts w:ascii="Times New Roman" w:hAnsi="Times New Roman" w:cs="Times New Roman" w:eastAsia="Times New Roman" w:hint="default"/>
        </w:rPr>
        <w:t>167,044,277.43</w:t>
      </w:r>
      <w:r>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6"/>
        <w:spacing w:line="240" w:lineRule="auto"/>
        <w:ind w:right="0"/>
        <w:jc w:val="both"/>
        <w:rPr>
          <w:b w:val="0"/>
          <w:bCs w:val="0"/>
        </w:rPr>
      </w:pPr>
      <w:bookmarkStart w:name="18、长期待摊费用" w:id="259"/>
      <w:bookmarkEnd w:id="259"/>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1,781,789.12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153,845.95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788,007.94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1,147,627.13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场地使用费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1,734,018.00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249,722.04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1,484,295.96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车位费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产品体验中心改扩 建工程</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592,534.42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96,603.72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495,930.70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1,781,789.12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4,244,398.37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1,170,333.70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4,855,853.79</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1034"/>
        <w:jc w:val="left"/>
        <w:rPr>
          <w:b w:val="0"/>
          <w:bCs w:val="0"/>
        </w:rPr>
      </w:pPr>
      <w:bookmarkStart w:name="19、递延所得税资产/递延所得税负债" w:id="260"/>
      <w:bookmarkEnd w:id="260"/>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4"/>
        <w:jc w:val="left"/>
        <w:rPr>
          <w:b w:val="0"/>
          <w:bCs w:val="0"/>
        </w:rPr>
      </w:pPr>
      <w:bookmarkStart w:name="（1）未经抵销的递延所得税资产" w:id="261"/>
      <w:bookmarkEnd w:id="26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165,380,866.00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24,937,366.70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66,540,845.16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10,064,888.51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1,724,588.08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394,155.94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886,399.36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205,578.77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28,616,314.41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4,292,447.16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24,592,193.80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3,688,829.07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未实现损益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12,464,219.76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1,869,632.97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10,300,891.42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2,575,222.86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208,185,988.25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31,493,602.77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102,320,329.74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16,534,519.21</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未经抵销的递延所得税负债" w:id="262"/>
      <w:bookmarkEnd w:id="26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20,068,998.31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12,460,510.45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3,115,127.61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126,353,578.36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20,068,998.31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12,460,510.45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3,115,127.61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20、其他非流动资产" w:id="263"/>
      <w:bookmarkEnd w:id="263"/>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2,910,402.29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3,222,725.13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3,222,725.13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2,910,402.29</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1034"/>
        <w:jc w:val="left"/>
        <w:rPr>
          <w:b w:val="0"/>
          <w:bCs w:val="0"/>
        </w:rPr>
      </w:pPr>
      <w:bookmarkStart w:name="21、短期借款" w:id="264"/>
      <w:bookmarkEnd w:id="264"/>
      <w:r>
        <w:rPr>
          <w:b w:val="0"/>
          <w:bCs w:val="0"/>
        </w:rPr>
      </w:r>
      <w:r>
        <w:rPr>
          <w:rFonts w:ascii="Times New Roman" w:hAnsi="Times New Roman" w:cs="Times New Roman" w:eastAsia="Times New Roman" w:hint="default"/>
        </w:rPr>
        <w:t>21</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短期借款分类" w:id="265"/>
      <w:bookmarkEnd w:id="26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
        <w:rPr>
          <w:rFonts w:ascii="宋体" w:hAnsi="宋体" w:cs="宋体" w:eastAsia="宋体" w:hint="default"/>
          <w:sz w:val="13"/>
          <w:szCs w:val="13"/>
        </w:rPr>
      </w:pPr>
    </w:p>
    <w:p>
      <w:pPr>
        <w:pStyle w:val="BodyText"/>
        <w:spacing w:line="240" w:lineRule="auto" w:before="0"/>
        <w:ind w:left="574" w:right="1034"/>
        <w:jc w:val="left"/>
      </w:pPr>
      <w:r>
        <w:rPr/>
        <w:t>抵押借款情况的说明：</w:t>
      </w:r>
    </w:p>
    <w:p>
      <w:pPr>
        <w:pStyle w:val="BodyText"/>
        <w:spacing w:line="256" w:lineRule="auto" w:before="36"/>
        <w:ind w:right="1024" w:firstLine="420"/>
        <w:jc w:val="left"/>
      </w:pPr>
      <w:r>
        <w:rPr>
          <w:rFonts w:ascii="Times New Roman" w:hAnsi="Times New Roman" w:cs="Times New Roman" w:eastAsia="Times New Roman" w:hint="default"/>
        </w:rPr>
        <w:t>A</w:t>
      </w:r>
      <w:r>
        <w:rPr/>
        <w:t>、民生银行北京环保园支行</w:t>
      </w:r>
      <w:r>
        <w:rPr>
          <w:rFonts w:ascii="Times New Roman" w:hAnsi="Times New Roman" w:cs="Times New Roman" w:eastAsia="Times New Roman" w:hint="default"/>
        </w:rPr>
        <w:t>2000</w:t>
      </w:r>
      <w:r>
        <w:rPr/>
        <w:t>万元的保证借款，系公司将坐落在海淀区地锦路</w:t>
      </w:r>
      <w:r>
        <w:rPr>
          <w:rFonts w:ascii="Times New Roman" w:hAnsi="Times New Roman" w:cs="Times New Roman" w:eastAsia="Times New Roman" w:hint="default"/>
        </w:rPr>
        <w:t>7</w:t>
      </w:r>
      <w:r>
        <w:rPr/>
        <w:t>号院</w:t>
      </w:r>
      <w:r>
        <w:rPr>
          <w:rFonts w:ascii="Times New Roman" w:hAnsi="Times New Roman" w:cs="Times New Roman" w:eastAsia="Times New Roman" w:hint="default"/>
        </w:rPr>
        <w:t>5</w:t>
      </w:r>
      <w:r>
        <w:rPr/>
        <w:t>号楼的房产 </w:t>
      </w:r>
      <w:r>
        <w:rPr>
          <w:spacing w:val="-3"/>
        </w:rPr>
        <w:t>和土地作抵押，同时瞿洪桂、关宁和全资子公司信诺非凡（北京）科技有限公司共同为该笔借款提供担保。</w:t>
      </w:r>
    </w:p>
    <w:p>
      <w:pPr>
        <w:pStyle w:val="BodyText"/>
        <w:spacing w:line="256" w:lineRule="auto" w:before="22"/>
        <w:ind w:left="154" w:right="1162" w:firstLine="420"/>
        <w:jc w:val="left"/>
      </w:pPr>
      <w:r>
        <w:rPr>
          <w:rFonts w:ascii="Times New Roman" w:hAnsi="Times New Roman" w:cs="Times New Roman" w:eastAsia="Times New Roman" w:hint="default"/>
        </w:rPr>
        <w:t>B</w:t>
      </w:r>
      <w:r>
        <w:rPr/>
        <w:t>、北京银行北清路支行</w:t>
      </w:r>
      <w:r>
        <w:rPr>
          <w:rFonts w:ascii="Times New Roman" w:hAnsi="Times New Roman" w:cs="Times New Roman" w:eastAsia="Times New Roman" w:hint="default"/>
        </w:rPr>
        <w:t>5000</w:t>
      </w:r>
      <w:r>
        <w:rPr/>
        <w:t>万元的保证借款，系公司将坐落在海淀区地锦路</w:t>
      </w:r>
      <w:r>
        <w:rPr>
          <w:rFonts w:ascii="Times New Roman" w:hAnsi="Times New Roman" w:cs="Times New Roman" w:eastAsia="Times New Roman" w:hint="default"/>
        </w:rPr>
        <w:t>7</w:t>
      </w:r>
      <w:r>
        <w:rPr/>
        <w:t>号院</w:t>
      </w:r>
      <w:r>
        <w:rPr>
          <w:rFonts w:ascii="Times New Roman" w:hAnsi="Times New Roman" w:cs="Times New Roman" w:eastAsia="Times New Roman" w:hint="default"/>
        </w:rPr>
        <w:t>6</w:t>
      </w:r>
      <w:r>
        <w:rPr/>
        <w:t>号楼的房产和土 地作抵押，同时瞿洪桂为该笔借款提供担保。</w:t>
      </w:r>
    </w:p>
    <w:p>
      <w:pPr>
        <w:pStyle w:val="BodyText"/>
        <w:spacing w:line="273" w:lineRule="auto" w:before="22"/>
        <w:ind w:left="574" w:right="1034"/>
        <w:jc w:val="left"/>
      </w:pPr>
      <w:r>
        <w:rPr/>
        <w:t>质押借款情况的说明： </w:t>
      </w:r>
      <w:r>
        <w:rPr>
          <w:spacing w:val="-1"/>
        </w:rPr>
        <w:t>北京银行北清路支行</w:t>
      </w:r>
      <w:r>
        <w:rPr>
          <w:rFonts w:ascii="Times New Roman" w:hAnsi="Times New Roman" w:cs="Times New Roman" w:eastAsia="Times New Roman" w:hint="default"/>
          <w:spacing w:val="-1"/>
        </w:rPr>
        <w:t>2500</w:t>
      </w:r>
      <w:r>
        <w:rPr>
          <w:spacing w:val="-1"/>
        </w:rPr>
        <w:t>万元的借款，系公司由北京中关村科技融资担保有限公司提供担保，公司以</w:t>
      </w:r>
    </w:p>
    <w:p>
      <w:pPr>
        <w:pStyle w:val="BodyText"/>
        <w:spacing w:line="256" w:lineRule="auto" w:before="0"/>
        <w:ind w:left="490" w:right="2929" w:hanging="336"/>
        <w:jc w:val="left"/>
      </w:pPr>
      <w:r>
        <w:rPr/>
        <w:t>总额为</w:t>
      </w:r>
      <w:r>
        <w:rPr>
          <w:rFonts w:ascii="Times New Roman" w:hAnsi="Times New Roman" w:cs="Times New Roman" w:eastAsia="Times New Roman" w:hint="default"/>
        </w:rPr>
        <w:t>270,999,768.09</w:t>
      </w:r>
      <w:r>
        <w:rPr/>
        <w:t>元的应收账款作质押，同时瞿洪桂为上述担保借款提供反担保。 保证借款情况详见附注十（四）关联方担保。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left="154" w:right="1034"/>
        <w:jc w:val="left"/>
        <w:rPr>
          <w:b w:val="0"/>
          <w:bCs w:val="0"/>
        </w:rPr>
      </w:pPr>
      <w:bookmarkStart w:name="22、应付票据" w:id="266"/>
      <w:bookmarkEnd w:id="266"/>
      <w:r>
        <w:rPr>
          <w:b w:val="0"/>
          <w:bCs w:val="0"/>
        </w:rPr>
      </w:r>
      <w:r>
        <w:rPr>
          <w:rFonts w:ascii="Times New Roman" w:hAnsi="Times New Roman" w:cs="Times New Roman" w:eastAsia="Times New Roman" w:hint="default"/>
        </w:rPr>
        <w:t>22</w:t>
      </w:r>
      <w:r>
        <w:rPr/>
        <w:t>、应付票据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69,576,551.71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102,567,210.00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69,576,551.71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102,567,210.00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1034"/>
        <w:jc w:val="left"/>
        <w:rPr>
          <w:b w:val="0"/>
          <w:bCs w:val="0"/>
        </w:rPr>
      </w:pPr>
      <w:bookmarkStart w:name="23、应付账款" w:id="267"/>
      <w:bookmarkEnd w:id="267"/>
      <w:r>
        <w:rPr>
          <w:b w:val="0"/>
          <w:bCs w:val="0"/>
        </w:rPr>
      </w: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应付账款列示" w:id="268"/>
      <w:bookmarkEnd w:id="26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264,851,678.18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96,677,708.25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39,171,542.85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16,687,804.48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1,540,620.88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951,415.62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291,902.00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316,308.00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应付软件系统费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950,458.90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租赁资产预提的电费和租用网络费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32,986,515.03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339,792,717.84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114,685,436.35</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账龄超过1年的重要应付账款" w:id="269"/>
      <w:bookmarkEnd w:id="26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贵州广播电视局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9,963,720.00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安徽两淮建设有限责任公司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9,156,137.44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贵阳新鑫思维科技有限公司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4,435,844.96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北京中实兴业电子工程有限公司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3,887,831.11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北京鼎泰鸿宇科技有限公司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3,287,627.13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30,731,160.64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1034"/>
        <w:jc w:val="left"/>
        <w:rPr>
          <w:b w:val="0"/>
          <w:bCs w:val="0"/>
        </w:rPr>
      </w:pPr>
      <w:bookmarkStart w:name="24、预收款项" w:id="270"/>
      <w:bookmarkEnd w:id="270"/>
      <w:r>
        <w:rPr>
          <w:b w:val="0"/>
          <w:bCs w:val="0"/>
        </w:rPr>
      </w:r>
      <w:r>
        <w:rPr>
          <w:rFonts w:ascii="Times New Roman" w:hAnsi="Times New Roman" w:cs="Times New Roman" w:eastAsia="Times New Roman" w:hint="default"/>
        </w:rPr>
        <w:t>24</w:t>
      </w:r>
      <w:r>
        <w:rPr/>
        <w:t>、预收款项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预收款项列示" w:id="271"/>
      <w:bookmarkEnd w:id="27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400,808,939.86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48,885,852.53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400,808,939.86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48,885,852.53</w:t>
            </w:r>
          </w:p>
        </w:tc>
      </w:tr>
    </w:tbl>
    <w:p>
      <w:pPr>
        <w:spacing w:line="240" w:lineRule="auto" w:before="3"/>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账龄超过1年的重要预收款项" w:id="272"/>
      <w:bookmarkEnd w:id="27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中国建设银行股份有限公司安徽省分行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18,658,560.00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镇江新区经济开发总公司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呼伦贝尔市华建设备制造有限公司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2,168,360.00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31,326,920.00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5、应付职工薪酬" w:id="273"/>
      <w:bookmarkEnd w:id="273"/>
      <w:r>
        <w:rPr>
          <w:b w:val="0"/>
          <w:bCs w:val="0"/>
        </w:rPr>
      </w:r>
      <w:r>
        <w:rPr>
          <w:rFonts w:ascii="Times New Roman" w:hAnsi="Times New Roman" w:cs="Times New Roman" w:eastAsia="Times New Roman" w:hint="default"/>
        </w:rPr>
        <w:t>25</w:t>
      </w:r>
      <w:r>
        <w:rPr/>
        <w:t>、应付职工薪酬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应付职工薪酬列示" w:id="274"/>
      <w:bookmarkEnd w:id="27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18,917,719.94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97,619,078.64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103,944,114.05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12,592,684.53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11,736,965.51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11,702,878.87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34,086.64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18,917,719.94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109,356,044.15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115,646,992.92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12,626,771.17</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短期薪酬列示" w:id="275"/>
      <w:bookmarkEnd w:id="27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15,928,226.16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79,456,106.19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85,652,419.81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9,731,912.54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6,258,148.18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6,258,148.18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5,814,804.01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5,812,875.01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5,163,288.78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5,161,616.98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1,671.80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280,627.47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280,498.87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316,049.90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315,921.30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54,837.86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54,837.86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5,247,836.28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5,244,926.08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2,910.20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2,989,493.78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842,183.98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975,744.97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2,855,932.79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18,917,719.94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97,619,078.64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103,944,114.05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12,592,684.53</w:t>
            </w:r>
          </w:p>
        </w:tc>
      </w:tr>
    </w:tbl>
    <w:p>
      <w:pPr>
        <w:spacing w:line="240" w:lineRule="auto" w:before="3"/>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3）设定提存计划列示" w:id="276"/>
      <w:bookmarkEnd w:id="27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11,000,519.20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10,966,818.36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33,700.84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736,446.31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736,060.51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11,736,965.51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11,702,878.87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34,086.64</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26、应交税费" w:id="277"/>
      <w:bookmarkEnd w:id="277"/>
      <w:r>
        <w:rPr>
          <w:b w:val="0"/>
          <w:bCs w:val="0"/>
        </w:rPr>
      </w:r>
      <w:r>
        <w:rPr>
          <w:rFonts w:ascii="Times New Roman" w:hAnsi="Times New Roman" w:cs="Times New Roman" w:eastAsia="Times New Roman" w:hint="default"/>
        </w:rPr>
        <w:t>26</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25,362,313.18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6,619,281.05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9,373,306.97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3,599.70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18,446,945.39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7,065,176.53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185,034.67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166,902.92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2,890,777.11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501,244.81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548,457.73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769,984.09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1,445,023.08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214,800.71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74,443.81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67,669.37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618,902.05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143,128.48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61,183.87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67,416.23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河道维护管理费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7,345.39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676,219.86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675,758.31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59,682,607.72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16,302,307.59</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27、应付利息" w:id="278"/>
      <w:bookmarkEnd w:id="278"/>
      <w:r>
        <w:rPr>
          <w:b w:val="0"/>
          <w:bCs w:val="0"/>
        </w:rPr>
      </w:r>
      <w:r>
        <w:rPr>
          <w:rFonts w:ascii="Times New Roman" w:hAnsi="Times New Roman" w:cs="Times New Roman" w:eastAsia="Times New Roman" w:hint="default"/>
        </w:rPr>
        <w:t>27</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678,129.16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227,735.41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3,678,125.00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911,896.00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614,915.56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1,590,025.16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4,520,775.97</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1034"/>
        <w:jc w:val="left"/>
        <w:rPr>
          <w:b w:val="0"/>
          <w:bCs w:val="0"/>
        </w:rPr>
      </w:pPr>
      <w:bookmarkStart w:name="28、其他应付款" w:id="279"/>
      <w:bookmarkEnd w:id="279"/>
      <w:r>
        <w:rPr>
          <w:b w:val="0"/>
          <w:bCs w:val="0"/>
        </w:rPr>
      </w:r>
      <w:r>
        <w:rPr>
          <w:rFonts w:ascii="Times New Roman" w:hAnsi="Times New Roman" w:cs="Times New Roman" w:eastAsia="Times New Roman" w:hint="default"/>
        </w:rPr>
        <w:t>28</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按款项性质列示其他应付款" w:id="280"/>
      <w:bookmarkEnd w:id="28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2,921,015.85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1,486,320.60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2,841,479.92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4,114,806.30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1,684,066.30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998,371.50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79,697.24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32,758.50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753,824.45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336,242.15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8,280,083.76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6,968,499.05</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账龄超过1年的重要其他应付款" w:id="281"/>
      <w:bookmarkEnd w:id="28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芜湖市畅顺运输有限公司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779,819.00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保证金、未付运输费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中科软科技股份有限公司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742,400.00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1,522,219.00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1034"/>
        <w:jc w:val="left"/>
        <w:rPr>
          <w:b w:val="0"/>
          <w:bCs w:val="0"/>
        </w:rPr>
      </w:pPr>
      <w:bookmarkStart w:name="29、一年内到期的非流动负债" w:id="282"/>
      <w:bookmarkEnd w:id="282"/>
      <w:r>
        <w:rPr>
          <w:b w:val="0"/>
          <w:bCs w:val="0"/>
        </w:rPr>
      </w:r>
      <w:r>
        <w:rPr>
          <w:rFonts w:ascii="Times New Roman" w:hAnsi="Times New Roman" w:cs="Times New Roman" w:eastAsia="Times New Roman" w:hint="default"/>
        </w:rPr>
        <w:t>29</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148,462,081.53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1,646,779.49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49,646,779.49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148,462,081.53</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1034"/>
        <w:jc w:val="left"/>
        <w:rPr>
          <w:b w:val="0"/>
          <w:bCs w:val="0"/>
        </w:rPr>
      </w:pPr>
      <w:bookmarkStart w:name="30、长期借款" w:id="283"/>
      <w:bookmarkEnd w:id="283"/>
      <w:r>
        <w:rPr>
          <w:b w:val="0"/>
          <w:bCs w:val="0"/>
        </w:rPr>
      </w:r>
      <w:r>
        <w:rPr>
          <w:rFonts w:ascii="Times New Roman" w:hAnsi="Times New Roman" w:cs="Times New Roman" w:eastAsia="Times New Roman" w:hint="default"/>
        </w:rPr>
        <w:t>30</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长期借款分类" w:id="284"/>
      <w:bookmarkEnd w:id="28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121,000,000.00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3"/>
        <w:rPr>
          <w:rFonts w:ascii="宋体" w:hAnsi="宋体" w:cs="宋体" w:eastAsia="宋体" w:hint="default"/>
          <w:sz w:val="22"/>
          <w:szCs w:val="22"/>
        </w:rPr>
      </w:pPr>
    </w:p>
    <w:p>
      <w:pPr>
        <w:pStyle w:val="BodyText"/>
        <w:spacing w:line="240" w:lineRule="auto" w:before="0"/>
        <w:ind w:left="574" w:right="1034"/>
        <w:jc w:val="left"/>
      </w:pPr>
      <w:r>
        <w:rPr/>
        <w:t>质押借款说明：</w:t>
      </w:r>
    </w:p>
    <w:p>
      <w:pPr>
        <w:pStyle w:val="BodyText"/>
        <w:spacing w:line="256" w:lineRule="auto" w:before="37"/>
        <w:ind w:left="154" w:right="1150" w:firstLine="420"/>
        <w:jc w:val="left"/>
      </w:pPr>
      <w:r>
        <w:rPr>
          <w:rFonts w:ascii="Times New Roman" w:hAnsi="Times New Roman" w:cs="Times New Roman" w:eastAsia="Times New Roman" w:hint="default"/>
        </w:rPr>
        <w:t>A</w:t>
      </w:r>
      <w:r>
        <w:rPr/>
        <w:t>、扬子银行质押借款</w:t>
      </w:r>
      <w:r>
        <w:rPr>
          <w:rFonts w:ascii="Times New Roman" w:hAnsi="Times New Roman" w:cs="Times New Roman" w:eastAsia="Times New Roman" w:hint="default"/>
        </w:rPr>
        <w:t>12,000.00</w:t>
      </w:r>
      <w:r>
        <w:rPr/>
        <w:t>万元，出质股权所在公司名称：苏州开关二厂有限公司，出质股权的 数额：人民币</w:t>
      </w:r>
      <w:r>
        <w:rPr>
          <w:rFonts w:ascii="Times New Roman" w:hAnsi="Times New Roman" w:cs="Times New Roman" w:eastAsia="Times New Roman" w:hint="default"/>
        </w:rPr>
        <w:t>3,640.00</w:t>
      </w:r>
      <w:r>
        <w:rPr/>
        <w:t>万元。</w:t>
      </w:r>
    </w:p>
    <w:p>
      <w:pPr>
        <w:pStyle w:val="BodyText"/>
        <w:spacing w:line="256" w:lineRule="auto" w:before="5"/>
        <w:ind w:left="154" w:right="1162" w:firstLine="420"/>
        <w:jc w:val="left"/>
      </w:pPr>
      <w:r>
        <w:rPr>
          <w:rFonts w:ascii="Times New Roman" w:hAnsi="Times New Roman" w:cs="Times New Roman" w:eastAsia="Times New Roman" w:hint="default"/>
        </w:rPr>
        <w:t>B</w:t>
      </w:r>
      <w:r>
        <w:rPr/>
        <w:t>、招商银行质押借款</w:t>
      </w:r>
      <w:r>
        <w:rPr>
          <w:rFonts w:ascii="Times New Roman" w:hAnsi="Times New Roman" w:cs="Times New Roman" w:eastAsia="Times New Roman" w:hint="default"/>
        </w:rPr>
        <w:t>15,000.00</w:t>
      </w:r>
      <w:r>
        <w:rPr/>
        <w:t>万元，出质股权所在公司：北京中电兴发科技有限公司，出质股权数 额：人民币</w:t>
      </w:r>
      <w:r>
        <w:rPr>
          <w:rFonts w:ascii="Times New Roman" w:hAnsi="Times New Roman" w:cs="Times New Roman" w:eastAsia="Times New Roman" w:hint="default"/>
        </w:rPr>
        <w:t>2,689.685</w:t>
      </w:r>
      <w:r>
        <w:rPr/>
        <w:t>万元。</w:t>
      </w:r>
    </w:p>
    <w:p>
      <w:pPr>
        <w:pStyle w:val="BodyText"/>
        <w:spacing w:line="240" w:lineRule="auto" w:before="5"/>
        <w:ind w:left="154" w:right="1034"/>
        <w:jc w:val="left"/>
      </w:pPr>
      <w:r>
        <w:rPr/>
        <w:t>保证借款明细详见附注十（四）关联方担保。</w:t>
      </w:r>
    </w:p>
    <w:p>
      <w:pPr>
        <w:spacing w:line="240" w:lineRule="auto" w:before="0"/>
        <w:rPr>
          <w:rFonts w:ascii="宋体" w:hAnsi="宋体" w:cs="宋体" w:eastAsia="宋体" w:hint="default"/>
          <w:sz w:val="20"/>
          <w:szCs w:val="20"/>
        </w:rPr>
      </w:pPr>
    </w:p>
    <w:p>
      <w:pPr>
        <w:spacing w:before="153"/>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10"/>
        <w:rPr>
          <w:rFonts w:ascii="宋体" w:hAnsi="宋体" w:cs="宋体" w:eastAsia="宋体" w:hint="default"/>
          <w:sz w:val="26"/>
          <w:szCs w:val="26"/>
        </w:rPr>
      </w:pPr>
    </w:p>
    <w:p>
      <w:pPr>
        <w:pStyle w:val="Heading6"/>
        <w:spacing w:line="240" w:lineRule="auto"/>
        <w:ind w:left="154" w:right="1034"/>
        <w:jc w:val="left"/>
        <w:rPr>
          <w:b w:val="0"/>
          <w:bCs w:val="0"/>
        </w:rPr>
      </w:pPr>
      <w:bookmarkStart w:name="31、应付债券" w:id="285"/>
      <w:bookmarkEnd w:id="285"/>
      <w:r>
        <w:rPr>
          <w:b w:val="0"/>
          <w:bCs w:val="0"/>
        </w:rPr>
      </w:r>
      <w:r>
        <w:rPr>
          <w:rFonts w:ascii="Times New Roman" w:hAnsi="Times New Roman" w:cs="Times New Roman" w:eastAsia="Times New Roman" w:hint="default"/>
        </w:rPr>
        <w:t>31</w:t>
      </w:r>
      <w:r>
        <w:rPr/>
        <w:t>、应付债券</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应付债券" w:id="286"/>
      <w:bookmarkEnd w:id="28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其他应付债券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148,462,081.53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减：一年到期的应付债券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-148,462,081.53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应付债券的增减变动（不包括划分为金融负债的优先股、永续债等其他金融工具）" w:id="287"/>
      <w:bookmarkEnd w:id="28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集合票据</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2012/7/13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148,462,0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1,537,918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148,462,0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1,537,918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32、递延收益" w:id="288"/>
      <w:bookmarkEnd w:id="288"/>
      <w:r>
        <w:rPr>
          <w:b w:val="0"/>
          <w:bCs w:val="0"/>
        </w:rPr>
      </w:r>
      <w:r>
        <w:rPr>
          <w:rFonts w:ascii="Times New Roman" w:hAnsi="Times New Roman" w:cs="Times New Roman" w:eastAsia="Times New Roman" w:hint="default"/>
        </w:rPr>
        <w:t>32</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24,592,193.80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3,472,058.88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26,969,534.92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24,592,193.80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3,472,058.88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26,969,534.92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125.300003pt;margin-top:418.039978pt;width:68pt;height:43.55pt;mso-position-horizontal-relative:page;mso-position-vertical-relative:page;z-index:-1109728" coordorigin="2506,8361" coordsize="1360,871">
            <v:group style="position:absolute;left:2506;top:8361;width:1360;height:469" coordorigin="2506,8361" coordsize="1360,469">
              <v:shape style="position:absolute;left:2506;top:8361;width:1360;height:469" coordorigin="2506,8361" coordsize="1360,469" path="m2506,8829l3866,8829,3866,8361,2506,8361,2506,8829xe" filled="true" fillcolor="#ffffff" stroked="false">
                <v:path arrowok="t"/>
                <v:fill type="solid"/>
              </v:shape>
            </v:group>
            <v:group style="position:absolute;left:2517;top:8829;width:2;height:392" coordorigin="2517,8829" coordsize="2,392">
              <v:shape style="position:absolute;left:2517;top:8829;width:2;height:392" coordorigin="2517,8829" coordsize="0,392" path="m2517,8829l2517,9220e" filled="false" stroked="true" strokeweight="1.140pt" strokecolor="#ffffff">
                <v:path arrowok="t"/>
              </v:shape>
            </v:group>
            <v:group style="position:absolute;left:2529;top:8829;width:1314;height:392" coordorigin="2529,8829" coordsize="1314,392">
              <v:shape style="position:absolute;left:2529;top:8829;width:1314;height:392" coordorigin="2529,8829" coordsize="1314,392" path="m2529,9220l3843,9220,3843,8829,2529,8829,2529,9220xe" filled="true" fillcolor="#ffffff" stroked="false">
                <v:path arrowok="t"/>
                <v:fill type="solid"/>
              </v:shape>
            </v:group>
            <w10:wrap type="none"/>
          </v:group>
        </w:pict>
      </w:r>
    </w:p>
    <w:p>
      <w:pPr>
        <w:spacing w:before="44"/>
        <w:ind w:left="0" w:right="1130" w:firstLine="0"/>
        <w:jc w:val="right"/>
        <w:rPr>
          <w:rFonts w:ascii="宋体" w:hAnsi="宋体" w:cs="宋体" w:eastAsia="宋体" w:hint="default"/>
          <w:sz w:val="18"/>
          <w:szCs w:val="18"/>
        </w:rPr>
      </w:pPr>
      <w:r>
        <w:rPr/>
        <w:pict>
          <v:shape style="position:absolute;margin-left:119.100006pt;margin-top:55.431725pt;width:74.2pt;height:31.25pt;mso-position-horizontal-relative:page;mso-position-vertical-relative:paragraph;z-index:-11097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5.300003pt;margin-top:55.431725pt;width:68pt;height:31.25pt;mso-position-horizontal-relative:page;mso-position-vertical-relative:paragraph;z-index:-1109752" coordorigin="2506,1109" coordsize="1360,625">
            <v:shape style="position:absolute;left:2506;top:1109;width:1360;height:625" coordorigin="2506,1109" coordsize="1360,625" path="m2506,1733l3866,1733,3866,1109,2506,1109,2506,1733xe" filled="true" fillcolor="#ffffff" stroked="false">
              <v:path arrowok="t"/>
              <v:fill type="solid"/>
            </v:shape>
            <w10:wrap type="none"/>
          </v:group>
        </w:pict>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229"/>
        <w:gridCol w:w="1141"/>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轨道交通（高铁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信号可靠性供电 保障系统关键技 术的开发及产业 化</w:t>
            </w:r>
            <w:r>
              <w:rPr>
                <w:rFonts w:ascii="Times New Roman" w:hAnsi="Times New Roman" w:cs="Times New Roman" w:eastAsia="Times New Roman" w:hint="default"/>
                <w:sz w:val="18"/>
                <w:szCs w:val="18"/>
              </w:rPr>
              <w:t>*1</w:t>
            </w:r>
          </w:p>
        </w:tc>
        <w:tc>
          <w:tcPr>
            <w:tcW w:w="229" w:type="dxa"/>
            <w:tcBorders>
              <w:top w:val="single" w:sz="4" w:space="0" w:color="000000"/>
              <w:left w:val="single" w:sz="4" w:space="0" w:color="000000"/>
              <w:bottom w:val="single" w:sz="4" w:space="0" w:color="000000"/>
              <w:right w:val="nil" w:sz="6" w:space="0" w:color="auto"/>
            </w:tcBorders>
          </w:tcPr>
          <w:p>
            <w:pPr/>
          </w:p>
        </w:tc>
        <w:tc>
          <w:tcPr>
            <w:tcW w:w="1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高效节能数字式 软启动装置产业 化项目</w:t>
            </w:r>
            <w:r>
              <w:rPr>
                <w:rFonts w:ascii="Times New Roman" w:hAnsi="Times New Roman" w:cs="Times New Roman" w:eastAsia="Times New Roman" w:hint="default"/>
                <w:sz w:val="18"/>
                <w:szCs w:val="18"/>
              </w:rPr>
              <w:t>*2</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999,999.96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重点实验室建设 专项资金</w:t>
            </w:r>
            <w:r>
              <w:rPr>
                <w:rFonts w:ascii="Times New Roman" w:hAnsi="Times New Roman" w:cs="Times New Roman" w:eastAsia="Times New Roman" w:hint="default"/>
                <w:sz w:val="18"/>
                <w:szCs w:val="18"/>
              </w:rPr>
              <w:t>*3</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282,894.73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15,789.48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15,789.48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251,315.77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多层厂房奖励资 金</w:t>
            </w:r>
            <w:r>
              <w:rPr>
                <w:rFonts w:ascii="Times New Roman" w:hAnsi="Times New Roman" w:cs="Times New Roman" w:eastAsia="Times New Roman" w:hint="default"/>
                <w:sz w:val="18"/>
                <w:szCs w:val="18"/>
              </w:rPr>
              <w:t>*4</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6,087,895.74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370,836.24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370,836.29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5,346,223.21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AXQ4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系列双电 源自动转换开关 项目</w:t>
            </w:r>
            <w:r>
              <w:rPr>
                <w:rFonts w:ascii="Times New Roman" w:hAnsi="Times New Roman" w:cs="Times New Roman" w:eastAsia="Times New Roman" w:hint="default"/>
                <w:sz w:val="18"/>
                <w:szCs w:val="18"/>
              </w:rPr>
              <w:t>*5</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113,663.35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16,633.68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16,633.68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80,395.99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DPX100P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综合保 护单元</w:t>
            </w:r>
            <w:r>
              <w:rPr>
                <w:rFonts w:ascii="Times New Roman" w:hAnsi="Times New Roman" w:cs="Times New Roman" w:eastAsia="Times New Roman" w:hint="default"/>
                <w:sz w:val="18"/>
                <w:szCs w:val="18"/>
              </w:rPr>
              <w:t>*6</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189,915.98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20,168.04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20,168.04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149,579.90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安徽省电器设备 </w:t>
            </w:r>
            <w:r>
              <w:rPr>
                <w:rFonts w:ascii="宋体" w:hAnsi="宋体" w:cs="宋体" w:eastAsia="宋体" w:hint="default"/>
                <w:spacing w:val="-9"/>
                <w:sz w:val="18"/>
                <w:szCs w:val="18"/>
              </w:rPr>
              <w:t>电磁兼容（</w:t>
            </w:r>
            <w:r>
              <w:rPr>
                <w:rFonts w:ascii="Times New Roman" w:hAnsi="Times New Roman" w:cs="Times New Roman" w:eastAsia="Times New Roman" w:hint="default"/>
                <w:spacing w:val="-9"/>
                <w:sz w:val="18"/>
                <w:szCs w:val="18"/>
              </w:rPr>
              <w:t>EMC</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省级实验室绩效 考核补助</w:t>
            </w:r>
            <w:r>
              <w:rPr>
                <w:rFonts w:ascii="Times New Roman" w:hAnsi="Times New Roman" w:cs="Times New Roman" w:eastAsia="Times New Roman" w:hint="default"/>
                <w:sz w:val="18"/>
                <w:szCs w:val="18"/>
              </w:rPr>
              <w:t>*7</w:t>
            </w:r>
          </w:p>
        </w:tc>
        <w:tc>
          <w:tcPr>
            <w:tcW w:w="2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792,824.00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764,120.00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中低压电能质量 综合治理装置产 业化关键技术研 究</w:t>
            </w:r>
            <w:r>
              <w:rPr>
                <w:rFonts w:ascii="Times New Roman" w:hAnsi="Times New Roman" w:cs="Times New Roman" w:eastAsia="Times New Roman" w:hint="default"/>
                <w:sz w:val="18"/>
                <w:szCs w:val="18"/>
              </w:rPr>
              <w:t>*8</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自主创新能力建 设补助项目</w:t>
            </w:r>
            <w:r>
              <w:rPr>
                <w:rFonts w:ascii="Times New Roman" w:hAnsi="Times New Roman" w:cs="Times New Roman" w:eastAsia="Times New Roman" w:hint="default"/>
                <w:sz w:val="18"/>
                <w:szCs w:val="18"/>
              </w:rPr>
              <w:t>*9</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285,000.00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国家重点新产品 研发后补助项目</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*10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年省高技术 产业化专项省统 筹投资计划</w:t>
            </w:r>
            <w:r>
              <w:rPr>
                <w:rFonts w:ascii="Times New Roman" w:hAnsi="Times New Roman" w:cs="Times New Roman" w:eastAsia="Times New Roman" w:hint="default"/>
                <w:sz w:val="18"/>
                <w:szCs w:val="18"/>
              </w:rPr>
              <w:t>*11</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智能型高分断低 压断路器生产线 建设项目</w:t>
            </w:r>
            <w:r>
              <w:rPr>
                <w:rFonts w:ascii="Times New Roman" w:hAnsi="Times New Roman" w:cs="Times New Roman" w:eastAsia="Times New Roman" w:hint="default"/>
                <w:sz w:val="18"/>
                <w:szCs w:val="18"/>
              </w:rPr>
              <w:t>*12</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40,833.32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589,166.68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户用光伏发电智</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426,400.00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426,400.00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能控制模块集成 技术</w:t>
            </w:r>
            <w:r>
              <w:rPr>
                <w:rFonts w:ascii="Times New Roman" w:hAnsi="Times New Roman" w:cs="Times New Roman" w:eastAsia="Times New Roman" w:hint="default"/>
                <w:sz w:val="18"/>
                <w:szCs w:val="18"/>
              </w:rPr>
              <w:t>*13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智能化电力供配 电微机综合保护 装置生产线</w:t>
            </w:r>
            <w:r>
              <w:rPr>
                <w:rFonts w:ascii="Times New Roman" w:hAnsi="Times New Roman" w:cs="Times New Roman" w:eastAsia="Times New Roman" w:hint="default"/>
                <w:sz w:val="18"/>
                <w:szCs w:val="18"/>
              </w:rPr>
              <w:t>*14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企业发展专项资 金</w:t>
            </w:r>
            <w:r>
              <w:rPr>
                <w:rFonts w:ascii="Times New Roman" w:hAnsi="Times New Roman" w:cs="Times New Roman" w:eastAsia="Times New Roman" w:hint="default"/>
                <w:sz w:val="18"/>
                <w:szCs w:val="18"/>
              </w:rPr>
              <w:t>*15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省创新型省份建 设资金</w:t>
            </w:r>
            <w:r>
              <w:rPr>
                <w:rFonts w:ascii="Times New Roman" w:hAnsi="Times New Roman" w:cs="Times New Roman" w:eastAsia="Times New Roman" w:hint="default"/>
                <w:sz w:val="18"/>
                <w:szCs w:val="18"/>
              </w:rPr>
              <w:t>*16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芜湖市科技局项 目经费</w:t>
            </w:r>
            <w:r>
              <w:rPr>
                <w:rFonts w:ascii="Times New Roman" w:hAnsi="Times New Roman" w:cs="Times New Roman" w:eastAsia="Times New Roman" w:hint="default"/>
                <w:sz w:val="18"/>
                <w:szCs w:val="18"/>
              </w:rPr>
              <w:t>-</w:t>
            </w:r>
            <w:r>
              <w:rPr>
                <w:rFonts w:ascii="宋体" w:hAnsi="宋体" w:cs="宋体" w:eastAsia="宋体" w:hint="default"/>
                <w:sz w:val="18"/>
                <w:szCs w:val="18"/>
              </w:rPr>
              <w:t>研制 </w:t>
            </w:r>
            <w:r>
              <w:rPr>
                <w:rFonts w:ascii="Times New Roman" w:hAnsi="Times New Roman" w:cs="Times New Roman" w:eastAsia="Times New Roman" w:hint="default"/>
                <w:sz w:val="18"/>
                <w:szCs w:val="18"/>
              </w:rPr>
              <w:t>AXGQ-63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自复</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式过欠压保护器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24,592,193.80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1,825,279.39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1,646,779.49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26,969,534.92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1" w:lineRule="auto" w:before="90"/>
        <w:ind w:right="1113"/>
        <w:jc w:val="left"/>
      </w:pPr>
      <w:r>
        <w:rPr>
          <w:rFonts w:ascii="Times New Roman" w:hAnsi="Times New Roman" w:cs="Times New Roman" w:eastAsia="Times New Roman" w:hint="default"/>
        </w:rPr>
        <w:t>1.</w:t>
      </w:r>
      <w:r>
        <w:rPr/>
        <w:t>根据安徽省财政厅颁布的皖创新办【</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5 </w:t>
      </w:r>
      <w:r>
        <w:rPr/>
        <w:t>号文件《关于下达</w:t>
      </w:r>
      <w:r>
        <w:rPr>
          <w:spacing w:val="-25"/>
        </w:rPr>
        <w:t> </w:t>
      </w:r>
      <w:r>
        <w:rPr>
          <w:rFonts w:ascii="Times New Roman" w:hAnsi="Times New Roman" w:cs="Times New Roman" w:eastAsia="Times New Roman" w:hint="default"/>
        </w:rPr>
        <w:t>2013</w:t>
      </w:r>
      <w:r>
        <w:rPr/>
        <w:t>年国家技术创新工程试点省和合芜 蚌自主创新综合试验区专项资金项目计划的通知》，公司于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月收到政府补助</w:t>
      </w:r>
      <w:r>
        <w:rPr>
          <w:spacing w:val="-73"/>
        </w:rPr>
        <w:t> </w:t>
      </w:r>
      <w:r>
        <w:rPr>
          <w:rFonts w:ascii="Times New Roman" w:hAnsi="Times New Roman" w:cs="Times New Roman" w:eastAsia="Times New Roman" w:hint="default"/>
        </w:rPr>
        <w:t>5,000,000.00</w:t>
      </w:r>
      <w:r>
        <w:rPr/>
        <w:t>元，待项 目完工后按照资产的使用年限分期转入政府补助。 </w:t>
      </w:r>
      <w:r>
        <w:rPr>
          <w:rFonts w:ascii="Times New Roman" w:hAnsi="Times New Roman" w:cs="Times New Roman" w:eastAsia="Times New Roman" w:hint="default"/>
          <w:spacing w:val="-2"/>
        </w:rPr>
        <w:t>2.</w:t>
      </w:r>
      <w:r>
        <w:rPr>
          <w:spacing w:val="-2"/>
        </w:rPr>
        <w:t>根据国家发展和改革委员会办公厅颁布的发改办环资【</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103</w:t>
      </w:r>
      <w:r>
        <w:rPr>
          <w:spacing w:val="-2"/>
        </w:rPr>
        <w:t>号文件《关于</w:t>
      </w:r>
      <w:r>
        <w:rPr>
          <w:rFonts w:ascii="Times New Roman" w:hAnsi="Times New Roman" w:cs="Times New Roman" w:eastAsia="Times New Roman" w:hint="default"/>
          <w:spacing w:val="-2"/>
        </w:rPr>
        <w:t>2013</w:t>
      </w:r>
      <w:r>
        <w:rPr>
          <w:spacing w:val="-2"/>
        </w:rPr>
        <w:t>年第四批资源节约和</w:t>
      </w:r>
      <w:r>
        <w:rPr>
          <w:spacing w:val="-81"/>
        </w:rPr>
        <w:t> </w:t>
      </w:r>
      <w:r>
        <w:rPr>
          <w:spacing w:val="-81"/>
        </w:rPr>
      </w:r>
      <w:r>
        <w:rPr/>
        <w:t>环境保护项目的复函》，公司于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月收到政府补助</w:t>
      </w:r>
      <w:r>
        <w:rPr>
          <w:spacing w:val="-22"/>
        </w:rPr>
        <w:t> </w:t>
      </w:r>
      <w:r>
        <w:rPr>
          <w:rFonts w:ascii="Times New Roman" w:hAnsi="Times New Roman" w:cs="Times New Roman" w:eastAsia="Times New Roman" w:hint="default"/>
        </w:rPr>
        <w:t>9,000,000.00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月收到政府补助 </w:t>
      </w:r>
      <w:r>
        <w:rPr>
          <w:rFonts w:ascii="Times New Roman" w:hAnsi="Times New Roman" w:cs="Times New Roman" w:eastAsia="Times New Roman" w:hint="default"/>
        </w:rPr>
        <w:t>1,000,000.00</w:t>
      </w:r>
      <w:r>
        <w:rPr/>
        <w:t>元，本期完工并投入运行，本期摊销转入营业外收入</w:t>
      </w:r>
      <w:r>
        <w:rPr>
          <w:rFonts w:ascii="Times New Roman" w:hAnsi="Times New Roman" w:cs="Times New Roman" w:eastAsia="Times New Roman" w:hint="default"/>
        </w:rPr>
        <w:t>999,999.96</w:t>
      </w:r>
      <w:r>
        <w:rPr/>
        <w:t>元。</w:t>
      </w:r>
    </w:p>
    <w:p>
      <w:pPr>
        <w:pStyle w:val="BodyText"/>
        <w:spacing w:line="256" w:lineRule="auto" w:before="0"/>
        <w:ind w:right="1016"/>
        <w:jc w:val="left"/>
      </w:pPr>
      <w:r>
        <w:rPr>
          <w:rFonts w:ascii="Times New Roman" w:hAnsi="Times New Roman" w:cs="Times New Roman" w:eastAsia="Times New Roman" w:hint="default"/>
          <w:spacing w:val="-6"/>
        </w:rPr>
        <w:t>3.</w:t>
      </w:r>
      <w:r>
        <w:rPr>
          <w:spacing w:val="-6"/>
        </w:rPr>
        <w:t>根据安徽省财政厅颁布的财教【</w:t>
      </w:r>
      <w:r>
        <w:rPr>
          <w:rFonts w:ascii="Times New Roman" w:hAnsi="Times New Roman" w:cs="Times New Roman" w:eastAsia="Times New Roman" w:hint="default"/>
          <w:spacing w:val="-6"/>
        </w:rPr>
        <w:t>2013</w:t>
      </w:r>
      <w:r>
        <w:rPr>
          <w:spacing w:val="-6"/>
        </w:rPr>
        <w:t>】</w:t>
      </w:r>
      <w:r>
        <w:rPr>
          <w:rFonts w:ascii="Times New Roman" w:hAnsi="Times New Roman" w:cs="Times New Roman" w:eastAsia="Times New Roman" w:hint="default"/>
          <w:spacing w:val="-6"/>
        </w:rPr>
        <w:t>1197 </w:t>
      </w:r>
      <w:r>
        <w:rPr>
          <w:spacing w:val="-8"/>
        </w:rPr>
        <w:t>号文件《关于下达 </w:t>
      </w:r>
      <w:r>
        <w:rPr>
          <w:rFonts w:ascii="Times New Roman" w:hAnsi="Times New Roman" w:cs="Times New Roman" w:eastAsia="Times New Roman" w:hint="default"/>
          <w:spacing w:val="-3"/>
        </w:rPr>
        <w:t>2013</w:t>
      </w:r>
      <w:r>
        <w:rPr>
          <w:spacing w:val="-3"/>
        </w:rPr>
        <w:t>年重点实验室建设专项资金的通知》，</w:t>
      </w:r>
      <w:r>
        <w:rPr>
          <w:spacing w:val="-101"/>
        </w:rPr>
        <w:t> </w:t>
      </w:r>
      <w:r>
        <w:rPr>
          <w:spacing w:val="-101"/>
        </w:rPr>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月收到政府补助 </w:t>
      </w:r>
      <w:r>
        <w:rPr>
          <w:rFonts w:ascii="Times New Roman" w:hAnsi="Times New Roman" w:cs="Times New Roman" w:eastAsia="Times New Roman" w:hint="default"/>
        </w:rPr>
        <w:t>300,000.00</w:t>
      </w:r>
      <w:r>
        <w:rPr/>
        <w:t>元，该实验室已于</w:t>
      </w:r>
      <w:r>
        <w:rPr>
          <w:spacing w:val="-45"/>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月投入使用，按照此资产的预计剩 余可使用年限，本期转入营业外收入</w:t>
      </w:r>
      <w:r>
        <w:rPr>
          <w:rFonts w:ascii="Times New Roman" w:hAnsi="Times New Roman" w:cs="Times New Roman" w:eastAsia="Times New Roman" w:hint="default"/>
        </w:rPr>
        <w:t>15,789.48</w:t>
      </w:r>
      <w:r>
        <w:rPr/>
        <w:t>元。 </w:t>
      </w:r>
      <w:r>
        <w:rPr>
          <w:rFonts w:ascii="Times New Roman" w:hAnsi="Times New Roman" w:cs="Times New Roman" w:eastAsia="Times New Roman" w:hint="default"/>
        </w:rPr>
        <w:t>4.</w:t>
      </w:r>
      <w:r>
        <w:rPr/>
        <w:t>根据安徽省芜湖市人民政府颁布的芜政【</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59</w:t>
      </w:r>
      <w:r>
        <w:rPr/>
        <w:t>号文件《关于加快承接产业转移促进工业发展的若干 政策的通知》，公司于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月收到多层厂房建设奖励资金</w:t>
      </w:r>
      <w:r>
        <w:rPr>
          <w:rFonts w:ascii="Times New Roman" w:hAnsi="Times New Roman" w:cs="Times New Roman" w:eastAsia="Times New Roman" w:hint="default"/>
        </w:rPr>
        <w:t>6,489,635.00</w:t>
      </w:r>
      <w:r>
        <w:rPr/>
        <w:t>元，该多层厂房已于</w:t>
      </w:r>
      <w:r>
        <w:rPr>
          <w:spacing w:val="-23"/>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 </w:t>
      </w:r>
      <w:r>
        <w:rPr/>
        <w:t>月投入使用，按照此资产的预计剩余可使用年限，本期转入营业外收入</w:t>
      </w:r>
      <w:r>
        <w:rPr>
          <w:rFonts w:ascii="Times New Roman" w:hAnsi="Times New Roman" w:cs="Times New Roman" w:eastAsia="Times New Roman" w:hint="default"/>
        </w:rPr>
        <w:t>370,836.24</w:t>
      </w:r>
      <w:r>
        <w:rPr/>
        <w:t>元。 </w:t>
      </w:r>
      <w:r>
        <w:rPr>
          <w:rFonts w:ascii="Times New Roman" w:hAnsi="Times New Roman" w:cs="Times New Roman" w:eastAsia="Times New Roman" w:hint="default"/>
        </w:rPr>
        <w:t>5</w:t>
      </w:r>
      <w:r>
        <w:rPr/>
        <w:t>．根据公司与芜湖市科学技术局签订的项目任务合同书，公司作为</w:t>
      </w:r>
      <w:r>
        <w:rPr>
          <w:rFonts w:ascii="Times New Roman" w:hAnsi="Times New Roman" w:cs="Times New Roman" w:eastAsia="Times New Roman" w:hint="default"/>
        </w:rPr>
        <w:t>AXQ4</w:t>
      </w:r>
      <w:r>
        <w:rPr/>
        <w:t>系列双电源自动转换开关项目的 承担单位，芜湖市财政应补助项目设备费</w:t>
      </w:r>
      <w:r>
        <w:rPr>
          <w:rFonts w:ascii="Times New Roman" w:hAnsi="Times New Roman" w:cs="Times New Roman" w:eastAsia="Times New Roman" w:hint="default"/>
        </w:rPr>
        <w:t>200,000.00</w:t>
      </w:r>
      <w:r>
        <w:rPr/>
        <w:t>元，公司于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月收到的政府补助</w:t>
      </w:r>
      <w:r>
        <w:rPr>
          <w:rFonts w:ascii="Times New Roman" w:hAnsi="Times New Roman" w:cs="Times New Roman" w:eastAsia="Times New Roman" w:hint="default"/>
        </w:rPr>
        <w:t>140,000.00</w:t>
      </w:r>
      <w:r>
        <w:rPr/>
        <w:t>元， 该项目设备已于</w:t>
      </w:r>
      <w:r>
        <w:rPr>
          <w:spacing w:val="-22"/>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月全部投入使用，按照该批资产的加权平均剩余可使用年限，本期转入营业外 收入</w:t>
      </w:r>
      <w:r>
        <w:rPr>
          <w:rFonts w:ascii="Times New Roman" w:hAnsi="Times New Roman" w:cs="Times New Roman" w:eastAsia="Times New Roman" w:hint="default"/>
        </w:rPr>
        <w:t>16,633.68</w:t>
      </w:r>
      <w:r>
        <w:rPr/>
        <w:t>元。 </w:t>
      </w:r>
      <w:r>
        <w:rPr>
          <w:rFonts w:ascii="Times New Roman" w:hAnsi="Times New Roman" w:cs="Times New Roman" w:eastAsia="Times New Roman" w:hint="default"/>
        </w:rPr>
        <w:t>6.</w:t>
      </w:r>
      <w:r>
        <w:rPr/>
        <w:t>根据公司与芜湖市科技局签订的安徽省重点新产品计划绩效合同书，公司于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月收到政府</w:t>
      </w:r>
      <w:r>
        <w:rPr>
          <w:rFonts w:ascii="Times New Roman" w:hAnsi="Times New Roman" w:cs="Times New Roman" w:eastAsia="Times New Roman" w:hint="default"/>
        </w:rPr>
        <w:t>2014</w:t>
      </w:r>
      <w:r>
        <w:rPr/>
        <w:t>年重</w:t>
      </w:r>
      <w:r>
        <w:rPr>
          <w:spacing w:val="1"/>
        </w:rPr>
        <w:t> </w:t>
      </w:r>
      <w:r>
        <w:rPr/>
        <w:t>点新产品补助资金（</w:t>
      </w:r>
      <w:r>
        <w:rPr>
          <w:spacing w:val="-22"/>
        </w:rPr>
        <w:t> </w:t>
      </w:r>
      <w:r>
        <w:rPr>
          <w:rFonts w:ascii="Times New Roman" w:hAnsi="Times New Roman" w:cs="Times New Roman" w:eastAsia="Times New Roman" w:hint="default"/>
        </w:rPr>
        <w:t>DPX100P</w:t>
      </w:r>
      <w:r>
        <w:rPr/>
        <w:t>综合保护单元项目）</w:t>
      </w:r>
      <w:r>
        <w:rPr>
          <w:rFonts w:ascii="Times New Roman" w:hAnsi="Times New Roman" w:cs="Times New Roman" w:eastAsia="Times New Roman" w:hint="default"/>
        </w:rPr>
        <w:t>200,000.00</w:t>
      </w:r>
      <w:r>
        <w:rPr/>
        <w:t>元用于购置设备，相关设备已于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 投入使用，按照该类设备的预计剩余可使用年限，本期转入营业外收入</w:t>
      </w:r>
      <w:r>
        <w:rPr>
          <w:rFonts w:ascii="Times New Roman" w:hAnsi="Times New Roman" w:cs="Times New Roman" w:eastAsia="Times New Roman" w:hint="default"/>
        </w:rPr>
        <w:t>20,168.04</w:t>
      </w:r>
      <w:r>
        <w:rPr/>
        <w:t>元。 </w:t>
      </w:r>
      <w:r>
        <w:rPr>
          <w:rFonts w:ascii="Times New Roman" w:hAnsi="Times New Roman" w:cs="Times New Roman" w:eastAsia="Times New Roman" w:hint="default"/>
          <w:spacing w:val="-2"/>
        </w:rPr>
        <w:t>7.</w:t>
      </w:r>
      <w:r>
        <w:rPr>
          <w:spacing w:val="-2"/>
        </w:rPr>
        <w:t>根据公司与芜湖市科技局签订的安徽省重点实验室绩效合同，公司于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月收到安徽省电器设备电磁</w:t>
      </w:r>
      <w:r>
        <w:rPr>
          <w:spacing w:val="-84"/>
        </w:rPr>
        <w:t> </w:t>
      </w:r>
      <w:r>
        <w:rPr>
          <w:spacing w:val="-84"/>
        </w:rPr>
      </w:r>
      <w:r>
        <w:rPr>
          <w:spacing w:val="-3"/>
        </w:rPr>
        <w:t>兼容（</w:t>
      </w:r>
      <w:r>
        <w:rPr>
          <w:rFonts w:ascii="Times New Roman" w:hAnsi="Times New Roman" w:cs="Times New Roman" w:eastAsia="Times New Roman" w:hint="default"/>
          <w:spacing w:val="-3"/>
        </w:rPr>
        <w:t>EMC</w:t>
      </w:r>
      <w:r>
        <w:rPr>
          <w:spacing w:val="-3"/>
        </w:rPr>
        <w:t>）省级实验室绩效考核补助资金</w:t>
      </w:r>
      <w:r>
        <w:rPr>
          <w:rFonts w:ascii="Times New Roman" w:hAnsi="Times New Roman" w:cs="Times New Roman" w:eastAsia="Times New Roman" w:hint="default"/>
          <w:spacing w:val="-3"/>
        </w:rPr>
        <w:t>800,000.00</w:t>
      </w:r>
      <w:r>
        <w:rPr>
          <w:spacing w:val="-3"/>
        </w:rPr>
        <w:t>元用于购置设备，相关设备已于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月投入运行，</w:t>
      </w:r>
      <w:r>
        <w:rPr/>
        <w:t> 按照该类设备的预计剩余可使用年限，本期转入营业外收入</w:t>
      </w:r>
      <w:r>
        <w:rPr>
          <w:rFonts w:ascii="Times New Roman" w:hAnsi="Times New Roman" w:cs="Times New Roman" w:eastAsia="Times New Roman" w:hint="default"/>
        </w:rPr>
        <w:t>14,352.00</w:t>
      </w:r>
      <w:r>
        <w:rPr/>
        <w:t>元。 </w:t>
      </w:r>
      <w:r>
        <w:rPr>
          <w:rFonts w:ascii="Times New Roman" w:hAnsi="Times New Roman" w:cs="Times New Roman" w:eastAsia="Times New Roman" w:hint="default"/>
        </w:rPr>
        <w:t>8.</w:t>
      </w:r>
      <w:r>
        <w:rPr/>
        <w:t>根据公司与芜湖市科技局签订的芜湖市科技计划项目合同书，公司于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月收到补助</w:t>
      </w:r>
      <w:r>
        <w:rPr>
          <w:rFonts w:ascii="Times New Roman" w:hAnsi="Times New Roman" w:cs="Times New Roman" w:eastAsia="Times New Roman" w:hint="default"/>
        </w:rPr>
        <w:t>700,000.00</w:t>
      </w:r>
      <w:r>
        <w:rPr/>
        <w:t>元，</w:t>
      </w:r>
      <w:r>
        <w:rPr>
          <w:spacing w:val="1"/>
        </w:rPr>
        <w:t> </w:t>
      </w:r>
      <w:r>
        <w:rPr/>
        <w:t>其中含佑赛公司</w:t>
      </w:r>
      <w:r>
        <w:rPr>
          <w:rFonts w:ascii="Times New Roman" w:hAnsi="Times New Roman" w:cs="Times New Roman" w:eastAsia="Times New Roman" w:hint="default"/>
        </w:rPr>
        <w:t>30%</w:t>
      </w:r>
      <w:r>
        <w:rPr/>
        <w:t>即</w:t>
      </w:r>
      <w:r>
        <w:rPr>
          <w:rFonts w:ascii="Times New Roman" w:hAnsi="Times New Roman" w:cs="Times New Roman" w:eastAsia="Times New Roman" w:hint="default"/>
        </w:rPr>
        <w:t>210,000.00</w:t>
      </w:r>
      <w:r>
        <w:rPr/>
        <w:t>元，已于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月转给佑赛公司</w:t>
      </w:r>
      <w:r>
        <w:rPr>
          <w:rFonts w:ascii="Times New Roman" w:hAnsi="Times New Roman" w:cs="Times New Roman" w:eastAsia="Times New Roman" w:hint="default"/>
        </w:rPr>
        <w:t>,</w:t>
      </w:r>
      <w:r>
        <w:rPr/>
        <w:t>按照该类设备的预计剩余可使用年限， 本期转入营业外收入</w:t>
      </w:r>
      <w:r>
        <w:rPr>
          <w:rFonts w:ascii="Times New Roman" w:hAnsi="Times New Roman" w:cs="Times New Roman" w:eastAsia="Times New Roman" w:hint="default"/>
        </w:rPr>
        <w:t>116,666.67</w:t>
      </w:r>
      <w:r>
        <w:rPr/>
        <w:t>元</w:t>
      </w:r>
      <w:r>
        <w:rPr>
          <w:rFonts w:ascii="Times New Roman" w:hAnsi="Times New Roman" w:cs="Times New Roman" w:eastAsia="Times New Roman" w:hint="default"/>
        </w:rPr>
        <w:t>,</w:t>
      </w:r>
      <w:r>
        <w:rPr/>
        <w:t>其中佑赛公司摊销</w:t>
      </w:r>
      <w:r>
        <w:rPr>
          <w:rFonts w:ascii="Times New Roman" w:hAnsi="Times New Roman" w:cs="Times New Roman" w:eastAsia="Times New Roman" w:hint="default"/>
        </w:rPr>
        <w:t>35,000.00</w:t>
      </w:r>
      <w:r>
        <w:rPr/>
        <w:t>元。 </w:t>
      </w:r>
      <w:r>
        <w:rPr>
          <w:rFonts w:ascii="Times New Roman" w:hAnsi="Times New Roman" w:cs="Times New Roman" w:eastAsia="Times New Roman" w:hint="default"/>
          <w:spacing w:val="-3"/>
        </w:rPr>
        <w:t>9</w:t>
      </w:r>
      <w:r>
        <w:rPr>
          <w:spacing w:val="-3"/>
        </w:rPr>
        <w:t>．根据安徽省支持自主创新能力建设实施细则，公司于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月收到自主创新能力建设补助项目</w:t>
      </w:r>
      <w:r>
        <w:rPr>
          <w:rFonts w:ascii="Times New Roman" w:hAnsi="Times New Roman" w:cs="Times New Roman" w:eastAsia="Times New Roman" w:hint="default"/>
          <w:spacing w:val="-3"/>
        </w:rPr>
        <w:t>(AXQ3</w:t>
      </w:r>
      <w:r>
        <w:rPr>
          <w:rFonts w:ascii="Times New Roman" w:hAnsi="Times New Roman" w:cs="Times New Roman" w:eastAsia="Times New Roman" w:hint="default"/>
          <w:spacing w:val="-32"/>
        </w:rPr>
        <w:t> </w:t>
      </w:r>
      <w:r>
        <w:rPr/>
        <w:t>自动转换开关</w:t>
      </w:r>
      <w:r>
        <w:rPr>
          <w:rFonts w:ascii="Times New Roman" w:hAnsi="Times New Roman" w:cs="Times New Roman" w:eastAsia="Times New Roman" w:hint="default"/>
        </w:rPr>
        <w:t>)</w:t>
      </w:r>
      <w:r>
        <w:rPr/>
        <w:t>项目补助资金</w:t>
      </w:r>
      <w:r>
        <w:rPr>
          <w:rFonts w:ascii="Times New Roman" w:hAnsi="Times New Roman" w:cs="Times New Roman" w:eastAsia="Times New Roman" w:hint="default"/>
        </w:rPr>
        <w:t>285,000.00</w:t>
      </w:r>
      <w:r>
        <w:rPr/>
        <w:t>元，待项目完工后按照资产的使用年限分期转入政府补助。</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034"/>
        <w:jc w:val="left"/>
      </w:pPr>
      <w:r>
        <w:rPr>
          <w:rFonts w:ascii="Times New Roman" w:hAnsi="Times New Roman" w:cs="Times New Roman" w:eastAsia="Times New Roman" w:hint="default"/>
          <w:spacing w:val="-1"/>
        </w:rPr>
        <w:t>10</w:t>
      </w:r>
      <w:r>
        <w:rPr>
          <w:spacing w:val="-1"/>
        </w:rPr>
        <w:t>．根据安徽省国家重点新产品研发后补助实施细则，公司于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月收到国家重点新产品研发后补助</w:t>
      </w:r>
      <w:r>
        <w:rPr>
          <w:spacing w:val="-83"/>
        </w:rPr>
        <w:t> </w:t>
      </w:r>
      <w:r>
        <w:rPr>
          <w:spacing w:val="-83"/>
        </w:rPr>
      </w:r>
      <w:r>
        <w:rPr/>
        <w:t>项目资金</w:t>
      </w:r>
      <w:r>
        <w:rPr>
          <w:rFonts w:ascii="Times New Roman" w:hAnsi="Times New Roman" w:cs="Times New Roman" w:eastAsia="Times New Roman" w:hint="default"/>
        </w:rPr>
        <w:t>1,000,000.00</w:t>
      </w:r>
      <w:r>
        <w:rPr/>
        <w:t>元，待项目完工后按照资产的使用年限分期转入政府补助。 </w:t>
      </w:r>
      <w:r>
        <w:rPr>
          <w:rFonts w:ascii="Times New Roman" w:hAnsi="Times New Roman" w:cs="Times New Roman" w:eastAsia="Times New Roman" w:hint="default"/>
        </w:rPr>
        <w:t>11.</w:t>
      </w:r>
      <w:r>
        <w:rPr/>
        <w:t>根据安徽省发展和改革委员会文件皖发改投资【</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316</w:t>
      </w:r>
      <w:r>
        <w:rPr/>
        <w:t>号《</w:t>
      </w:r>
      <w:r>
        <w:rPr>
          <w:rFonts w:ascii="Times New Roman" w:hAnsi="Times New Roman" w:cs="Times New Roman" w:eastAsia="Times New Roman" w:hint="default"/>
        </w:rPr>
        <w:t>2014</w:t>
      </w:r>
      <w:r>
        <w:rPr/>
        <w:t>年省高技术产业化专项省统筹投资 </w:t>
      </w:r>
      <w:r>
        <w:rPr>
          <w:spacing w:val="-1"/>
        </w:rPr>
        <w:t>计划》，公司于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23</w:t>
      </w:r>
      <w:r>
        <w:rPr>
          <w:spacing w:val="-1"/>
        </w:rPr>
        <w:t>日收到智能化电力供配电微机综合保护配置生产线项目专项后补助</w:t>
      </w:r>
      <w:r>
        <w:rPr>
          <w:rFonts w:ascii="Times New Roman" w:hAnsi="Times New Roman" w:cs="Times New Roman" w:eastAsia="Times New Roman" w:hint="default"/>
          <w:spacing w:val="-1"/>
        </w:rPr>
        <w:t>900,000.00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元，该项目已于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月投入使用，本期转入营业外收入</w:t>
      </w:r>
      <w:r>
        <w:rPr>
          <w:rFonts w:ascii="Times New Roman" w:hAnsi="Times New Roman" w:cs="Times New Roman" w:eastAsia="Times New Roman" w:hint="default"/>
        </w:rPr>
        <w:t>90,000.00</w:t>
      </w:r>
      <w:r>
        <w:rPr/>
        <w:t>元。 </w:t>
      </w:r>
      <w:r>
        <w:rPr>
          <w:rFonts w:ascii="Times New Roman" w:hAnsi="Times New Roman" w:cs="Times New Roman" w:eastAsia="Times New Roman" w:hint="default"/>
          <w:spacing w:val="-1"/>
        </w:rPr>
        <w:t>12.</w:t>
      </w:r>
      <w:r>
        <w:rPr>
          <w:spacing w:val="-1"/>
        </w:rPr>
        <w:t>根据安徽省财政厅经济和信息化委员会文件财企【</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2306</w:t>
      </w:r>
      <w:r>
        <w:rPr>
          <w:spacing w:val="-1"/>
        </w:rPr>
        <w:t>号</w:t>
      </w:r>
      <w:r>
        <w:rPr>
          <w:rFonts w:ascii="Times New Roman" w:hAnsi="Times New Roman" w:cs="Times New Roman" w:eastAsia="Times New Roman" w:hint="default"/>
          <w:spacing w:val="-1"/>
        </w:rPr>
        <w:t>,</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月收到政府</w:t>
      </w:r>
      <w:r>
        <w:rPr>
          <w:rFonts w:ascii="Times New Roman" w:hAnsi="Times New Roman" w:cs="Times New Roman" w:eastAsia="Times New Roman" w:hint="default"/>
          <w:spacing w:val="-1"/>
        </w:rPr>
        <w:t>2014</w:t>
      </w:r>
      <w:r>
        <w:rPr>
          <w:spacing w:val="-1"/>
        </w:rPr>
        <w:t>年省企</w:t>
      </w:r>
      <w:r>
        <w:rPr>
          <w:spacing w:val="-75"/>
        </w:rPr>
        <w:t> </w:t>
      </w:r>
      <w:r>
        <w:rPr/>
        <w:t>业发展专项资金第二批项目</w:t>
      </w:r>
      <w:r>
        <w:rPr>
          <w:rFonts w:ascii="Times New Roman" w:hAnsi="Times New Roman" w:cs="Times New Roman" w:eastAsia="Times New Roman" w:hint="default"/>
        </w:rPr>
        <w:t>700,000.00</w:t>
      </w:r>
      <w:r>
        <w:rPr/>
        <w:t>元，相关设备已于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月投入使用，本期转入营业外收入 </w:t>
      </w:r>
      <w:r>
        <w:rPr>
          <w:rFonts w:ascii="Times New Roman" w:hAnsi="Times New Roman" w:cs="Times New Roman" w:eastAsia="Times New Roman" w:hint="default"/>
        </w:rPr>
        <w:t>40,833.32</w:t>
      </w:r>
      <w:r>
        <w:rPr/>
        <w:t>元。</w:t>
      </w:r>
    </w:p>
    <w:p>
      <w:pPr>
        <w:pStyle w:val="BodyText"/>
        <w:spacing w:line="259" w:lineRule="auto" w:before="5"/>
        <w:ind w:right="1034"/>
        <w:jc w:val="left"/>
      </w:pPr>
      <w:r>
        <w:rPr>
          <w:rFonts w:ascii="Times New Roman" w:hAnsi="Times New Roman" w:cs="Times New Roman" w:eastAsia="Times New Roman" w:hint="default"/>
        </w:rPr>
        <w:t>13.</w:t>
      </w:r>
      <w:r>
        <w:rPr/>
        <w:t>根据公司与中国建筑设计院有限公司签订的户用光伏发电智能控制模块集成技术研发及示范合作协议 </w:t>
      </w:r>
      <w:r>
        <w:rPr>
          <w:spacing w:val="-1"/>
        </w:rPr>
        <w:t>书（</w:t>
      </w:r>
      <w:r>
        <w:rPr>
          <w:rFonts w:ascii="Times New Roman" w:hAnsi="Times New Roman" w:cs="Times New Roman" w:eastAsia="Times New Roman" w:hint="default"/>
          <w:spacing w:val="-1"/>
        </w:rPr>
        <w:t>863</w:t>
      </w:r>
      <w:r>
        <w:rPr>
          <w:spacing w:val="-1"/>
        </w:rPr>
        <w:t>计划），公司于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月收到补助</w:t>
      </w:r>
      <w:r>
        <w:rPr>
          <w:rFonts w:ascii="Times New Roman" w:hAnsi="Times New Roman" w:cs="Times New Roman" w:eastAsia="Times New Roman" w:hint="default"/>
          <w:spacing w:val="-1"/>
        </w:rPr>
        <w:t>426,400.00</w:t>
      </w:r>
      <w:r>
        <w:rPr>
          <w:spacing w:val="-1"/>
        </w:rPr>
        <w:t>元，待项目完工后按照资产的使用年限分期转入政</w:t>
      </w:r>
      <w:r>
        <w:rPr>
          <w:spacing w:val="-81"/>
        </w:rPr>
        <w:t> </w:t>
      </w:r>
      <w:r>
        <w:rPr>
          <w:spacing w:val="-81"/>
        </w:rPr>
      </w:r>
      <w:r>
        <w:rPr/>
        <w:t>府补助。 </w:t>
      </w:r>
      <w:r>
        <w:rPr>
          <w:rFonts w:ascii="Times New Roman" w:hAnsi="Times New Roman" w:cs="Times New Roman" w:eastAsia="Times New Roman" w:hint="default"/>
        </w:rPr>
        <w:t>14.</w:t>
      </w:r>
      <w:r>
        <w:rPr/>
        <w:t>根据芜政【</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75</w:t>
      </w:r>
      <w:r>
        <w:rPr/>
        <w:t>号文件第</w:t>
      </w:r>
      <w:r>
        <w:rPr>
          <w:rFonts w:ascii="Times New Roman" w:hAnsi="Times New Roman" w:cs="Times New Roman" w:eastAsia="Times New Roman" w:hint="default"/>
        </w:rPr>
        <w:t>11</w:t>
      </w:r>
      <w:r>
        <w:rPr/>
        <w:t>条，公司于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月收到鸠江区财政局科技奖补高新技术企业认定国 家重点新产品（智能化电力供配电微机综合保护装置生产线）</w:t>
      </w:r>
      <w:r>
        <w:rPr>
          <w:rFonts w:ascii="Times New Roman" w:hAnsi="Times New Roman" w:cs="Times New Roman" w:eastAsia="Times New Roman" w:hint="default"/>
        </w:rPr>
        <w:t>450,000.00</w:t>
      </w:r>
      <w:r>
        <w:rPr/>
        <w:t>元，待项目完工后按照资产的使 用年限分期转入政府补助。 </w:t>
      </w:r>
      <w:r>
        <w:rPr>
          <w:rFonts w:ascii="Times New Roman" w:hAnsi="Times New Roman" w:cs="Times New Roman" w:eastAsia="Times New Roman" w:hint="default"/>
          <w:spacing w:val="-2"/>
        </w:rPr>
        <w:t>15.</w:t>
      </w:r>
      <w:r>
        <w:rPr>
          <w:spacing w:val="-2"/>
        </w:rPr>
        <w:t>根据芜湖市人民政府办公室文件芜政办【</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15</w:t>
      </w:r>
      <w:r>
        <w:rPr>
          <w:spacing w:val="-2"/>
        </w:rPr>
        <w:t>号文件，公司于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月收到国家重点新产品研发</w:t>
      </w:r>
      <w:r>
        <w:rPr>
          <w:spacing w:val="-79"/>
        </w:rPr>
        <w:t> </w:t>
      </w:r>
      <w:r>
        <w:rPr>
          <w:spacing w:val="-79"/>
        </w:rPr>
      </w:r>
      <w:r>
        <w:rPr/>
        <w:t>后补助项目资金</w:t>
      </w:r>
      <w:r>
        <w:rPr>
          <w:rFonts w:ascii="Times New Roman" w:hAnsi="Times New Roman" w:cs="Times New Roman" w:eastAsia="Times New Roman" w:hint="default"/>
        </w:rPr>
        <w:t>1,100,000.00</w:t>
      </w:r>
      <w:r>
        <w:rPr/>
        <w:t>元，待项目完工后按照资产的使用年限分期转入政府补助。 </w:t>
      </w:r>
      <w:r>
        <w:rPr>
          <w:rFonts w:ascii="Times New Roman" w:hAnsi="Times New Roman" w:cs="Times New Roman" w:eastAsia="Times New Roman" w:hint="default"/>
          <w:spacing w:val="-2"/>
        </w:rPr>
        <w:t>16.</w:t>
      </w:r>
      <w:r>
        <w:rPr>
          <w:spacing w:val="-2"/>
        </w:rPr>
        <w:t>根据芜湖市人民政府办公室文件芜政办【</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15</w:t>
      </w:r>
      <w:r>
        <w:rPr>
          <w:spacing w:val="-2"/>
        </w:rPr>
        <w:t>号文件，公司于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月收到省创新型省份建设资</w:t>
      </w:r>
      <w:r>
        <w:rPr>
          <w:spacing w:val="-79"/>
        </w:rPr>
        <w:t> </w:t>
      </w:r>
      <w:r>
        <w:rPr>
          <w:spacing w:val="-79"/>
        </w:rPr>
      </w:r>
      <w:r>
        <w:rPr>
          <w:spacing w:val="-2"/>
        </w:rPr>
        <w:t>金</w:t>
      </w:r>
      <w:r>
        <w:rPr>
          <w:rFonts w:ascii="Times New Roman" w:hAnsi="Times New Roman" w:cs="Times New Roman" w:eastAsia="Times New Roman" w:hint="default"/>
          <w:spacing w:val="-2"/>
        </w:rPr>
        <w:t>1,086,500.00</w:t>
      </w:r>
      <w:r>
        <w:rPr>
          <w:spacing w:val="-2"/>
        </w:rPr>
        <w:t>元，根据安徽省科学技术厅文件科计【</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51</w:t>
      </w:r>
      <w:r>
        <w:rPr>
          <w:spacing w:val="-2"/>
        </w:rPr>
        <w:t>号文件，公司于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月收到国家重点新</w:t>
      </w:r>
      <w:r>
        <w:rPr>
          <w:spacing w:val="-71"/>
        </w:rPr>
        <w:t> </w:t>
      </w:r>
      <w:r>
        <w:rPr>
          <w:spacing w:val="-71"/>
        </w:rPr>
      </w:r>
      <w:r>
        <w:rPr/>
        <w:t>产品研发后补助资金</w:t>
      </w:r>
      <w:r>
        <w:rPr>
          <w:rFonts w:ascii="Times New Roman" w:hAnsi="Times New Roman" w:cs="Times New Roman" w:eastAsia="Times New Roman" w:hint="default"/>
        </w:rPr>
        <w:t>1,000,000.00</w:t>
      </w:r>
      <w:r>
        <w:rPr/>
        <w:t>元，公司于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月收到研发购置仪器设备补助</w:t>
      </w:r>
      <w:r>
        <w:rPr>
          <w:rFonts w:ascii="Times New Roman" w:hAnsi="Times New Roman" w:cs="Times New Roman" w:eastAsia="Times New Roman" w:hint="default"/>
        </w:rPr>
        <w:t>186,500.00</w:t>
      </w:r>
      <w:r>
        <w:rPr/>
        <w:t>元，共计 </w:t>
      </w:r>
      <w:r>
        <w:rPr>
          <w:rFonts w:ascii="Times New Roman" w:hAnsi="Times New Roman" w:cs="Times New Roman" w:eastAsia="Times New Roman" w:hint="default"/>
        </w:rPr>
        <w:t>2,273,000.00</w:t>
      </w:r>
      <w:r>
        <w:rPr/>
        <w:t>元，待项目完工后按照资产的使用年限分期转入政府补助。</w:t>
      </w:r>
    </w:p>
    <w:p>
      <w:pPr>
        <w:spacing w:line="240" w:lineRule="auto" w:before="3"/>
        <w:rPr>
          <w:rFonts w:ascii="宋体" w:hAnsi="宋体" w:cs="宋体" w:eastAsia="宋体" w:hint="default"/>
          <w:sz w:val="23"/>
          <w:szCs w:val="23"/>
        </w:rPr>
      </w:pPr>
    </w:p>
    <w:p>
      <w:pPr>
        <w:pStyle w:val="Heading6"/>
        <w:spacing w:line="240" w:lineRule="auto"/>
        <w:ind w:right="1034"/>
        <w:jc w:val="left"/>
        <w:rPr>
          <w:b w:val="0"/>
          <w:bCs w:val="0"/>
        </w:rPr>
      </w:pPr>
      <w:bookmarkStart w:name="33、股本" w:id="289"/>
      <w:bookmarkEnd w:id="289"/>
      <w:r>
        <w:rPr>
          <w:b w:val="0"/>
          <w:bCs w:val="0"/>
        </w:rPr>
      </w:r>
      <w:r>
        <w:rPr>
          <w:rFonts w:ascii="Times New Roman" w:hAnsi="Times New Roman" w:cs="Times New Roman" w:eastAsia="Times New Roman" w:hint="default"/>
        </w:rPr>
        <w:t>33</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413,848,300.00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219,070,460.00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219,070,460.00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632,918,760.00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40" w:lineRule="auto" w:before="0"/>
        <w:ind w:left="574" w:right="1034"/>
        <w:jc w:val="left"/>
      </w:pPr>
      <w:r>
        <w:rPr/>
        <w:t>股本变动情况说明：</w:t>
      </w:r>
    </w:p>
    <w:p>
      <w:pPr>
        <w:pStyle w:val="BodyText"/>
        <w:spacing w:line="240" w:lineRule="auto" w:before="37"/>
        <w:ind w:left="574" w:right="1034"/>
        <w:jc w:val="left"/>
      </w:pPr>
      <w:r>
        <w:rPr>
          <w:rFonts w:ascii="Times New Roman" w:hAnsi="Times New Roman" w:cs="Times New Roman" w:eastAsia="Times New Roman" w:hint="default"/>
        </w:rPr>
        <w:t>1</w:t>
      </w:r>
      <w:r>
        <w:rPr/>
        <w:t>、根据公司</w:t>
      </w:r>
      <w:r>
        <w:rPr>
          <w:spacing w:val="-25"/>
        </w:rPr>
        <w:t> </w:t>
      </w:r>
      <w:r>
        <w:rPr>
          <w:rFonts w:ascii="Times New Roman" w:hAnsi="Times New Roman" w:cs="Times New Roman" w:eastAsia="Times New Roman" w:hint="default"/>
        </w:rPr>
        <w:t>2011</w:t>
      </w:r>
      <w:r>
        <w:rPr/>
        <w:t>年第一次临时股东大会审议通过的《安徽鑫龙电器股份有限公司股票期权激励计划</w:t>
      </w:r>
    </w:p>
    <w:p>
      <w:pPr>
        <w:pStyle w:val="BodyText"/>
        <w:spacing w:line="264" w:lineRule="auto" w:before="21"/>
        <w:ind w:right="1034"/>
        <w:jc w:val="left"/>
      </w:pPr>
      <w:r>
        <w:rPr>
          <w:spacing w:val="-1"/>
        </w:rPr>
        <w:t>（修订稿）》的相关规定，公司首期股票期权激励计划首次授予第二个行权期及预留期权第一个行权期的</w:t>
      </w:r>
      <w:r>
        <w:rPr>
          <w:spacing w:val="-83"/>
        </w:rPr>
        <w:t> </w:t>
      </w:r>
      <w:r>
        <w:rPr>
          <w:spacing w:val="-83"/>
        </w:rPr>
      </w:r>
      <w:r>
        <w:rPr>
          <w:spacing w:val="-1"/>
        </w:rPr>
        <w:t>行权条件已经满足，经公司第六届董事会第五次会议审议通过的《关于股票期权激励计划首次授予第二个</w:t>
      </w:r>
      <w:r>
        <w:rPr>
          <w:spacing w:val="-81"/>
        </w:rPr>
        <w:t> </w:t>
      </w:r>
      <w:r>
        <w:rPr>
          <w:spacing w:val="-81"/>
        </w:rPr>
      </w:r>
      <w:r>
        <w:rPr/>
        <w:t>行权期及预留期权第一个行权期可行权的议案》，公司</w:t>
      </w:r>
      <w:r>
        <w:rPr>
          <w:spacing w:val="-24"/>
        </w:rPr>
        <w:t> </w:t>
      </w:r>
      <w:r>
        <w:rPr>
          <w:rFonts w:ascii="Times New Roman" w:hAnsi="Times New Roman" w:cs="Times New Roman" w:eastAsia="Times New Roman" w:hint="default"/>
        </w:rPr>
        <w:t>147</w:t>
      </w:r>
      <w:r>
        <w:rPr/>
        <w:t>名股权激励对象共计可行权</w:t>
      </w:r>
      <w:r>
        <w:rPr>
          <w:rFonts w:ascii="Times New Roman" w:hAnsi="Times New Roman" w:cs="Times New Roman" w:eastAsia="Times New Roman" w:hint="default"/>
        </w:rPr>
        <w:t>818.20</w:t>
      </w:r>
      <w:r>
        <w:rPr/>
        <w:t>万份股票期 权。公司实际有</w:t>
      </w:r>
      <w:r>
        <w:rPr>
          <w:spacing w:val="-22"/>
        </w:rPr>
        <w:t> </w:t>
      </w:r>
      <w:r>
        <w:rPr>
          <w:rFonts w:ascii="Times New Roman" w:hAnsi="Times New Roman" w:cs="Times New Roman" w:eastAsia="Times New Roman" w:hint="default"/>
        </w:rPr>
        <w:t>137</w:t>
      </w:r>
      <w:r>
        <w:rPr/>
        <w:t>名股权激励对象共计行权</w:t>
      </w:r>
      <w:r>
        <w:rPr>
          <w:rFonts w:ascii="Times New Roman" w:hAnsi="Times New Roman" w:cs="Times New Roman" w:eastAsia="Times New Roman" w:hint="default"/>
        </w:rPr>
        <w:t>753.20</w:t>
      </w:r>
      <w:r>
        <w:rPr/>
        <w:t>万份股票期权，行权后的注册资本变更为人民币 </w:t>
      </w:r>
      <w:r>
        <w:rPr>
          <w:rFonts w:ascii="Times New Roman" w:hAnsi="Times New Roman" w:cs="Times New Roman" w:eastAsia="Times New Roman" w:hint="default"/>
        </w:rPr>
        <w:t>42,138.03</w:t>
      </w:r>
      <w:r>
        <w:rPr/>
        <w:t>万元。</w:t>
      </w:r>
      <w:r>
        <w:rPr>
          <w:rFonts w:ascii="Times New Roman" w:hAnsi="Times New Roman" w:cs="Times New Roman" w:eastAsia="Times New Roman" w:hint="default"/>
        </w:rPr>
        <w:t>137</w:t>
      </w:r>
      <w:r>
        <w:rPr>
          <w:rFonts w:ascii="Times New Roman" w:hAnsi="Times New Roman" w:cs="Times New Roman" w:eastAsia="Times New Roman" w:hint="default"/>
          <w:spacing w:val="28"/>
        </w:rPr>
        <w:t> </w:t>
      </w:r>
      <w:r>
        <w:rPr/>
        <w:t>名股权激励对象共计缴纳股款人民币</w:t>
      </w:r>
      <w:r>
        <w:rPr>
          <w:rFonts w:ascii="Times New Roman" w:hAnsi="Times New Roman" w:cs="Times New Roman" w:eastAsia="Times New Roman" w:hint="default"/>
        </w:rPr>
        <w:t>57,918,760.00</w:t>
      </w:r>
      <w:r>
        <w:rPr/>
        <w:t>元，计入公司</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w:t>
      </w:r>
    </w:p>
    <w:p>
      <w:pPr>
        <w:pStyle w:val="BodyText"/>
        <w:spacing w:line="256" w:lineRule="auto" w:before="0"/>
        <w:ind w:right="1034"/>
        <w:jc w:val="left"/>
      </w:pPr>
      <w:r>
        <w:rPr>
          <w:rFonts w:ascii="Times New Roman" w:hAnsi="Times New Roman" w:cs="Times New Roman" w:eastAsia="Times New Roman" w:hint="default"/>
          <w:spacing w:val="-2"/>
        </w:rPr>
        <w:t>7,532,000.00</w:t>
      </w:r>
      <w:r>
        <w:rPr>
          <w:spacing w:val="-2"/>
        </w:rPr>
        <w:t>元，计入</w:t>
      </w:r>
      <w:r>
        <w:rPr>
          <w:rFonts w:ascii="Times New Roman" w:hAnsi="Times New Roman" w:cs="Times New Roman" w:eastAsia="Times New Roman" w:hint="default"/>
          <w:spacing w:val="-2"/>
        </w:rPr>
        <w:t>“</w:t>
      </w:r>
      <w:r>
        <w:rPr>
          <w:spacing w:val="-2"/>
        </w:rPr>
        <w:t>资本公积</w:t>
      </w:r>
      <w:r>
        <w:rPr>
          <w:rFonts w:ascii="Times New Roman" w:hAnsi="Times New Roman" w:cs="Times New Roman" w:eastAsia="Times New Roman" w:hint="default"/>
          <w:spacing w:val="-2"/>
        </w:rPr>
        <w:t>”</w:t>
      </w:r>
      <w:r>
        <w:rPr>
          <w:spacing w:val="-2"/>
        </w:rPr>
        <w:t>人民币</w:t>
      </w:r>
      <w:r>
        <w:rPr>
          <w:rFonts w:ascii="Times New Roman" w:hAnsi="Times New Roman" w:cs="Times New Roman" w:eastAsia="Times New Roman" w:hint="default"/>
          <w:spacing w:val="-2"/>
        </w:rPr>
        <w:t>50,386,760.00</w:t>
      </w:r>
      <w:r>
        <w:rPr>
          <w:spacing w:val="-2"/>
        </w:rPr>
        <w:t>元。此次注册资本变更业经大华会计师事务所</w:t>
      </w:r>
      <w:r>
        <w:rPr>
          <w:rFonts w:ascii="Times New Roman" w:hAnsi="Times New Roman" w:cs="Times New Roman" w:eastAsia="Times New Roman" w:hint="default"/>
          <w:spacing w:val="-2"/>
        </w:rPr>
        <w:t>(</w:t>
      </w:r>
      <w:r>
        <w:rPr>
          <w:spacing w:val="-2"/>
        </w:rPr>
        <w:t>特殊普</w:t>
      </w:r>
      <w:r>
        <w:rPr>
          <w:spacing w:val="-54"/>
        </w:rPr>
        <w:t> </w:t>
      </w:r>
      <w:r>
        <w:rPr/>
        <w:t>通合伙</w:t>
      </w:r>
      <w:r>
        <w:rPr>
          <w:rFonts w:ascii="Times New Roman" w:hAnsi="Times New Roman" w:cs="Times New Roman" w:eastAsia="Times New Roman" w:hint="default"/>
        </w:rPr>
        <w:t>)</w:t>
      </w:r>
      <w:r>
        <w:rPr/>
        <w:t>大华验字</w:t>
      </w:r>
      <w:r>
        <w:rPr>
          <w:rFonts w:ascii="Times New Roman" w:hAnsi="Times New Roman" w:cs="Times New Roman" w:eastAsia="Times New Roman" w:hint="default"/>
        </w:rPr>
        <w:t>[2015]000287</w:t>
      </w:r>
      <w:r>
        <w:rPr/>
        <w:t>号验资报告验证。</w:t>
      </w:r>
    </w:p>
    <w:p>
      <w:pPr>
        <w:pStyle w:val="BodyText"/>
        <w:spacing w:line="261" w:lineRule="auto" w:before="5"/>
        <w:ind w:right="1024" w:firstLine="42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、根据鑫龙电器</w:t>
      </w:r>
      <w:r>
        <w:rPr>
          <w:rFonts w:ascii="Times New Roman" w:hAnsi="Times New Roman" w:cs="Times New Roman" w:eastAsia="Times New Roman" w:hint="default"/>
        </w:rPr>
        <w:t>2015</w:t>
      </w:r>
      <w:r>
        <w:rPr/>
        <w:t>年第一次临时股东大会决议，并经中国证券监督管理委员会证监许可</w:t>
      </w:r>
      <w:r>
        <w:rPr>
          <w:rFonts w:ascii="Times New Roman" w:hAnsi="Times New Roman" w:cs="Times New Roman" w:eastAsia="Times New Roman" w:hint="default"/>
        </w:rPr>
        <w:t>[2015]1726 </w:t>
      </w:r>
      <w:r>
        <w:rPr>
          <w:spacing w:val="-3"/>
        </w:rPr>
        <w:t>号文《关于核准安徽鑫龙电器股份有限公司向瞿洪桂等发行股份购买资产并募集配套资金的批复》的核准，</w:t>
      </w:r>
      <w:r>
        <w:rPr>
          <w:spacing w:val="-92"/>
        </w:rPr>
        <w:t> </w:t>
      </w:r>
      <w:r>
        <w:rPr>
          <w:spacing w:val="-92"/>
        </w:rPr>
      </w:r>
      <w:r>
        <w:rPr/>
        <w:t>鑫龙电器采用非公开发行</w:t>
      </w:r>
      <w:r>
        <w:rPr>
          <w:rFonts w:ascii="Times New Roman" w:hAnsi="Times New Roman" w:cs="Times New Roman" w:eastAsia="Times New Roman" w:hint="default"/>
        </w:rPr>
        <w:t>57,029,177</w:t>
      </w:r>
      <w:r>
        <w:rPr/>
        <w:t>股新股募集本次发行股份购买资产的配套资金，每股面值</w:t>
      </w:r>
      <w:r>
        <w:rPr>
          <w:rFonts w:ascii="Times New Roman" w:hAnsi="Times New Roman" w:cs="Times New Roman" w:eastAsia="Times New Roman" w:hint="default"/>
        </w:rPr>
        <w:t>1</w:t>
      </w:r>
      <w:r>
        <w:rPr/>
        <w:t>元，每股发 行价格为</w:t>
      </w:r>
      <w:r>
        <w:rPr>
          <w:rFonts w:ascii="Times New Roman" w:hAnsi="Times New Roman" w:cs="Times New Roman" w:eastAsia="Times New Roman" w:hint="default"/>
        </w:rPr>
        <w:t>7.54</w:t>
      </w:r>
      <w:r>
        <w:rPr/>
        <w:t>元，申请增加注册资本人民币</w:t>
      </w:r>
      <w:r>
        <w:rPr>
          <w:rFonts w:ascii="Times New Roman" w:hAnsi="Times New Roman" w:cs="Times New Roman" w:eastAsia="Times New Roman" w:hint="default"/>
        </w:rPr>
        <w:t>57,029,177.00</w:t>
      </w:r>
      <w:r>
        <w:rPr/>
        <w:t>元，变更后的注册资本为</w:t>
      </w:r>
      <w:r>
        <w:rPr>
          <w:rFonts w:ascii="Times New Roman" w:hAnsi="Times New Roman" w:cs="Times New Roman" w:eastAsia="Times New Roman" w:hint="default"/>
        </w:rPr>
        <w:t>478,409,477.00</w:t>
      </w:r>
      <w:r>
        <w:rPr/>
        <w:t>元。本次 发行股票，共募集股款人民币</w:t>
      </w:r>
      <w:r>
        <w:rPr>
          <w:rFonts w:ascii="Times New Roman" w:hAnsi="Times New Roman" w:cs="Times New Roman" w:eastAsia="Times New Roman" w:hint="default"/>
        </w:rPr>
        <w:t>4.30</w:t>
      </w:r>
      <w:r>
        <w:rPr/>
        <w:t>亿元，扣除与发行有关的费用人民币</w:t>
      </w:r>
      <w:r>
        <w:rPr>
          <w:rFonts w:ascii="Times New Roman" w:hAnsi="Times New Roman" w:cs="Times New Roman" w:eastAsia="Times New Roman" w:hint="default"/>
        </w:rPr>
        <w:t>14,834,179.98</w:t>
      </w:r>
      <w:r>
        <w:rPr/>
        <w:t>元，实际可使用募集 资金人民币</w:t>
      </w:r>
      <w:r>
        <w:rPr>
          <w:rFonts w:ascii="Times New Roman" w:hAnsi="Times New Roman" w:cs="Times New Roman" w:eastAsia="Times New Roman" w:hint="default"/>
        </w:rPr>
        <w:t>415,165,820.02</w:t>
      </w:r>
      <w:r>
        <w:rPr/>
        <w:t>元。其中，计入公司</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57,029,177.00</w:t>
      </w:r>
      <w:r>
        <w:rPr/>
        <w:t>元，计入</w:t>
      </w:r>
      <w:r>
        <w:rPr>
          <w:rFonts w:ascii="Times New Roman" w:hAnsi="Times New Roman" w:cs="Times New Roman" w:eastAsia="Times New Roman" w:hint="default"/>
        </w:rPr>
        <w:t>“</w:t>
      </w:r>
      <w:r>
        <w:rPr/>
        <w:t>资本公积－股本溢价</w:t>
      </w:r>
      <w:r>
        <w:rPr>
          <w:rFonts w:ascii="Times New Roman" w:hAnsi="Times New Roman" w:cs="Times New Roman" w:eastAsia="Times New Roman" w:hint="default"/>
        </w:rPr>
        <w:t>”</w:t>
      </w:r>
    </w:p>
    <w:p>
      <w:pPr>
        <w:spacing w:after="0" w:line="261"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BodyText"/>
        <w:spacing w:line="256" w:lineRule="auto" w:before="35"/>
        <w:ind w:right="1181"/>
        <w:jc w:val="left"/>
      </w:pPr>
      <w:r>
        <w:rPr/>
        <w:t>人民币</w:t>
      </w:r>
      <w:r>
        <w:rPr>
          <w:rFonts w:ascii="Times New Roman" w:hAnsi="Times New Roman" w:cs="Times New Roman" w:eastAsia="Times New Roman" w:hint="default"/>
        </w:rPr>
        <w:t>358,136,643.02</w:t>
      </w:r>
      <w:r>
        <w:rPr/>
        <w:t>元。此次注册资本变更业经大华会计师事务所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大华验字</w:t>
      </w:r>
      <w:r>
        <w:rPr>
          <w:rFonts w:ascii="Times New Roman" w:hAnsi="Times New Roman" w:cs="Times New Roman" w:eastAsia="Times New Roman" w:hint="default"/>
        </w:rPr>
        <w:t>[2015]000771 </w:t>
      </w:r>
      <w:r>
        <w:rPr/>
        <w:t>号验资报告验证。</w:t>
      </w:r>
    </w:p>
    <w:p>
      <w:pPr>
        <w:pStyle w:val="BodyText"/>
        <w:spacing w:line="256" w:lineRule="auto" w:before="22"/>
        <w:ind w:right="1116" w:firstLine="672"/>
        <w:jc w:val="left"/>
      </w:pPr>
      <w:r>
        <w:rPr>
          <w:rFonts w:ascii="Times New Roman" w:hAnsi="Times New Roman" w:cs="Times New Roman" w:eastAsia="Times New Roman" w:hint="default"/>
        </w:rPr>
        <w:t>3</w:t>
      </w:r>
      <w:r>
        <w:rPr/>
        <w:t>、根据鑫龙电器公司</w:t>
      </w:r>
      <w:r>
        <w:rPr>
          <w:rFonts w:ascii="Times New Roman" w:hAnsi="Times New Roman" w:cs="Times New Roman" w:eastAsia="Times New Roman" w:hint="default"/>
        </w:rPr>
        <w:t>2015</w:t>
      </w:r>
      <w:r>
        <w:rPr/>
        <w:t>年第一次临时股东大会决议，并经中国证券监督管理委员会证监许可 </w:t>
      </w:r>
      <w:r>
        <w:rPr>
          <w:rFonts w:ascii="Times New Roman" w:hAnsi="Times New Roman" w:cs="Times New Roman" w:eastAsia="Times New Roman" w:hint="default"/>
        </w:rPr>
        <w:t>[2015]1726</w:t>
      </w:r>
      <w:r>
        <w:rPr>
          <w:rFonts w:ascii="Times New Roman" w:hAnsi="Times New Roman" w:cs="Times New Roman" w:eastAsia="Times New Roman" w:hint="default"/>
          <w:spacing w:val="-5"/>
        </w:rPr>
        <w:t> </w:t>
      </w:r>
      <w:r>
        <w:rPr/>
        <w:t>号文《关于核准安徽鑫龙电器股份有限公司向瞿洪桂等发行股份购买资产并募集配套资金的批</w:t>
      </w:r>
    </w:p>
    <w:p>
      <w:pPr>
        <w:pStyle w:val="BodyText"/>
        <w:spacing w:line="240" w:lineRule="auto" w:before="5"/>
        <w:ind w:right="1034"/>
        <w:jc w:val="left"/>
      </w:pPr>
      <w:r>
        <w:rPr/>
        <w:t>复》的核准，鑫龙电器采取非公开发行股票方式分别向瞿洪桂发行 </w:t>
      </w:r>
      <w:r>
        <w:rPr>
          <w:rFonts w:ascii="Times New Roman" w:hAnsi="Times New Roman" w:cs="Times New Roman" w:eastAsia="Times New Roman" w:hint="default"/>
        </w:rPr>
        <w:t>127,394,324</w:t>
      </w:r>
      <w:r>
        <w:rPr>
          <w:rFonts w:ascii="Times New Roman" w:hAnsi="Times New Roman" w:cs="Times New Roman" w:eastAsia="Times New Roman" w:hint="default"/>
          <w:spacing w:val="8"/>
        </w:rPr>
        <w:t> </w:t>
      </w:r>
      <w:r>
        <w:rPr/>
        <w:t>股股份、向青岛金石泓信</w:t>
      </w:r>
    </w:p>
    <w:p>
      <w:pPr>
        <w:pStyle w:val="BodyText"/>
        <w:spacing w:line="256" w:lineRule="auto" w:before="21"/>
        <w:ind w:right="1117"/>
        <w:jc w:val="left"/>
      </w:pPr>
      <w:r>
        <w:rPr>
          <w:spacing w:val="-6"/>
        </w:rPr>
        <w:t>投资中心（有限合伙）发行 </w:t>
      </w:r>
      <w:r>
        <w:rPr>
          <w:rFonts w:ascii="Times New Roman" w:hAnsi="Times New Roman" w:cs="Times New Roman" w:eastAsia="Times New Roman" w:hint="default"/>
        </w:rPr>
        <w:t>20,319,665 </w:t>
      </w:r>
      <w:r>
        <w:rPr/>
        <w:t>股股份、向张桂芹发行</w:t>
      </w:r>
      <w:r>
        <w:rPr>
          <w:rFonts w:ascii="Times New Roman" w:hAnsi="Times New Roman" w:cs="Times New Roman" w:eastAsia="Times New Roman" w:hint="default"/>
        </w:rPr>
        <w:t>2,147,957 </w:t>
      </w:r>
      <w:r>
        <w:rPr>
          <w:spacing w:val="-4"/>
        </w:rPr>
        <w:t>股股份、向孟涛发行 </w:t>
      </w:r>
      <w:r>
        <w:rPr>
          <w:rFonts w:ascii="Times New Roman" w:hAnsi="Times New Roman" w:cs="Times New Roman" w:eastAsia="Times New Roman" w:hint="default"/>
        </w:rPr>
        <w:t>1,696,111</w:t>
      </w:r>
      <w:r>
        <w:rPr>
          <w:rFonts w:ascii="Times New Roman" w:hAnsi="Times New Roman" w:cs="Times New Roman" w:eastAsia="Times New Roman" w:hint="default"/>
          <w:spacing w:val="-16"/>
        </w:rPr>
        <w:t> </w:t>
      </w:r>
      <w:r>
        <w:rPr/>
        <w:t>股 股份、向郭晨发行</w:t>
      </w:r>
      <w:r>
        <w:rPr>
          <w:rFonts w:ascii="Times New Roman" w:hAnsi="Times New Roman" w:cs="Times New Roman" w:eastAsia="Times New Roman" w:hint="default"/>
        </w:rPr>
        <w:t>1,187,272 </w:t>
      </w:r>
      <w:r>
        <w:rPr/>
        <w:t>股股份、向吴小岭发行 </w:t>
      </w:r>
      <w:r>
        <w:rPr>
          <w:rFonts w:ascii="Times New Roman" w:hAnsi="Times New Roman" w:cs="Times New Roman" w:eastAsia="Times New Roman" w:hint="default"/>
        </w:rPr>
        <w:t>746,290 </w:t>
      </w:r>
      <w:r>
        <w:rPr/>
        <w:t>股股份、向周超发行</w:t>
      </w:r>
      <w:r>
        <w:rPr>
          <w:rFonts w:ascii="Times New Roman" w:hAnsi="Times New Roman" w:cs="Times New Roman" w:eastAsia="Times New Roman" w:hint="default"/>
        </w:rPr>
        <w:t>678,447</w:t>
      </w:r>
      <w:r>
        <w:rPr>
          <w:rFonts w:ascii="Times New Roman" w:hAnsi="Times New Roman" w:cs="Times New Roman" w:eastAsia="Times New Roman" w:hint="default"/>
          <w:spacing w:val="28"/>
        </w:rPr>
        <w:t> </w:t>
      </w:r>
      <w:r>
        <w:rPr/>
        <w:t>股股份、向何利 发行 </w:t>
      </w:r>
      <w:r>
        <w:rPr>
          <w:rFonts w:ascii="Times New Roman" w:hAnsi="Times New Roman" w:cs="Times New Roman" w:eastAsia="Times New Roman" w:hint="default"/>
        </w:rPr>
        <w:t>339,217</w:t>
      </w:r>
      <w:r>
        <w:rPr>
          <w:rFonts w:ascii="Times New Roman" w:hAnsi="Times New Roman" w:cs="Times New Roman" w:eastAsia="Times New Roman" w:hint="default"/>
          <w:spacing w:val="9"/>
        </w:rPr>
        <w:t> </w:t>
      </w:r>
      <w:r>
        <w:rPr/>
        <w:t>股股份及支付人民币</w:t>
      </w:r>
      <w:r>
        <w:rPr>
          <w:rFonts w:ascii="Times New Roman" w:hAnsi="Times New Roman" w:cs="Times New Roman" w:eastAsia="Times New Roman" w:hint="default"/>
        </w:rPr>
        <w:t>5.6</w:t>
      </w:r>
      <w:r>
        <w:rPr/>
        <w:t>亿元现金购买北京中电兴发科技有限公司</w:t>
      </w:r>
      <w:r>
        <w:rPr>
          <w:rFonts w:ascii="Times New Roman" w:hAnsi="Times New Roman" w:cs="Times New Roman" w:eastAsia="Times New Roman" w:hint="default"/>
        </w:rPr>
        <w:t>100%</w:t>
      </w:r>
      <w:r>
        <w:rPr/>
        <w:t>股权。公司申请增加 注册资本人民币</w:t>
      </w:r>
      <w:r>
        <w:rPr>
          <w:rFonts w:ascii="Times New Roman" w:hAnsi="Times New Roman" w:cs="Times New Roman" w:eastAsia="Times New Roman" w:hint="default"/>
        </w:rPr>
        <w:t>154,509,283.00</w:t>
      </w:r>
      <w:r>
        <w:rPr/>
        <w:t>元，变更后的注册资本为</w:t>
      </w:r>
      <w:r>
        <w:rPr>
          <w:rFonts w:ascii="Times New Roman" w:hAnsi="Times New Roman" w:cs="Times New Roman" w:eastAsia="Times New Roman" w:hint="default"/>
        </w:rPr>
        <w:t>632,918,760.00</w:t>
      </w:r>
      <w:r>
        <w:rPr/>
        <w:t>元。瞿洪桂等北京中电兴发科技有 </w:t>
      </w:r>
      <w:r>
        <w:rPr>
          <w:spacing w:val="-1"/>
        </w:rPr>
        <w:t>限公司原股东实际缴纳新增出资额人民币</w:t>
      </w:r>
      <w:r>
        <w:rPr>
          <w:rFonts w:ascii="Times New Roman" w:hAnsi="Times New Roman" w:cs="Times New Roman" w:eastAsia="Times New Roman" w:hint="default"/>
          <w:spacing w:val="-1"/>
        </w:rPr>
        <w:t>1,164,999,993.82</w:t>
      </w:r>
      <w:r>
        <w:rPr>
          <w:spacing w:val="-1"/>
        </w:rPr>
        <w:t>元。于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7</w:t>
      </w:r>
      <w:r>
        <w:rPr>
          <w:spacing w:val="-1"/>
        </w:rPr>
        <w:t>日投入北京中电兴发科技有限</w:t>
      </w:r>
      <w:r>
        <w:rPr>
          <w:spacing w:val="-76"/>
        </w:rPr>
        <w:t> </w:t>
      </w:r>
      <w:r>
        <w:rPr>
          <w:spacing w:val="-76"/>
        </w:rPr>
      </w:r>
      <w:r>
        <w:rPr/>
        <w:t>公司</w:t>
      </w:r>
      <w:r>
        <w:rPr>
          <w:rFonts w:ascii="Times New Roman" w:hAnsi="Times New Roman" w:cs="Times New Roman" w:eastAsia="Times New Roman" w:hint="default"/>
        </w:rPr>
        <w:t>100%</w:t>
      </w:r>
      <w:r>
        <w:rPr/>
        <w:t>股权，股权价值为</w:t>
      </w:r>
      <w:r>
        <w:rPr>
          <w:rFonts w:ascii="Times New Roman" w:hAnsi="Times New Roman" w:cs="Times New Roman" w:eastAsia="Times New Roman" w:hint="default"/>
        </w:rPr>
        <w:t>1,724,999,993.82</w:t>
      </w:r>
      <w:r>
        <w:rPr/>
        <w:t>元，其中：计入</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”154,509,283.00</w:t>
      </w:r>
      <w:r>
        <w:rPr/>
        <w:t>元，计入</w:t>
      </w:r>
      <w:r>
        <w:rPr>
          <w:rFonts w:ascii="Times New Roman" w:hAnsi="Times New Roman" w:cs="Times New Roman" w:eastAsia="Times New Roman" w:hint="default"/>
        </w:rPr>
        <w:t>“</w:t>
      </w:r>
      <w:r>
        <w:rPr/>
        <w:t>资本公 积</w:t>
      </w:r>
      <w:r>
        <w:rPr>
          <w:rFonts w:ascii="Times New Roman" w:hAnsi="Times New Roman" w:cs="Times New Roman" w:eastAsia="Times New Roman" w:hint="default"/>
        </w:rPr>
        <w:t>”1,010,490,710.82</w:t>
      </w:r>
      <w:r>
        <w:rPr/>
        <w:t>元，其余</w:t>
      </w:r>
      <w:r>
        <w:rPr>
          <w:rFonts w:ascii="Times New Roman" w:hAnsi="Times New Roman" w:cs="Times New Roman" w:eastAsia="Times New Roman" w:hint="default"/>
        </w:rPr>
        <w:t>56,000.00</w:t>
      </w:r>
      <w:r>
        <w:rPr/>
        <w:t>万元以现金支付。此次注册资本变更业经大华会计师事务所</w:t>
      </w:r>
      <w:r>
        <w:rPr>
          <w:rFonts w:ascii="Times New Roman" w:hAnsi="Times New Roman" w:cs="Times New Roman" w:eastAsia="Times New Roman" w:hint="default"/>
        </w:rPr>
        <w:t>(</w:t>
      </w:r>
      <w:r>
        <w:rPr/>
        <w:t>特殊普 通合伙</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大华验字</w:t>
      </w:r>
      <w:r>
        <w:rPr>
          <w:rFonts w:ascii="Times New Roman" w:hAnsi="Times New Roman" w:cs="Times New Roman" w:eastAsia="Times New Roman" w:hint="default"/>
        </w:rPr>
        <w:t>[2015]000772</w:t>
      </w:r>
      <w:r>
        <w:rPr/>
        <w:t>号验资报告验证。</w:t>
      </w:r>
    </w:p>
    <w:p>
      <w:pPr>
        <w:spacing w:line="240" w:lineRule="auto" w:before="5"/>
        <w:rPr>
          <w:rFonts w:ascii="宋体" w:hAnsi="宋体" w:cs="宋体" w:eastAsia="宋体" w:hint="default"/>
          <w:sz w:val="23"/>
          <w:szCs w:val="23"/>
        </w:rPr>
      </w:pPr>
    </w:p>
    <w:p>
      <w:pPr>
        <w:pStyle w:val="Heading6"/>
        <w:spacing w:line="240" w:lineRule="auto"/>
        <w:ind w:right="1034"/>
        <w:jc w:val="left"/>
        <w:rPr>
          <w:b w:val="0"/>
          <w:bCs w:val="0"/>
        </w:rPr>
      </w:pPr>
      <w:bookmarkStart w:name="34、资本公积" w:id="290"/>
      <w:bookmarkEnd w:id="290"/>
      <w:r>
        <w:rPr>
          <w:b w:val="0"/>
          <w:bCs w:val="0"/>
        </w:rPr>
      </w:r>
      <w:r>
        <w:rPr>
          <w:rFonts w:ascii="Times New Roman" w:hAnsi="Times New Roman" w:cs="Times New Roman" w:eastAsia="Times New Roman" w:hint="default"/>
        </w:rPr>
        <w:t>34</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493,511,608.59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1,429,871,137.19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1,923,382,745.78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23,540,201.48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4,645,551.80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18,894,649.68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517,051,810.07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1,429,871,137.19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4,645,551.80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1,942,277,395.46</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89"/>
        <w:ind w:left="574" w:right="1034"/>
        <w:jc w:val="left"/>
      </w:pPr>
      <w:r>
        <w:rPr>
          <w:rFonts w:ascii="Times New Roman" w:hAnsi="Times New Roman" w:cs="Times New Roman" w:eastAsia="Times New Roman" w:hint="default"/>
          <w:color w:val="0000CC"/>
        </w:rPr>
        <w:t>1</w:t>
      </w:r>
      <w:r>
        <w:rPr>
          <w:color w:val="0000CC"/>
        </w:rPr>
        <w:t>、</w:t>
      </w:r>
      <w:r>
        <w:rPr/>
        <w:t>本期资本公积</w:t>
      </w:r>
      <w:r>
        <w:rPr>
          <w:rFonts w:ascii="Times New Roman" w:hAnsi="Times New Roman" w:cs="Times New Roman" w:eastAsia="Times New Roman" w:hint="default"/>
        </w:rPr>
        <w:t>-</w:t>
      </w:r>
      <w:r>
        <w:rPr/>
        <w:t>股本溢价增加</w:t>
      </w:r>
      <w:r>
        <w:rPr>
          <w:rFonts w:ascii="Times New Roman" w:hAnsi="Times New Roman" w:cs="Times New Roman" w:eastAsia="Times New Roman" w:hint="default"/>
        </w:rPr>
        <w:t>1,419,014,113.84</w:t>
      </w:r>
      <w:r>
        <w:rPr/>
        <w:t>元系新增股东投资溢价，详见注释</w:t>
      </w:r>
      <w:r>
        <w:rPr>
          <w:rFonts w:ascii="Times New Roman" w:hAnsi="Times New Roman" w:cs="Times New Roman" w:eastAsia="Times New Roman" w:hint="default"/>
        </w:rPr>
        <w:t>33.</w:t>
      </w:r>
      <w:r>
        <w:rPr/>
        <w:t>股本；</w:t>
      </w:r>
    </w:p>
    <w:p>
      <w:pPr>
        <w:pStyle w:val="BodyText"/>
        <w:spacing w:line="256" w:lineRule="auto" w:before="21"/>
        <w:ind w:left="154" w:right="1126" w:firstLine="420"/>
        <w:jc w:val="left"/>
      </w:pPr>
      <w:r>
        <w:rPr>
          <w:rFonts w:ascii="Times New Roman" w:hAnsi="Times New Roman" w:cs="Times New Roman" w:eastAsia="Times New Roman" w:hint="default"/>
          <w:color w:val="0000CC"/>
          <w:spacing w:val="-1"/>
        </w:rPr>
        <w:t>2</w:t>
      </w:r>
      <w:r>
        <w:rPr>
          <w:color w:val="0000CC"/>
          <w:spacing w:val="-1"/>
        </w:rPr>
        <w:t>、</w:t>
      </w:r>
      <w:r>
        <w:rPr>
          <w:spacing w:val="-1"/>
        </w:rPr>
        <w:t>本期资本公积</w:t>
      </w:r>
      <w:r>
        <w:rPr>
          <w:rFonts w:ascii="Times New Roman" w:hAnsi="Times New Roman" w:cs="Times New Roman" w:eastAsia="Times New Roman" w:hint="default"/>
          <w:spacing w:val="-1"/>
        </w:rPr>
        <w:t>-</w:t>
      </w:r>
      <w:r>
        <w:rPr>
          <w:spacing w:val="-1"/>
        </w:rPr>
        <w:t>股本溢价增加</w:t>
      </w:r>
      <w:r>
        <w:rPr>
          <w:rFonts w:ascii="Times New Roman" w:hAnsi="Times New Roman" w:cs="Times New Roman" w:eastAsia="Times New Roman" w:hint="default"/>
          <w:spacing w:val="-1"/>
        </w:rPr>
        <w:t>6,211,471.55</w:t>
      </w:r>
      <w:r>
        <w:rPr>
          <w:spacing w:val="-1"/>
        </w:rPr>
        <w:t>元系不丧失控制权的子公司股权变动，导致长期股权投资</w:t>
      </w:r>
      <w:r>
        <w:rPr/>
        <w:t> 成本与按照变动的持股比例计算应享有子公司可辨认净资产份额之间的差额增加资本公积所致；</w:t>
      </w:r>
    </w:p>
    <w:p>
      <w:pPr>
        <w:pStyle w:val="BodyText"/>
        <w:spacing w:line="264" w:lineRule="auto" w:before="22"/>
        <w:ind w:right="1132" w:firstLine="672"/>
        <w:jc w:val="both"/>
      </w:pPr>
      <w:r>
        <w:rPr>
          <w:rFonts w:ascii="Times New Roman" w:hAnsi="Times New Roman" w:cs="Times New Roman" w:eastAsia="Times New Roman" w:hint="default"/>
        </w:rPr>
        <w:t>3</w:t>
      </w:r>
      <w:r>
        <w:rPr/>
        <w:t>、本期资本公积</w:t>
      </w:r>
      <w:r>
        <w:rPr>
          <w:rFonts w:ascii="Times New Roman" w:hAnsi="Times New Roman" w:cs="Times New Roman" w:eastAsia="Times New Roman" w:hint="default"/>
        </w:rPr>
        <w:t>-</w:t>
      </w:r>
      <w:r>
        <w:rPr/>
        <w:t>股本溢价增加</w:t>
      </w:r>
      <w:r>
        <w:rPr>
          <w:rFonts w:ascii="Times New Roman" w:hAnsi="Times New Roman" w:cs="Times New Roman" w:eastAsia="Times New Roman" w:hint="default"/>
        </w:rPr>
        <w:t>4,645,551.80</w:t>
      </w:r>
      <w:r>
        <w:rPr/>
        <w:t>元及资本公积</w:t>
      </w:r>
      <w:r>
        <w:rPr>
          <w:rFonts w:ascii="Times New Roman" w:hAnsi="Times New Roman" w:cs="Times New Roman" w:eastAsia="Times New Roman" w:hint="default"/>
        </w:rPr>
        <w:t>-</w:t>
      </w:r>
      <w:r>
        <w:rPr/>
        <w:t>其他资本公积减少</w:t>
      </w:r>
      <w:r>
        <w:rPr>
          <w:rFonts w:ascii="Times New Roman" w:hAnsi="Times New Roman" w:cs="Times New Roman" w:eastAsia="Times New Roman" w:hint="default"/>
        </w:rPr>
        <w:t>4,645,551.80</w:t>
      </w:r>
      <w:r>
        <w:rPr/>
        <w:t>元，系由 </w:t>
      </w:r>
      <w:r>
        <w:rPr>
          <w:spacing w:val="-1"/>
        </w:rPr>
        <w:t>于股权激励对象行权股票期权激励计划授予的股票期权，按行权比例相应将原计入其他资本公积的部分转</w:t>
      </w:r>
      <w:r>
        <w:rPr>
          <w:spacing w:val="-81"/>
        </w:rPr>
        <w:t> </w:t>
      </w:r>
      <w:r>
        <w:rPr>
          <w:spacing w:val="-81"/>
        </w:rPr>
      </w:r>
      <w:r>
        <w:rPr/>
        <w:t>入股本溢价所致。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6"/>
        <w:spacing w:line="240" w:lineRule="auto"/>
        <w:ind w:right="1034"/>
        <w:jc w:val="left"/>
        <w:rPr>
          <w:b w:val="0"/>
          <w:bCs w:val="0"/>
        </w:rPr>
      </w:pPr>
      <w:bookmarkStart w:name="35、盈余公积" w:id="291"/>
      <w:bookmarkEnd w:id="291"/>
      <w:r>
        <w:rPr>
          <w:b w:val="0"/>
          <w:bCs w:val="0"/>
        </w:rPr>
      </w:r>
      <w:r>
        <w:rPr>
          <w:rFonts w:ascii="Times New Roman" w:hAnsi="Times New Roman" w:cs="Times New Roman" w:eastAsia="Times New Roman" w:hint="default"/>
        </w:rPr>
        <w:t>35</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43,564,661.41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43,564,661.41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43,564,661.41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43,564,661.41</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6"/>
        <w:spacing w:line="240" w:lineRule="auto"/>
        <w:ind w:left="154" w:right="1034"/>
        <w:jc w:val="left"/>
        <w:rPr>
          <w:b w:val="0"/>
          <w:bCs w:val="0"/>
        </w:rPr>
      </w:pPr>
      <w:bookmarkStart w:name="36、未分配利润" w:id="292"/>
      <w:bookmarkEnd w:id="292"/>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306,051,489.11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306,051,489.11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66,348,794.93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372,400,284.04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6"/>
        <w:spacing w:line="240" w:lineRule="auto"/>
        <w:ind w:left="154" w:right="1034"/>
        <w:jc w:val="left"/>
        <w:rPr>
          <w:b w:val="0"/>
          <w:bCs w:val="0"/>
        </w:rPr>
      </w:pPr>
      <w:bookmarkStart w:name="37、营业收入和营业成本" w:id="293"/>
      <w:bookmarkEnd w:id="293"/>
      <w:r>
        <w:rPr>
          <w:b w:val="0"/>
          <w:bCs w:val="0"/>
        </w:rPr>
      </w:r>
      <w:r>
        <w:rPr>
          <w:rFonts w:ascii="Times New Roman" w:hAnsi="Times New Roman" w:cs="Times New Roman" w:eastAsia="Times New Roman" w:hint="default"/>
        </w:rPr>
        <w:t>37</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867,050,970.00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515,708,991.59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804,064,981.71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488,133,716.59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5,654,905.47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1,981,172.46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5,343,948.06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1,686,071.28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872,705,875.47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517,690,164.05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809,408,929.77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489,819,787.87</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38、营业税金及附加" w:id="294"/>
      <w:bookmarkEnd w:id="294"/>
      <w:r>
        <w:rPr>
          <w:b w:val="0"/>
          <w:bCs w:val="0"/>
        </w:rPr>
      </w:r>
      <w:r>
        <w:rPr>
          <w:rFonts w:ascii="Times New Roman" w:hAnsi="Times New Roman" w:cs="Times New Roman" w:eastAsia="Times New Roman" w:hint="default"/>
        </w:rPr>
        <w:t>38</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7,743,656.30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91,978.43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3,858,488.82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3,210,977.16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1,656,341.98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1,376,302.52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1,103,838.97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917,626.77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14,362,326.07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5,596,884.88</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1034"/>
        <w:jc w:val="left"/>
        <w:rPr>
          <w:b w:val="0"/>
          <w:bCs w:val="0"/>
        </w:rPr>
      </w:pPr>
      <w:bookmarkStart w:name="39、销售费用" w:id="295"/>
      <w:bookmarkEnd w:id="295"/>
      <w:r>
        <w:rPr>
          <w:b w:val="0"/>
          <w:bCs w:val="0"/>
        </w:rPr>
      </w:r>
      <w:r>
        <w:rPr>
          <w:rFonts w:ascii="Times New Roman" w:hAnsi="Times New Roman" w:cs="Times New Roman" w:eastAsia="Times New Roman" w:hint="default"/>
        </w:rPr>
        <w:t>39</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16,083,162.28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18,367,528.23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3,482,540.78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3,485,722.04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6,301,262.15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10,391,745.74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38,488,633.33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50,083,063.80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7,872,604.75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12,926,749.97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1,595,099.53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2,817,801.26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3,834,432.86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5,126,478.94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77,657,735.68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103,199,089.98</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40、管理费用" w:id="296"/>
      <w:bookmarkEnd w:id="296"/>
      <w:r>
        <w:rPr>
          <w:b w:val="0"/>
          <w:bCs w:val="0"/>
        </w:rPr>
      </w:r>
      <w:r>
        <w:rPr>
          <w:rFonts w:ascii="Times New Roman" w:hAnsi="Times New Roman" w:cs="Times New Roman" w:eastAsia="Times New Roman" w:hint="default"/>
        </w:rPr>
        <w:t>40</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35,538,048.23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34,771,106.69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53,366,169.92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60,053,293.97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5,533,286.95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6,118,257.40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19,692,887.54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12,764,951.35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15,321,035.37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13,466,213.48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10,300,891.42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10,515,434.84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10,161,538.66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139,966,862.85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147,636,252.97</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41、财务费用" w:id="297"/>
      <w:bookmarkEnd w:id="297"/>
      <w:r>
        <w:rPr>
          <w:b w:val="0"/>
          <w:bCs w:val="0"/>
        </w:rPr>
      </w:r>
      <w:r>
        <w:rPr>
          <w:rFonts w:ascii="Times New Roman" w:hAnsi="Times New Roman" w:cs="Times New Roman" w:eastAsia="Times New Roman" w:hint="default"/>
        </w:rPr>
        <w:t>41</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35,814,545.78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40,893,993.61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4,092,414.31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7,415,254.97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-22,548.60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-1,339.77</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-2,777,217.21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1,963,302.45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28,922,365.66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35,440,701.32</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42、资产减值损失" w:id="298"/>
      <w:bookmarkEnd w:id="298"/>
      <w:r>
        <w:rPr>
          <w:b w:val="0"/>
          <w:bCs w:val="0"/>
        </w:rPr>
      </w:r>
      <w:r>
        <w:rPr>
          <w:rFonts w:ascii="Times New Roman" w:hAnsi="Times New Roman" w:cs="Times New Roman" w:eastAsia="Times New Roman" w:hint="default"/>
        </w:rPr>
        <w:t>42</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9,190,610.16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11,790,030.19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20,161.55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6,567,212.47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15,777,984.18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11,790,030.19</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43、公允价值变动收益" w:id="299"/>
      <w:bookmarkEnd w:id="299"/>
      <w:r>
        <w:rPr>
          <w:b w:val="0"/>
          <w:bCs w:val="0"/>
        </w:rPr>
      </w:r>
      <w:r>
        <w:rPr>
          <w:rFonts w:ascii="Times New Roman" w:hAnsi="Times New Roman" w:cs="Times New Roman" w:eastAsia="Times New Roman" w:hint="default"/>
        </w:rPr>
        <w:t>43</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30,780.00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30,780.00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44、投资收益" w:id="300"/>
      <w:bookmarkEnd w:id="300"/>
      <w:r>
        <w:rPr>
          <w:b w:val="0"/>
          <w:bCs w:val="0"/>
        </w:rPr>
      </w:r>
      <w:r>
        <w:rPr>
          <w:rFonts w:ascii="Times New Roman" w:hAnsi="Times New Roman" w:cs="Times New Roman" w:eastAsia="Times New Roman" w:hint="default"/>
        </w:rPr>
        <w:t>44</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-4,596,457.08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-6,886,055.22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-11,513.93</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-24,717.75</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146,000.00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964,755.02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-3,485,702.06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-6,776,286.90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45、营业外收入" w:id="301"/>
      <w:bookmarkEnd w:id="301"/>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619,770.95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14,308.43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619,770.95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619,770.95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14,308.43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619,770.95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15,497,421.05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11,199,340.42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15,497,421.05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488,806.31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106,818.81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488,806.31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16,605,998.31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11,320,467.66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16,605,998.31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034"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科技创新奖 补资金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创新创业领 军补助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单位创新奖 励和产业技 术升级补助 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稳岗补贴款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466,399.00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2,575,521.00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省级党建示 范点创建经 费款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科技计划补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119,000.00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土地使用税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8,473,800.00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4,578,300.00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企业财政奖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862,742.66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专利发展补 助及专利奖 励款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高新技术企 业及科技补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1,360,200.00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重点实验室 建设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32,423.16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15,789.48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多层厂房建 设奖励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370,836.24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370,836.24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科技计划项 目设备资助 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116,666.67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16,633.68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创新服务体 系专项资金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14,352.00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 新产品补助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20,168.04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10,084.02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高效节能数 字式软启动 装置产业化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999,999.96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年省高 技术产业化 专项省统筹 投资计划</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1"/>
              <w:jc w:val="both"/>
              <w:rPr>
                <w:rFonts w:ascii="宋体" w:hAnsi="宋体" w:cs="宋体" w:eastAsia="宋体" w:hint="default"/>
                <w:sz w:val="18"/>
                <w:szCs w:val="18"/>
              </w:rPr>
            </w:pPr>
            <w:r>
              <w:rPr>
                <w:rFonts w:ascii="宋体" w:hAnsi="宋体" w:cs="宋体" w:eastAsia="宋体" w:hint="default"/>
                <w:sz w:val="18"/>
                <w:szCs w:val="18"/>
              </w:rPr>
              <w:t>智能型高分 断低压断路 器生产线建 设项目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40,833.32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科技局项目 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商标品牌奖 励和补贴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802,000.00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15,497,421.0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11,199,340.4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46、营业外支出" w:id="302"/>
      <w:bookmarkEnd w:id="302"/>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597,083.67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119,756.99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597,083.67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597,083.67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119,756.99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597,083.67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273,158.48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273,158.48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641,491.67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23,782.49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641,491.67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6,547.11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1,511,746.59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150,086.59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1,511,746.59</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47、所得税费用" w:id="303"/>
      <w:bookmarkEnd w:id="303"/>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所得税费用表" w:id="304"/>
      <w:bookmarkEnd w:id="30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13,497,081.66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8,862,258.23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-1,335,663.75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-5,165,693.35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12,161,417.91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3,696,564.88</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会计利润与所得税费用调整过程" w:id="305"/>
      <w:bookmarkEnd w:id="30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89,936,986.64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13,490,548.00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1,977,042.61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-152,125.29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1,127,214.27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915,907.16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-648,336.13</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1,007,847.06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研发费及残疾人工资加计扣除的影响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-5,556,679.77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12,161,417.91</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48、现金流量表项目" w:id="306"/>
      <w:bookmarkEnd w:id="306"/>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收到的其他与经营活动有关的现金" w:id="307"/>
      <w:bookmarkEnd w:id="30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8,959,073.91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8,969,051.07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19,521,541.66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14,903,821.00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5,224,122.65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7,415,254.97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488,806.31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106,818.81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4,486,275.75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22,513,742.16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38,679,820.28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53,908,688.01</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left="154" w:right="1034"/>
        <w:jc w:val="left"/>
        <w:rPr>
          <w:b w:val="0"/>
          <w:bCs w:val="0"/>
        </w:rPr>
      </w:pPr>
      <w:bookmarkStart w:name="（2）支付的其他与经营活动有关的现金" w:id="308"/>
      <w:bookmarkEnd w:id="30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26,793,261.41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32,616,396.68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58.389954pt;width:151.25pt;height:40.8pt;mso-position-horizontal-relative:page;mso-position-vertical-relative:page;z-index:-1109680" coordorigin="4467,13168" coordsize="3025,816">
            <v:group style="position:absolute;left:4478;top:13179;width:2;height:392" coordorigin="4478,13179" coordsize="2,392">
              <v:shape style="position:absolute;left:4478;top:13179;width:2;height:392" coordorigin="4478,13179" coordsize="0,392" path="m4478,13179l4478,13570e" filled="false" stroked="true" strokeweight="1.140pt" strokecolor="#ffffff">
                <v:path arrowok="t"/>
              </v:shape>
            </v:group>
            <v:group style="position:absolute;left:4490;top:13179;width:3002;height:392" coordorigin="4490,13179" coordsize="3002,392">
              <v:shape style="position:absolute;left:4490;top:13179;width:3002;height:392" coordorigin="4490,13179" coordsize="3002,392" path="m4490,13570l7491,13570,7491,13179,4490,13179,4490,13570xe" filled="true" fillcolor="#ffffff" stroked="false">
                <v:path arrowok="t"/>
                <v:fill type="solid"/>
              </v:shape>
            </v:group>
            <v:group style="position:absolute;left:4478;top:13581;width:2;height:392" coordorigin="4478,13581" coordsize="2,392">
              <v:shape style="position:absolute;left:4478;top:13581;width:2;height:392" coordorigin="4478,13581" coordsize="0,392" path="m4478,13581l4478,13972e" filled="false" stroked="true" strokeweight="1.140pt" strokecolor="#ffffff">
                <v:path arrowok="t"/>
              </v:shape>
            </v:group>
            <v:group style="position:absolute;left:4490;top:13581;width:3002;height:392" coordorigin="4490,13581" coordsize="3002,392">
              <v:shape style="position:absolute;left:4490;top:13581;width:3002;height:392" coordorigin="4490,13581" coordsize="3002,392" path="m4490,13972l7491,13972,7491,13581,4490,13581,4490,1397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60,214,208.25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84,059,094.99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1,662,727.75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2,549,239.20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88,670,197.41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119,224,730.87</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left="154" w:right="1034"/>
        <w:jc w:val="left"/>
        <w:rPr>
          <w:b w:val="0"/>
          <w:bCs w:val="0"/>
        </w:rPr>
      </w:pPr>
      <w:bookmarkStart w:name="（3）支付的其他与筹资活动有关的现金" w:id="309"/>
      <w:bookmarkEnd w:id="309"/>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收购子公司少数股权款项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发行股票审计、咨询等费用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5,434,179.98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5,434,179.98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6"/>
        <w:spacing w:line="240" w:lineRule="auto"/>
        <w:ind w:left="154" w:right="1034"/>
        <w:jc w:val="left"/>
        <w:rPr>
          <w:b w:val="0"/>
          <w:bCs w:val="0"/>
        </w:rPr>
      </w:pPr>
      <w:bookmarkStart w:name="49、现金流量表补充资料" w:id="310"/>
      <w:bookmarkEnd w:id="310"/>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4"/>
        <w:jc w:val="left"/>
        <w:rPr>
          <w:b w:val="0"/>
          <w:bCs w:val="0"/>
        </w:rPr>
      </w:pPr>
      <w:bookmarkStart w:name="（1）现金流量表补充资料" w:id="311"/>
      <w:bookmarkEnd w:id="31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77,775,568.73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16,654,491.85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15,777,984.18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11,790,030.19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41,758,267.98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27,015,182.46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4,651,996.41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3,288,719.24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1,170,333.70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362,470.80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-22,687.28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105,488.23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-30,780.00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35,791,997.18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40,892,653.84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3,485,702.06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6,776,286.90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-561,101.31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-4,946,984.17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-774,562.44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-218,709.18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29,580,605.40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-55,725,036.69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127,840,095.35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56,076,802.03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-91,841,869.88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-79,918,546.02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244,632,330.08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22,122,069.48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407,272,682.68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264,930,396.53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264,930,396.53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408,670,145.41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142,342,286.15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-143,739,748.88</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现金和现金等价物的构成" w:id="312"/>
      <w:bookmarkEnd w:id="312"/>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407,272,682.68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264,930,396.53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309,182.36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182,045.87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406,963,500.32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264,748,350.66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407,272,682.68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264,930,396.53</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50、所有权或使用权受到限制的资产" w:id="313"/>
      <w:bookmarkEnd w:id="313"/>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43,910,641.85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票据保证金、保函保证金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71,271,491.14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抵押担保借款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270,999,768.09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质押担保借款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386,181,901.08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51、外币货币性项目" w:id="314"/>
      <w:bookmarkEnd w:id="314"/>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4"/>
        <w:jc w:val="left"/>
        <w:rPr>
          <w:b w:val="0"/>
          <w:bCs w:val="0"/>
        </w:rPr>
      </w:pPr>
      <w:bookmarkStart w:name="（1）外币货币性项目" w:id="315"/>
      <w:bookmarkEnd w:id="31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394,614.12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60,769.70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394,614.12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Heading4"/>
        <w:spacing w:line="240" w:lineRule="auto"/>
        <w:ind w:right="1034"/>
        <w:jc w:val="left"/>
        <w:rPr>
          <w:b w:val="0"/>
          <w:bCs w:val="0"/>
        </w:rPr>
      </w:pPr>
      <w:bookmarkStart w:name="八、合并范围的变更" w:id="316"/>
      <w:bookmarkEnd w:id="316"/>
      <w:r>
        <w:rPr>
          <w:b w:val="0"/>
          <w:bCs w:val="0"/>
        </w:rPr>
      </w:r>
      <w:r>
        <w:rPr/>
        <w:t>八、合并范围的变更</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034"/>
        <w:jc w:val="left"/>
        <w:rPr>
          <w:b w:val="0"/>
          <w:bCs w:val="0"/>
        </w:rPr>
      </w:pPr>
      <w:bookmarkStart w:name="1、非同一控制下企业合并" w:id="317"/>
      <w:bookmarkEnd w:id="317"/>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本期发生的非同一控制下企业合并" w:id="318"/>
      <w:bookmarkEnd w:id="31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32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北京中电兴 发科技有限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1,724,999,99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现金、股份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14" w:lineRule="auto" w:before="6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月下半 月支付了股 权收购款并 办理了工商 变更登记等 </w:t>
            </w:r>
            <w:r>
              <w:rPr>
                <w:rFonts w:ascii="宋体" w:hAnsi="宋体" w:cs="宋体" w:eastAsia="宋体" w:hint="default"/>
                <w:spacing w:val="-13"/>
                <w:sz w:val="18"/>
                <w:szCs w:val="18"/>
              </w:rPr>
              <w:t>相关手续，故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302" w:lineRule="auto" w:before="1"/>
              <w:ind w:left="22" w:right="12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日作为 购并日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254,294,192.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46,887,662.7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52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苏州开关二 厂有限公司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14"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月上半 月支付了大 部分股权收 购款并办理 了工商变更 登记等相关 手续，故将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02" w:lineRule="auto" w:before="1"/>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日作为购 并日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15,441,198.6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11,571,583.5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2）合并成本及商誉" w:id="319"/>
      <w:bookmarkEnd w:id="31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1,164,999,993.82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1,724,999,993.82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505,504,369.28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126,955,722.57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1,219,495,624.54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167,044,277.43</w:t>
            </w:r>
          </w:p>
        </w:tc>
      </w:tr>
    </w:tbl>
    <w:p>
      <w:pPr>
        <w:spacing w:line="360" w:lineRule="auto" w:before="51"/>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left="154" w:right="1034"/>
        <w:jc w:val="left"/>
        <w:rPr>
          <w:b w:val="0"/>
          <w:bCs w:val="0"/>
        </w:rPr>
      </w:pPr>
      <w:bookmarkStart w:name="（3）被购买方于购买日可辨认资产、负债" w:id="320"/>
      <w:bookmarkEnd w:id="32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97"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816"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07"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34,459,371.41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34,459,371.41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65,054,313.14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65,054,313.14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276,971,599.83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276,971,599.83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12,312,614.91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12,312,614.91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338,015,565.61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254,003,604.46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28,132,243.47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9,660,637.74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7,721,416.88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1,976,467.14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12,710,871.76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2,749,834.11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498,056.00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498,056.00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89,075.25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89,075.25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416,497,326.78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416,497,326.78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134,457,999.85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134,457,999.85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16,738,139.88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16,738,139.88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369,499.24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369,499.24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41,448,866.88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41,448,866.88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15,611,165.52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15,611,165.52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3,482,329.30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3,482,329.30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64,973,554.38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64,973,554.38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2,391,320.42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2,391,320.42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12,820,772.11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12,820,772.11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1,577,210.14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1,577,210.14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137,748,718.16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137,748,718.16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13,463,536.63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4,264,896.51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370,630.00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370,630.00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41,738,928.28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41,738,928.28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201,551,338.31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201,551,338.31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41,711,004.81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41,711,004.81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314,668,012.76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314,668,012.76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7,177,058.35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7,177,058.35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1,373,347.87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1,373,347.87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1,132,606.34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1,132,606.34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33,307,051.80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33,307,051.80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22,626,571.03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22,626,571.03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6,631,314.67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6,631,314.67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248,610.00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248,610.00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505,504,369.28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429,210,995.02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181,365,317.96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157,197,571.09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54,409,595.39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47,159,271.33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505,504,369.28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429,210,995.02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126,955,722.57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1" w:right="0"/>
              <w:jc w:val="left"/>
              <w:rPr>
                <w:rFonts w:ascii="Times New Roman" w:hAnsi="Times New Roman" w:cs="Times New Roman" w:eastAsia="Times New Roman" w:hint="default"/>
                <w:sz w:val="18"/>
                <w:szCs w:val="18"/>
              </w:rPr>
            </w:pPr>
            <w:r>
              <w:rPr>
                <w:rFonts w:ascii="Times New Roman"/>
                <w:sz w:val="18"/>
              </w:rPr>
              <w:t>110,038,299.76</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2"/>
        <w:rPr>
          <w:rFonts w:ascii="宋体" w:hAnsi="宋体" w:cs="宋体" w:eastAsia="宋体" w:hint="default"/>
          <w:sz w:val="18"/>
          <w:szCs w:val="18"/>
        </w:rPr>
      </w:pPr>
    </w:p>
    <w:p>
      <w:pPr>
        <w:pStyle w:val="Heading4"/>
        <w:spacing w:line="240" w:lineRule="auto"/>
        <w:ind w:left="154" w:right="0"/>
        <w:jc w:val="both"/>
        <w:rPr>
          <w:b w:val="0"/>
          <w:bCs w:val="0"/>
        </w:rPr>
      </w:pPr>
      <w:bookmarkStart w:name="九、在其他主体中的权益" w:id="321"/>
      <w:bookmarkEnd w:id="32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both"/>
        <w:rPr>
          <w:b w:val="0"/>
          <w:bCs w:val="0"/>
        </w:rPr>
      </w:pPr>
      <w:bookmarkStart w:name="1、在子公司中的权益" w:id="322"/>
      <w:bookmarkEnd w:id="32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both"/>
        <w:rPr>
          <w:b w:val="0"/>
          <w:bCs w:val="0"/>
        </w:rPr>
      </w:pPr>
      <w:bookmarkStart w:name="（1）企业集团的构成" w:id="323"/>
      <w:bookmarkEnd w:id="32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安徽森源电器有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安徽鑫龙电器元 件销售有限公司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安徽鑫龙自动化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安徽鑫龙低压电 器有限公司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安徽鑫龙变压器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安徽鑫龙电力工 程安装有限公司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安装劳务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斯高思（安徽） 电器有限公司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安徽鑫东投资管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安徽佑赛科技有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亳州鑫龙电气有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苏州开关二厂有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北京中电兴发科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安徽杰偌新材料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安徽鑫龙电器成 套有限公司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line="360" w:lineRule="auto" w:before="51"/>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7"/>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3"/>
        <w:rPr>
          <w:rFonts w:ascii="宋体" w:hAnsi="宋体" w:cs="宋体" w:eastAsia="宋体" w:hint="default"/>
          <w:sz w:val="19"/>
          <w:szCs w:val="19"/>
        </w:rPr>
      </w:pPr>
    </w:p>
    <w:p>
      <w:pPr>
        <w:pStyle w:val="Heading6"/>
        <w:spacing w:line="240" w:lineRule="auto"/>
        <w:ind w:left="154" w:right="1034"/>
        <w:jc w:val="left"/>
        <w:rPr>
          <w:b w:val="0"/>
          <w:bCs w:val="0"/>
        </w:rPr>
      </w:pPr>
      <w:bookmarkStart w:name="（2）重要的非全资子公司" w:id="324"/>
      <w:bookmarkEnd w:id="32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安徽佑赛科技有限公司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465,757.78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10,753,570.32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天津市泰达工程设计有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8,415,243.45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34,959,039.31</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3,471,475.07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57,881,070.46</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6"/>
        <w:spacing w:line="240" w:lineRule="auto"/>
        <w:ind w:left="154" w:right="1034"/>
        <w:jc w:val="left"/>
        <w:rPr>
          <w:b w:val="0"/>
          <w:bCs w:val="0"/>
        </w:rPr>
      </w:pPr>
      <w:bookmarkStart w:name="（3）重要非全资子公司的主要财务信息" w:id="325"/>
      <w:bookmarkEnd w:id="32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安徽佑 赛科技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32,967,3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12.96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7,235,53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40,202,8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43.07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5,422,93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1,175,00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6,597,93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33,466,9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8,374,59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41,841,5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9,692,10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9,692,10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天津市 泰达工 程设计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75,446,1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55.16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30,437,7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105,883,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879.87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16,265,1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06.79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2,789,90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19,055,0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49,017,7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34,294,5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83,312,2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11,659,8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84.32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3,115,12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14,775,0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11.93</w:t>
            </w:r>
          </w:p>
        </w:tc>
      </w:tr>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苏州开 关二厂 有限公</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242,842,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644.00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40,078,6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86.68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282,921,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330.68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85,785,8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46.44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4,198,58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89,984,4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29.14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安徽佑赛科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38,894,665.8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1,455,493.07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1,455,493.07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-554,690.50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36,500,317.5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216,849.78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216,849.78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-3,572,485.94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天津市泰达 工程设计有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82,397,085.5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21,291,609.2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21,291,609.2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3,265,191.56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40,187,265.6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6,552,882.23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6,552,882.23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34,055,885.3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苏州开关二 厂有限公司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15,441,198.6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11,571,583.5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11,571,583.5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13,476,724.4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2、在合营安排或联营企业中的权益" w:id="326"/>
      <w:bookmarkEnd w:id="326"/>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重要的合营企业或联营企业" w:id="327"/>
      <w:bookmarkEnd w:id="32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安徽美能储能系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4" w:right="103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6"/>
        <w:spacing w:line="240" w:lineRule="auto"/>
        <w:ind w:left="154" w:right="1034"/>
        <w:jc w:val="left"/>
        <w:rPr>
          <w:b w:val="0"/>
          <w:bCs w:val="0"/>
        </w:rPr>
      </w:pPr>
      <w:bookmarkStart w:name="（2）重要联营企业的主要财务信息" w:id="328"/>
      <w:bookmarkEnd w:id="328"/>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安徽美能储能系统有限公司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安徽美能储能系统有限公司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36,837,244.18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42,561,656.01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18,384,098.71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21,993,145.07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55,221,342.89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64,554,801.08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3,587,614.90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1,661,044.09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490,600.93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858,551.53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4,078,215.83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2,519,595.62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51,143,127.06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62,035,205.46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21,582,399.62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26,178,856.70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-109,257.93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-109,257.93</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21,473,141.69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26,069,598.77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6,057,653.29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3,304,825.72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-10,892,078.40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-15,789,458.68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-10,892,078.40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-15,789,458.68</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4"/>
        <w:spacing w:line="240" w:lineRule="auto"/>
        <w:ind w:right="1034"/>
        <w:jc w:val="left"/>
        <w:rPr>
          <w:b w:val="0"/>
          <w:bCs w:val="0"/>
        </w:rPr>
      </w:pPr>
      <w:bookmarkStart w:name="十、与金融工具相关的风险" w:id="329"/>
      <w:bookmarkEnd w:id="329"/>
      <w:r>
        <w:rPr>
          <w:b w:val="0"/>
          <w:bCs w:val="0"/>
        </w:rPr>
      </w:r>
      <w:r>
        <w:rPr/>
        <w:t>十、与金融工具相关的风险</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034" w:firstLine="420"/>
        <w:jc w:val="left"/>
        <w:rPr>
          <w:rFonts w:ascii="宋体" w:hAnsi="宋体" w:cs="宋体" w:eastAsia="宋体" w:hint="default"/>
        </w:rPr>
      </w:pPr>
      <w:r>
        <w:rPr>
          <w:spacing w:val="-1"/>
        </w:rPr>
        <w:t>本公司的经营活动会面临各种金融风险：信用风险、流动风险和市场风险（主要为利率风险）。本公</w:t>
      </w:r>
      <w:r>
        <w:rPr/>
        <w:t> 司整体的风险管理计划针对金融市场的不可预见性，力求减少对本公司财务业绩的潜在不利影响。 </w:t>
      </w: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rPr>
      </w:r>
    </w:p>
    <w:p>
      <w:pPr>
        <w:pStyle w:val="BodyText"/>
        <w:spacing w:line="273" w:lineRule="auto" w:before="0"/>
        <w:ind w:right="1133" w:firstLine="420"/>
        <w:jc w:val="both"/>
      </w:pPr>
      <w:r>
        <w:rPr>
          <w:spacing w:val="-1"/>
        </w:rPr>
        <w:t>本公司的信用风险主要来自货币资金、应收票据、应收账款、其他应收款和可供出售金融资产等。管</w:t>
      </w:r>
      <w:r>
        <w:rPr/>
        <w:t> 理层已制定适当的信用政策，并且不断监察这些信用风险的敞口。</w:t>
      </w:r>
    </w:p>
    <w:p>
      <w:pPr>
        <w:pStyle w:val="BodyText"/>
        <w:spacing w:line="273" w:lineRule="auto"/>
        <w:ind w:right="1131" w:firstLine="420"/>
        <w:jc w:val="both"/>
      </w:pPr>
      <w:r>
        <w:rPr>
          <w:spacing w:val="-1"/>
        </w:rPr>
        <w:t>本公司持有的货币资金，主要存放于国有控股银行和其他大中型商业银行等金融机构，管理层认为这</w:t>
      </w:r>
      <w:r>
        <w:rPr/>
        <w:t> </w:t>
      </w:r>
      <w:r>
        <w:rPr>
          <w:spacing w:val="-1"/>
        </w:rPr>
        <w:t>些商业银行具备较高信誉和资产状况，不存在重大的信用风险，不会产生因对方单位违约而导致的任何重</w:t>
      </w:r>
      <w:r>
        <w:rPr>
          <w:spacing w:val="-81"/>
        </w:rPr>
        <w:t> </w:t>
      </w:r>
      <w:r>
        <w:rPr>
          <w:spacing w:val="-81"/>
        </w:rPr>
      </w:r>
      <w:r>
        <w:rPr/>
        <w:t>大损失。</w:t>
      </w:r>
    </w:p>
    <w:p>
      <w:pPr>
        <w:pStyle w:val="BodyText"/>
        <w:spacing w:line="273" w:lineRule="auto"/>
        <w:ind w:left="154" w:right="1131" w:firstLine="420"/>
        <w:jc w:val="both"/>
      </w:pPr>
      <w:r>
        <w:rPr>
          <w:spacing w:val="-1"/>
        </w:rPr>
        <w:t>对于应收账款、其他应收款和应收票据，本公司设定相关政策以控制信用风险敞口。本公司基于对客</w:t>
      </w:r>
      <w:r>
        <w:rPr/>
        <w:t> </w:t>
      </w:r>
      <w:r>
        <w:rPr>
          <w:spacing w:val="-1"/>
        </w:rPr>
        <w:t>户的财务状况、从第三方获取担保的可能性、信用记录及其它因素诸如目前市场状况等评估客户的信用资</w:t>
      </w:r>
      <w:r>
        <w:rPr>
          <w:spacing w:val="-81"/>
        </w:rPr>
        <w:t> </w:t>
      </w:r>
      <w:r>
        <w:rPr>
          <w:spacing w:val="-81"/>
        </w:rPr>
      </w:r>
      <w:r>
        <w:rPr>
          <w:spacing w:val="-1"/>
        </w:rPr>
        <w:t>质并设置相应信用期。本公司会定期对客户信用记录进行监控，对于信用记录不良的客户，本公司会采用</w:t>
      </w:r>
      <w:r>
        <w:rPr>
          <w:spacing w:val="-83"/>
        </w:rPr>
        <w:t> </w:t>
      </w:r>
      <w:r>
        <w:rPr>
          <w:spacing w:val="-83"/>
        </w:rPr>
      </w:r>
      <w:r>
        <w:rPr/>
        <w:t>书面催款、缩短信用期或取消信用期等方式，以确保本公司的整体信用风险在可控的范围内。</w:t>
      </w:r>
    </w:p>
    <w:p>
      <w:pPr>
        <w:pStyle w:val="BodyText"/>
        <w:spacing w:line="256" w:lineRule="auto"/>
        <w:ind w:left="573" w:right="1118"/>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日止，本公司的前五大客户的应收账款占本公司应收账款总额</w:t>
      </w:r>
      <w:r>
        <w:rPr>
          <w:rFonts w:ascii="Times New Roman" w:hAnsi="Times New Roman" w:cs="Times New Roman" w:eastAsia="Times New Roman" w:hint="default"/>
          <w:sz w:val="18"/>
          <w:szCs w:val="18"/>
        </w:rPr>
        <w:t>11.25</w:t>
      </w:r>
      <w:r>
        <w:rPr>
          <w:rFonts w:ascii="Times New Roman" w:hAnsi="Times New Roman" w:cs="Times New Roman" w:eastAsia="Times New Roman" w:hint="default"/>
        </w:rPr>
        <w:t>%</w:t>
      </w:r>
      <w:r>
        <w:rPr/>
        <w:t>。 本公司所承受的最大信用风险敞口为资产负债表中每项金融资产</w:t>
      </w:r>
      <w:r>
        <w:rPr>
          <w:rFonts w:ascii="Times New Roman" w:hAnsi="Times New Roman" w:cs="Times New Roman" w:eastAsia="Times New Roman" w:hint="default"/>
        </w:rPr>
        <w:t>(</w:t>
      </w:r>
      <w:r>
        <w:rPr/>
        <w:t>包括衍生金融工具</w:t>
      </w: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spacing w:val="-6"/>
        </w:rPr>
        <w:t>的账面金额。除</w:t>
      </w:r>
    </w:p>
    <w:p>
      <w:pPr>
        <w:pStyle w:val="BodyText"/>
        <w:spacing w:line="240" w:lineRule="auto" w:before="5"/>
        <w:ind w:right="1034"/>
        <w:jc w:val="left"/>
      </w:pPr>
      <w:r>
        <w:rPr/>
        <w:t>附注十所载本公司作出的财务担保外，本公司没有提供任何其他可能令本公司承受信用风险的担保。</w:t>
      </w:r>
    </w:p>
    <w:p>
      <w:pPr>
        <w:pStyle w:val="Heading6"/>
        <w:spacing w:line="240" w:lineRule="auto" w:before="157"/>
        <w:ind w:right="1034"/>
        <w:jc w:val="left"/>
        <w:rPr>
          <w:b w:val="0"/>
          <w:bCs w:val="0"/>
        </w:rPr>
      </w:pPr>
      <w:r>
        <w:rPr>
          <w:rFonts w:ascii="Times New Roman" w:hAnsi="Times New Roman" w:cs="Times New Roman" w:eastAsia="Times New Roman" w:hint="default"/>
        </w:rPr>
        <w:t>2</w:t>
      </w:r>
      <w:r>
        <w:rPr/>
        <w:t>、流动性风险</w:t>
      </w:r>
      <w:r>
        <w:rPr>
          <w:b w:val="0"/>
          <w:bCs w:val="0"/>
        </w:rPr>
      </w:r>
    </w:p>
    <w:p>
      <w:pPr>
        <w:pStyle w:val="BodyText"/>
        <w:spacing w:line="256" w:lineRule="auto" w:before="21"/>
        <w:ind w:right="1250" w:firstLine="420"/>
        <w:jc w:val="left"/>
      </w:pPr>
      <w:r>
        <w:rPr/>
        <w:t>流动性风险是指本公司无法及时获得充足资金</w:t>
      </w:r>
      <w:r>
        <w:rPr>
          <w:rFonts w:ascii="Times New Roman" w:hAnsi="Times New Roman" w:cs="Times New Roman" w:eastAsia="Times New Roman" w:hint="default"/>
        </w:rPr>
        <w:t>,</w:t>
      </w:r>
      <w:r>
        <w:rPr/>
        <w:t>满足业务发展需要或偿付到期债务以及其他支付义务 的风险。</w:t>
      </w:r>
    </w:p>
    <w:p>
      <w:pPr>
        <w:pStyle w:val="BodyText"/>
        <w:spacing w:line="273" w:lineRule="auto" w:before="22"/>
        <w:ind w:left="154" w:right="1110" w:firstLine="420"/>
        <w:jc w:val="both"/>
      </w:pPr>
      <w:r>
        <w:rPr>
          <w:spacing w:val="-1"/>
        </w:rPr>
        <w:t>本公司财务部门持续监控公司短期和长期的资金需求，以确保维持充裕的现金储备；同时持续监控是</w:t>
      </w:r>
      <w:r>
        <w:rPr/>
        <w:t> 否符合借款协议的规定，从主要金融机构获得提供足够备用资金的承诺，以满足短期和长期的资金需求。</w:t>
      </w:r>
    </w:p>
    <w:p>
      <w:pPr>
        <w:pStyle w:val="Heading6"/>
        <w:spacing w:line="357" w:lineRule="auto" w:before="127"/>
        <w:ind w:left="154" w:right="9593"/>
        <w:jc w:val="left"/>
        <w:rPr>
          <w:b w:val="0"/>
          <w:bCs w:val="0"/>
        </w:rPr>
      </w:pPr>
      <w:r>
        <w:rPr>
          <w:rFonts w:ascii="Times New Roman" w:hAnsi="Times New Roman" w:cs="Times New Roman" w:eastAsia="Times New Roman" w:hint="default"/>
        </w:rPr>
        <w:t>3</w:t>
      </w:r>
      <w:r>
        <w:rPr/>
        <w:t>、市场风险</w:t>
      </w:r>
      <w:r>
        <w:rPr>
          <w:w w:val="99"/>
        </w:rPr>
        <w:t> </w:t>
      </w:r>
      <w:r>
        <w:rPr/>
        <w:t>利率风险</w:t>
      </w:r>
      <w:r>
        <w:rPr>
          <w:b w:val="0"/>
          <w:bCs w:val="0"/>
        </w:rPr>
      </w:r>
    </w:p>
    <w:p>
      <w:pPr>
        <w:pStyle w:val="BodyText"/>
        <w:spacing w:line="209" w:lineRule="exact" w:before="0"/>
        <w:ind w:left="154" w:right="0" w:firstLine="420"/>
        <w:jc w:val="both"/>
      </w:pPr>
      <w:r>
        <w:rPr/>
        <w:t>本公司的利率风险主要产生于银行借款、货币资金等。浮动利率的金融负债使本公司面临现金流量利</w:t>
      </w:r>
    </w:p>
    <w:p>
      <w:pPr>
        <w:pStyle w:val="BodyText"/>
        <w:spacing w:line="273" w:lineRule="auto" w:before="37"/>
        <w:ind w:left="154" w:right="1034"/>
        <w:jc w:val="left"/>
      </w:pPr>
      <w:r>
        <w:rPr>
          <w:spacing w:val="-1"/>
        </w:rPr>
        <w:t>率风险，固定利率的金融负债使本公司面临公允价值利率风险。本公司根据当时的市场环境来决定固定利</w:t>
      </w:r>
      <w:r>
        <w:rPr>
          <w:spacing w:val="-81"/>
        </w:rPr>
        <w:t> </w:t>
      </w:r>
      <w:r>
        <w:rPr>
          <w:spacing w:val="-81"/>
        </w:rPr>
      </w:r>
      <w:r>
        <w:rPr/>
        <w:t>率及浮动利率合同的相对比例。</w:t>
      </w:r>
    </w:p>
    <w:p>
      <w:pPr>
        <w:pStyle w:val="BodyText"/>
        <w:spacing w:line="273" w:lineRule="auto"/>
        <w:ind w:left="154" w:right="1131" w:firstLine="420"/>
        <w:jc w:val="both"/>
      </w:pPr>
      <w:r>
        <w:rPr>
          <w:spacing w:val="-1"/>
        </w:rPr>
        <w:t>本公司财务部门持续监控公司利率水平。利率上升会增加新增带息债务的成本以及本公司尚未付清的</w:t>
      </w:r>
      <w:r>
        <w:rPr/>
        <w:t> </w:t>
      </w:r>
      <w:r>
        <w:rPr>
          <w:spacing w:val="-1"/>
        </w:rPr>
        <w:t>以浮动利率计息的带息债务的利息支出，并对本公司的财务业绩产生重大的不利影响，管理层会依据最新</w:t>
      </w:r>
      <w:r>
        <w:rPr>
          <w:spacing w:val="-81"/>
        </w:rPr>
        <w:t> </w:t>
      </w:r>
      <w:r>
        <w:rPr>
          <w:spacing w:val="-81"/>
        </w:rPr>
      </w:r>
      <w:r>
        <w:rPr/>
        <w:t>的市场状况及时做出调整。</w:t>
      </w:r>
    </w:p>
    <w:p>
      <w:pPr>
        <w:pStyle w:val="BodyText"/>
        <w:spacing w:line="240" w:lineRule="auto"/>
        <w:ind w:left="574" w:right="1034"/>
        <w:jc w:val="left"/>
      </w:pPr>
      <w:r>
        <w:rPr/>
        <w:t>（</w:t>
      </w:r>
      <w:r>
        <w:rPr>
          <w:rFonts w:ascii="Times New Roman" w:hAnsi="Times New Roman" w:cs="Times New Roman" w:eastAsia="Times New Roman" w:hint="default"/>
        </w:rPr>
        <w:t>1</w:t>
      </w:r>
      <w:r>
        <w:rPr/>
        <w:t>）本年度公司无利率互换安排。</w:t>
      </w:r>
    </w:p>
    <w:p>
      <w:pPr>
        <w:pStyle w:val="BodyText"/>
        <w:spacing w:line="240" w:lineRule="auto" w:before="21"/>
        <w:ind w:left="574" w:right="1034"/>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日止，本公司长期带息债务主要为人民币计价的浮动利率合同，金额为</w:t>
      </w:r>
    </w:p>
    <w:p>
      <w:pPr>
        <w:pStyle w:val="BodyText"/>
        <w:spacing w:line="240" w:lineRule="auto" w:before="21"/>
        <w:ind w:right="1034"/>
        <w:jc w:val="left"/>
      </w:pPr>
      <w:r>
        <w:rPr>
          <w:rFonts w:ascii="Times New Roman" w:hAnsi="Times New Roman" w:cs="Times New Roman" w:eastAsia="Times New Roman" w:hint="default"/>
        </w:rPr>
        <w:t>358,000,000.00</w:t>
      </w:r>
      <w:r>
        <w:rPr/>
        <w:t>元，详见附注六注释</w:t>
      </w:r>
      <w:r>
        <w:rPr>
          <w:rFonts w:ascii="Times New Roman" w:hAnsi="Times New Roman" w:cs="Times New Roman" w:eastAsia="Times New Roman" w:hint="default"/>
        </w:rPr>
        <w:t>30</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3" w:right="0"/>
        <w:jc w:val="left"/>
      </w:pPr>
      <w:r>
        <w:rPr/>
        <w:t>（</w:t>
      </w:r>
      <w:r>
        <w:rPr>
          <w:rFonts w:ascii="Times New Roman" w:hAnsi="Times New Roman" w:cs="Times New Roman" w:eastAsia="Times New Roman" w:hint="default"/>
        </w:rPr>
        <w:t>3</w:t>
      </w:r>
      <w:r>
        <w:rPr/>
        <w:t>）敏感性分析： </w:t>
      </w:r>
      <w:r>
        <w:rPr>
          <w:spacing w:val="-3"/>
        </w:rPr>
        <w:t>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日止，如果以浮动利率计算的借款利率上升或下降</w:t>
      </w:r>
      <w:r>
        <w:rPr>
          <w:rFonts w:ascii="Times New Roman" w:hAnsi="Times New Roman" w:cs="Times New Roman" w:eastAsia="Times New Roman" w:hint="default"/>
          <w:spacing w:val="-3"/>
        </w:rPr>
        <w:t>50</w:t>
      </w:r>
      <w:r>
        <w:rPr>
          <w:spacing w:val="-3"/>
        </w:rPr>
        <w:t>个基点，而其他因素保持不变，</w:t>
      </w:r>
    </w:p>
    <w:p>
      <w:pPr>
        <w:pStyle w:val="BodyText"/>
        <w:spacing w:line="256" w:lineRule="auto" w:before="5"/>
        <w:ind w:right="1093"/>
        <w:jc w:val="left"/>
      </w:pPr>
      <w:r>
        <w:rPr/>
        <w:t>本公司的全年净利润会减少或增加约</w:t>
      </w:r>
      <w:r>
        <w:rPr>
          <w:rFonts w:ascii="Times New Roman" w:hAnsi="Times New Roman" w:cs="Times New Roman" w:eastAsia="Times New Roman" w:hint="default"/>
        </w:rPr>
        <w:t>4,424,250.00</w:t>
      </w:r>
      <w:r>
        <w:rPr>
          <w:rFonts w:ascii="Times New Roman" w:hAnsi="Times New Roman" w:cs="Times New Roman" w:eastAsia="Times New Roman" w:hint="default"/>
          <w:spacing w:val="31"/>
        </w:rPr>
        <w:t> </w:t>
      </w:r>
      <w:r>
        <w:rPr/>
        <w:t>元。 上述敏感性分析假定在资产负债表日已发生利率变动，并且已应用于本公司所有按浮动利率获得的借款。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ind w:left="154" w:right="1034"/>
        <w:jc w:val="left"/>
        <w:rPr>
          <w:b w:val="0"/>
          <w:bCs w:val="0"/>
        </w:rPr>
      </w:pPr>
      <w:bookmarkStart w:name="十一、关联方及关联交易" w:id="330"/>
      <w:bookmarkEnd w:id="330"/>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本企业的母公司情况" w:id="331"/>
      <w:bookmarkEnd w:id="33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束龙胜（注）</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芜湖市鑫诚科技投 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56" w:lineRule="auto" w:before="90"/>
        <w:ind w:right="1034"/>
        <w:jc w:val="left"/>
      </w:pPr>
      <w:r>
        <w:rPr>
          <w:spacing w:val="-2"/>
        </w:rPr>
        <w:t>注：束龙胜持有本公司</w:t>
      </w:r>
      <w:r>
        <w:rPr>
          <w:rFonts w:ascii="Times New Roman" w:hAnsi="Times New Roman" w:cs="Times New Roman" w:eastAsia="Times New Roman" w:hint="default"/>
          <w:spacing w:val="-2"/>
        </w:rPr>
        <w:t>16.23%</w:t>
      </w:r>
      <w:r>
        <w:rPr>
          <w:spacing w:val="-2"/>
        </w:rPr>
        <w:t>的股份，通过持有芜湖市鑫诚科技投资有限公司</w:t>
      </w:r>
      <w:r>
        <w:rPr>
          <w:rFonts w:ascii="Times New Roman" w:hAnsi="Times New Roman" w:cs="Times New Roman" w:eastAsia="Times New Roman" w:hint="default"/>
          <w:spacing w:val="-2"/>
        </w:rPr>
        <w:t>99.88%</w:t>
      </w:r>
      <w:r>
        <w:rPr>
          <w:spacing w:val="-2"/>
        </w:rPr>
        <w:t>的股份间接持有本公</w:t>
      </w:r>
      <w:r>
        <w:rPr>
          <w:spacing w:val="-61"/>
        </w:rPr>
        <w:t> </w:t>
      </w:r>
      <w:r>
        <w:rPr/>
        <w:t>司</w:t>
      </w:r>
      <w:r>
        <w:rPr>
          <w:rFonts w:ascii="Times New Roman" w:hAnsi="Times New Roman" w:cs="Times New Roman" w:eastAsia="Times New Roman" w:hint="default"/>
        </w:rPr>
        <w:t>5.80%</w:t>
      </w:r>
      <w:r>
        <w:rPr/>
        <w:t>的股份，合并持有本公司</w:t>
      </w:r>
      <w:r>
        <w:rPr>
          <w:rFonts w:ascii="Times New Roman" w:hAnsi="Times New Roman" w:cs="Times New Roman" w:eastAsia="Times New Roman" w:hint="default"/>
        </w:rPr>
        <w:t>22.03%</w:t>
      </w:r>
      <w:r>
        <w:rPr/>
        <w:t>的股份，为公司第一大股东和实际控制人。</w:t>
      </w:r>
    </w:p>
    <w:p>
      <w:pPr>
        <w:spacing w:line="360" w:lineRule="auto" w:before="71"/>
        <w:ind w:left="154" w:right="8412" w:firstLine="0"/>
        <w:jc w:val="left"/>
        <w:rPr>
          <w:rFonts w:ascii="宋体" w:hAnsi="宋体" w:cs="宋体" w:eastAsia="宋体" w:hint="default"/>
          <w:sz w:val="18"/>
          <w:szCs w:val="18"/>
        </w:rPr>
      </w:pPr>
      <w:r>
        <w:rPr>
          <w:rFonts w:ascii="宋体" w:hAnsi="宋体" w:cs="宋体" w:eastAsia="宋体" w:hint="default"/>
          <w:sz w:val="18"/>
          <w:szCs w:val="18"/>
        </w:rPr>
        <w:t>本企业最终控制方是束龙胜。 其他说明：</w:t>
      </w:r>
    </w:p>
    <w:p>
      <w:pPr>
        <w:spacing w:line="240" w:lineRule="auto" w:before="12"/>
        <w:rPr>
          <w:rFonts w:ascii="宋体" w:hAnsi="宋体" w:cs="宋体" w:eastAsia="宋体" w:hint="default"/>
          <w:sz w:val="19"/>
          <w:szCs w:val="19"/>
        </w:rPr>
      </w:pPr>
    </w:p>
    <w:p>
      <w:pPr>
        <w:spacing w:line="547" w:lineRule="auto" w:before="0"/>
        <w:ind w:left="153" w:right="6793" w:firstLine="0"/>
        <w:jc w:val="left"/>
        <w:rPr>
          <w:rFonts w:ascii="宋体" w:hAnsi="宋体" w:cs="宋体" w:eastAsia="宋体" w:hint="default"/>
          <w:sz w:val="21"/>
          <w:szCs w:val="21"/>
        </w:rPr>
      </w:pPr>
      <w:bookmarkStart w:name="2、本企业的子公司情况" w:id="332"/>
      <w:bookmarkEnd w:id="33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33"/>
      <w:bookmarkEnd w:id="33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1"/>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2</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4、关联交易情况" w:id="334"/>
      <w:bookmarkEnd w:id="334"/>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购销商品、提供和接受劳务的关联交易" w:id="335"/>
      <w:bookmarkEnd w:id="33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1034"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安徽美能储能系统有限公司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15,405.98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天津滨电电力工程有限公司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15,886,104.84</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15,886,104.84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15,405.98</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pStyle w:val="BodyText"/>
        <w:spacing w:line="273" w:lineRule="auto" w:before="90"/>
        <w:ind w:left="154" w:right="1132"/>
        <w:jc w:val="both"/>
      </w:pPr>
      <w:r>
        <w:rPr>
          <w:spacing w:val="-1"/>
        </w:rPr>
        <w:t>注：此处披露的本公司与天津滨电电力工程有限公司之间的关联方交易仅限于该公司与其可施加重大影响</w:t>
      </w:r>
      <w:r>
        <w:rPr>
          <w:spacing w:val="-81"/>
        </w:rPr>
        <w:t> </w:t>
      </w:r>
      <w:r>
        <w:rPr>
          <w:spacing w:val="-81"/>
        </w:rPr>
      </w:r>
      <w:r>
        <w:rPr>
          <w:spacing w:val="-1"/>
        </w:rPr>
        <w:t>的子公司天津市泰达工程设计有限公司之间的交易，并未包含其与不能施加重大影响的公司其他组成部分</w:t>
      </w:r>
      <w:r>
        <w:rPr>
          <w:spacing w:val="-81"/>
        </w:rPr>
        <w:t> </w:t>
      </w:r>
      <w:r>
        <w:rPr>
          <w:spacing w:val="-81"/>
        </w:rPr>
      </w:r>
      <w:r>
        <w:rPr/>
        <w:t>之间的交易。</w:t>
      </w:r>
    </w:p>
    <w:p>
      <w:pPr>
        <w:spacing w:line="240" w:lineRule="auto" w:before="8"/>
        <w:rPr>
          <w:rFonts w:ascii="宋体" w:hAnsi="宋体" w:cs="宋体" w:eastAsia="宋体" w:hint="default"/>
          <w:sz w:val="23"/>
          <w:szCs w:val="23"/>
        </w:rPr>
      </w:pPr>
    </w:p>
    <w:p>
      <w:pPr>
        <w:pStyle w:val="Heading6"/>
        <w:spacing w:line="240" w:lineRule="auto"/>
        <w:ind w:left="154" w:right="0"/>
        <w:jc w:val="both"/>
        <w:rPr>
          <w:b w:val="0"/>
          <w:bCs w:val="0"/>
        </w:rPr>
      </w:pPr>
      <w:bookmarkStart w:name="（2）关联担保情况" w:id="336"/>
      <w:bookmarkEnd w:id="336"/>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1034"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安徽鑫龙低压电器有限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安徽鑫龙低压电器有限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安徽鑫龙低压电器有限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安徽鑫龙自动化有限公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安徽鑫龙自动化有限公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安徽鑫龙自动化有限公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安徽鑫龙低压电器有限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安徽佑赛科技有限公司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安徽鑫龙自动化有限公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安徽鑫龙低压电器有限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安徽鑫龙低压电器有限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6"/>
        <w:spacing w:line="240" w:lineRule="auto"/>
        <w:ind w:left="154" w:right="1034"/>
        <w:jc w:val="left"/>
        <w:rPr>
          <w:b w:val="0"/>
          <w:bCs w:val="0"/>
        </w:rPr>
      </w:pPr>
      <w:bookmarkStart w:name="（3）关键管理人员报酬" w:id="337"/>
      <w:bookmarkEnd w:id="337"/>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3,337,600.00</w:t>
            </w:r>
          </w:p>
        </w:tc>
      </w:tr>
    </w:tbl>
    <w:p>
      <w:pPr>
        <w:spacing w:line="240" w:lineRule="auto" w:before="2"/>
        <w:rPr>
          <w:rFonts w:ascii="宋体" w:hAnsi="宋体" w:cs="宋体" w:eastAsia="宋体" w:hint="default"/>
          <w:sz w:val="18"/>
          <w:szCs w:val="18"/>
        </w:rPr>
      </w:pPr>
    </w:p>
    <w:p>
      <w:pPr>
        <w:pStyle w:val="Heading4"/>
        <w:spacing w:line="240" w:lineRule="auto" w:before="26"/>
        <w:ind w:left="154" w:right="1034"/>
        <w:jc w:val="left"/>
        <w:rPr>
          <w:b w:val="0"/>
          <w:bCs w:val="0"/>
        </w:rPr>
      </w:pPr>
      <w:bookmarkStart w:name="十二、股份支付" w:id="338"/>
      <w:bookmarkEnd w:id="338"/>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股份支付总体情况" w:id="339"/>
      <w:bookmarkEnd w:id="33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4"/>
        <w:rPr>
          <w:rFonts w:ascii="宋体" w:hAnsi="宋体" w:cs="宋体" w:eastAsia="宋体" w:hint="default"/>
          <w:b/>
          <w:bCs/>
          <w:sz w:val="23"/>
          <w:szCs w:val="23"/>
        </w:rPr>
      </w:pPr>
    </w:p>
    <w:p>
      <w:pPr>
        <w:spacing w:before="44"/>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8,182,000.00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1" w:lineRule="auto" w:before="89"/>
        <w:ind w:right="1034" w:firstLine="423"/>
        <w:jc w:val="left"/>
      </w:pPr>
      <w:r>
        <w:rPr>
          <w:rFonts w:ascii="Times New Roman" w:hAnsi="Times New Roman" w:cs="Times New Roman" w:eastAsia="Times New Roman" w:hint="default"/>
          <w:spacing w:val="-1"/>
        </w:rPr>
        <w:t>1</w:t>
      </w:r>
      <w:r>
        <w:rPr>
          <w:spacing w:val="-1"/>
        </w:rPr>
        <w:t>、首期股票期权激励计划：首次授予的第一期股票期权已行权</w:t>
      </w:r>
      <w:r>
        <w:rPr>
          <w:rFonts w:ascii="Times New Roman" w:hAnsi="Times New Roman" w:cs="Times New Roman" w:eastAsia="Times New Roman" w:hint="default"/>
          <w:spacing w:val="-1"/>
        </w:rPr>
        <w:t>497.93</w:t>
      </w:r>
      <w:r>
        <w:rPr>
          <w:spacing w:val="-1"/>
        </w:rPr>
        <w:t>万份，未行权</w:t>
      </w:r>
      <w:r>
        <w:rPr>
          <w:rFonts w:ascii="Times New Roman" w:hAnsi="Times New Roman" w:cs="Times New Roman" w:eastAsia="Times New Roman" w:hint="default"/>
          <w:spacing w:val="-1"/>
        </w:rPr>
        <w:t>521.27</w:t>
      </w:r>
      <w:r>
        <w:rPr>
          <w:spacing w:val="-1"/>
        </w:rPr>
        <w:t>万份；首次</w:t>
      </w:r>
      <w:r>
        <w:rPr/>
        <w:t> </w:t>
      </w:r>
      <w:r>
        <w:rPr>
          <w:spacing w:val="-2"/>
        </w:rPr>
        <w:t>授予的第二期股票期权已行权</w:t>
      </w:r>
      <w:r>
        <w:rPr>
          <w:rFonts w:ascii="Times New Roman" w:hAnsi="Times New Roman" w:cs="Times New Roman" w:eastAsia="Times New Roman" w:hint="default"/>
          <w:spacing w:val="-2"/>
        </w:rPr>
        <w:t>702.20</w:t>
      </w:r>
      <w:r>
        <w:rPr>
          <w:spacing w:val="-2"/>
        </w:rPr>
        <w:t>万份，未行权</w:t>
      </w:r>
      <w:r>
        <w:rPr>
          <w:rFonts w:ascii="Times New Roman" w:hAnsi="Times New Roman" w:cs="Times New Roman" w:eastAsia="Times New Roman" w:hint="default"/>
          <w:spacing w:val="-2"/>
        </w:rPr>
        <w:t>25.00</w:t>
      </w:r>
      <w:r>
        <w:rPr>
          <w:spacing w:val="-2"/>
        </w:rPr>
        <w:t>万份，预留的第一期股票期权已行权</w:t>
      </w:r>
      <w:r>
        <w:rPr>
          <w:rFonts w:ascii="Times New Roman" w:hAnsi="Times New Roman" w:cs="Times New Roman" w:eastAsia="Times New Roman" w:hint="default"/>
          <w:spacing w:val="-2"/>
        </w:rPr>
        <w:t>51.00</w:t>
      </w:r>
      <w:r>
        <w:rPr>
          <w:spacing w:val="-2"/>
        </w:rPr>
        <w:t>万份；因</w:t>
      </w:r>
      <w:r>
        <w:rPr>
          <w:spacing w:val="-75"/>
        </w:rPr>
        <w:t> </w:t>
      </w:r>
      <w:r>
        <w:rPr>
          <w:spacing w:val="-75"/>
        </w:rPr>
      </w:r>
      <w:r>
        <w:rPr/>
        <w:t>员工离职及首次授予的第三期及预留的第二期股票期权因未能达到行权条件中的非市场条件，而失效 </w:t>
      </w:r>
      <w:r>
        <w:rPr>
          <w:rFonts w:ascii="Times New Roman" w:hAnsi="Times New Roman" w:cs="Times New Roman" w:eastAsia="Times New Roman" w:hint="default"/>
        </w:rPr>
        <w:t>1042.60</w:t>
      </w:r>
      <w:r>
        <w:rPr/>
        <w:t>万份。</w:t>
      </w:r>
    </w:p>
    <w:p>
      <w:pPr>
        <w:pStyle w:val="BodyText"/>
        <w:spacing w:line="261" w:lineRule="auto" w:before="120"/>
        <w:ind w:right="1117" w:firstLine="423"/>
        <w:jc w:val="left"/>
      </w:pPr>
      <w:r>
        <w:rPr>
          <w:rFonts w:ascii="Times New Roman" w:hAnsi="Times New Roman" w:cs="Times New Roman" w:eastAsia="Times New Roman" w:hint="default"/>
        </w:rPr>
        <w:t>2</w:t>
      </w:r>
      <w:r>
        <w:rPr/>
        <w:t>、本公司与武文杰签订股权激励协议，双方约定：若子公司天津市泰达工程设计有限公司（以下简 称</w:t>
      </w:r>
      <w:r>
        <w:rPr>
          <w:rFonts w:ascii="Times New Roman" w:hAnsi="Times New Roman" w:cs="Times New Roman" w:eastAsia="Times New Roman" w:hint="default"/>
        </w:rPr>
        <w:t>“</w:t>
      </w:r>
      <w:r>
        <w:rPr/>
        <w:t>泰达公司</w:t>
      </w:r>
      <w:r>
        <w:rPr>
          <w:rFonts w:ascii="Times New Roman" w:hAnsi="Times New Roman" w:cs="Times New Roman" w:eastAsia="Times New Roman" w:hint="default"/>
        </w:rPr>
        <w:t>”</w:t>
      </w:r>
      <w:r>
        <w:rPr/>
        <w:t>）在</w:t>
      </w:r>
      <w:r>
        <w:rPr>
          <w:rFonts w:ascii="Times New Roman" w:hAnsi="Times New Roman" w:cs="Times New Roman" w:eastAsia="Times New Roman" w:hint="default"/>
        </w:rPr>
        <w:t>2014</w:t>
      </w:r>
      <w:r>
        <w:rPr/>
        <w:t>年度经审计的净利润（指本公司聘请的具有证券、期货业务资格的会计师事务所审 </w:t>
      </w:r>
      <w:r>
        <w:rPr>
          <w:spacing w:val="-1"/>
        </w:rPr>
        <w:t>计的泰达公司合并报表中归属于泰达公司所有者的净利润，该净利润以扣除非经常性损益前后孰低者为准</w:t>
      </w:r>
      <w:r>
        <w:rPr>
          <w:spacing w:val="-81"/>
        </w:rPr>
        <w:t> </w:t>
      </w:r>
      <w:r>
        <w:rPr>
          <w:spacing w:val="-81"/>
        </w:rPr>
      </w:r>
      <w:r>
        <w:rPr/>
        <w:t>但不考虑与此次奖励相关的费用对净利润的影响）超过</w:t>
      </w:r>
      <w:r>
        <w:rPr>
          <w:rFonts w:ascii="Times New Roman" w:hAnsi="Times New Roman" w:cs="Times New Roman" w:eastAsia="Times New Roman" w:hint="default"/>
        </w:rPr>
        <w:t>2,019.76</w:t>
      </w:r>
      <w:r>
        <w:rPr/>
        <w:t>万元，或</w:t>
      </w:r>
      <w:r>
        <w:rPr>
          <w:rFonts w:ascii="Times New Roman" w:hAnsi="Times New Roman" w:cs="Times New Roman" w:eastAsia="Times New Roman" w:hint="default"/>
        </w:rPr>
        <w:t>2014</w:t>
      </w:r>
      <w:r>
        <w:rPr/>
        <w:t>年及</w:t>
      </w:r>
      <w:r>
        <w:rPr>
          <w:rFonts w:ascii="Times New Roman" w:hAnsi="Times New Roman" w:cs="Times New Roman" w:eastAsia="Times New Roman" w:hint="default"/>
        </w:rPr>
        <w:t>2015</w:t>
      </w:r>
      <w:r>
        <w:rPr/>
        <w:t>年经审计的两年累</w:t>
      </w:r>
    </w:p>
    <w:p>
      <w:pPr>
        <w:spacing w:after="0" w:line="26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21"/>
        <w:jc w:val="left"/>
      </w:pPr>
      <w:r>
        <w:rPr/>
        <w:t>计净利润超过</w:t>
      </w:r>
      <w:r>
        <w:rPr>
          <w:rFonts w:ascii="Times New Roman" w:hAnsi="Times New Roman" w:cs="Times New Roman" w:eastAsia="Times New Roman" w:hint="default"/>
        </w:rPr>
        <w:t>4,042.88</w:t>
      </w:r>
      <w:r>
        <w:rPr/>
        <w:t>万元，达到上述条件后，本公司同意在审计报告出具之日起</w:t>
      </w:r>
      <w:r>
        <w:rPr>
          <w:rFonts w:ascii="Times New Roman" w:hAnsi="Times New Roman" w:cs="Times New Roman" w:eastAsia="Times New Roman" w:hint="default"/>
        </w:rPr>
        <w:t>30</w:t>
      </w:r>
      <w:r>
        <w:rPr/>
        <w:t>日内，将持有的泰达 </w:t>
      </w:r>
      <w:r>
        <w:rPr>
          <w:spacing w:val="-2"/>
        </w:rPr>
        <w:t>公司</w:t>
      </w:r>
      <w:r>
        <w:rPr>
          <w:rFonts w:ascii="Times New Roman" w:hAnsi="Times New Roman" w:cs="Times New Roman" w:eastAsia="Times New Roman" w:hint="default"/>
          <w:spacing w:val="-2"/>
        </w:rPr>
        <w:t>6%</w:t>
      </w:r>
      <w:r>
        <w:rPr>
          <w:spacing w:val="-2"/>
        </w:rPr>
        <w:t>股权以无偿转让的方式奖励给武文杰。</w:t>
      </w:r>
      <w:r>
        <w:rPr>
          <w:rFonts w:ascii="Times New Roman" w:hAnsi="Times New Roman" w:cs="Times New Roman" w:eastAsia="Times New Roman" w:hint="default"/>
          <w:spacing w:val="-2"/>
        </w:rPr>
        <w:t>2014</w:t>
      </w:r>
      <w:r>
        <w:rPr>
          <w:spacing w:val="-2"/>
        </w:rPr>
        <w:t>年度泰达公司经审计的净利润达到激励标准，因此本期</w:t>
      </w:r>
      <w:r>
        <w:rPr>
          <w:spacing w:val="-102"/>
        </w:rPr>
        <w:t> </w:t>
      </w:r>
      <w:r>
        <w:rPr>
          <w:spacing w:val="-102"/>
        </w:rPr>
      </w:r>
      <w:r>
        <w:rPr/>
        <w:t>公司已将持有的泰达公司</w:t>
      </w:r>
      <w:r>
        <w:rPr>
          <w:rFonts w:ascii="Times New Roman" w:hAnsi="Times New Roman" w:cs="Times New Roman" w:eastAsia="Times New Roman" w:hint="default"/>
        </w:rPr>
        <w:t>6%</w:t>
      </w:r>
      <w:r>
        <w:rPr/>
        <w:t>股权以无偿转让方式奖励给武文杰，并办理了相关股权变更登记手续。</w:t>
      </w:r>
    </w:p>
    <w:p>
      <w:pPr>
        <w:spacing w:line="240" w:lineRule="auto" w:before="6"/>
        <w:rPr>
          <w:rFonts w:ascii="宋体" w:hAnsi="宋体" w:cs="宋体" w:eastAsia="宋体" w:hint="default"/>
          <w:sz w:val="23"/>
          <w:szCs w:val="23"/>
        </w:rPr>
      </w:pPr>
    </w:p>
    <w:p>
      <w:pPr>
        <w:pStyle w:val="Heading6"/>
        <w:spacing w:line="240" w:lineRule="auto"/>
        <w:ind w:right="1034"/>
        <w:jc w:val="left"/>
        <w:rPr>
          <w:b w:val="0"/>
          <w:bCs w:val="0"/>
        </w:rPr>
      </w:pPr>
      <w:bookmarkStart w:name="2、以权益结算的股份支付情况" w:id="340"/>
      <w:bookmarkEnd w:id="34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9"/>
              <w:jc w:val="both"/>
              <w:rPr>
                <w:rFonts w:ascii="宋体" w:hAnsi="宋体" w:cs="宋体" w:eastAsia="宋体" w:hint="default"/>
                <w:sz w:val="18"/>
                <w:szCs w:val="18"/>
              </w:rPr>
            </w:pPr>
            <w:r>
              <w:rPr>
                <w:rFonts w:ascii="宋体" w:hAnsi="宋体" w:cs="宋体" w:eastAsia="宋体" w:hint="default"/>
                <w:sz w:val="18"/>
                <w:szCs w:val="18"/>
              </w:rPr>
              <w:t>在等待期内的每个资产负债表日，根据最新取得的可行权 人数变动、行权条件完成情况等信息，修正预计可行权的 股票期权数量。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8,235,600.00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3、以现金结算的股份支付情况" w:id="341"/>
      <w:bookmarkEnd w:id="34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9"/>
              <w:jc w:val="left"/>
              <w:rPr>
                <w:rFonts w:ascii="宋体" w:hAnsi="宋体" w:cs="宋体" w:eastAsia="宋体" w:hint="default"/>
                <w:sz w:val="18"/>
                <w:szCs w:val="18"/>
              </w:rPr>
            </w:pPr>
            <w:r>
              <w:rPr>
                <w:rFonts w:ascii="宋体" w:hAnsi="宋体" w:cs="宋体" w:eastAsia="宋体" w:hint="default"/>
                <w:sz w:val="18"/>
                <w:szCs w:val="18"/>
              </w:rPr>
              <w:t>公司承担的、以股份或其他权益工具为基础计算确定的负债的 公允价值确定方法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以非同一控制下的企业合并取得的泰达公司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65.738%</w:t>
            </w:r>
            <w:r>
              <w:rPr>
                <w:rFonts w:ascii="宋体" w:hAnsi="宋体" w:cs="宋体" w:eastAsia="宋体" w:hint="default"/>
                <w:sz w:val="18"/>
                <w:szCs w:val="18"/>
              </w:rPr>
              <w:t>股权 所支付的交易对价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万元为参照，确定泰达公司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p>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股权的公允价值为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1030.09 </w:t>
            </w:r>
            <w:r>
              <w:rPr>
                <w:rFonts w:ascii="宋体" w:hAnsi="宋体" w:cs="宋体" w:eastAsia="宋体" w:hint="default"/>
                <w:sz w:val="18"/>
                <w:szCs w:val="18"/>
              </w:rPr>
              <w:t>万元</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负债中以现金结算的股份支付产生的累计负债金额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本期以现金结算的股份支付而确认的费用总额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4、股份支付的修改、终止情况" w:id="342"/>
      <w:bookmarkEnd w:id="34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spacing w:before="0"/>
        <w:ind w:left="153" w:right="103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4"/>
        <w:spacing w:line="240" w:lineRule="auto"/>
        <w:ind w:left="154" w:right="1034"/>
        <w:jc w:val="left"/>
        <w:rPr>
          <w:b w:val="0"/>
          <w:bCs w:val="0"/>
        </w:rPr>
      </w:pPr>
      <w:bookmarkStart w:name="十三、承诺及或有事项" w:id="343"/>
      <w:bookmarkEnd w:id="343"/>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重要承诺事项" w:id="344"/>
      <w:bookmarkEnd w:id="344"/>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54" w:right="1034"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0"/>
        <w:ind w:left="574" w:right="1034"/>
        <w:jc w:val="left"/>
      </w:pPr>
      <w:r>
        <w:rPr/>
        <w:t>本公司不存在需要披露的承诺事项。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2、其他" w:id="345"/>
      <w:bookmarkEnd w:id="345"/>
      <w:r>
        <w:rPr>
          <w:b w:val="0"/>
          <w:bCs w:val="0"/>
        </w:rPr>
      </w: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4"/>
          <w:szCs w:val="24"/>
        </w:rPr>
      </w:pPr>
    </w:p>
    <w:p>
      <w:pPr>
        <w:spacing w:line="256" w:lineRule="auto" w:before="0"/>
        <w:ind w:left="153" w:right="46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、对外提供债务担保形成的或有事项及其财务影响</w:t>
      </w:r>
      <w:r>
        <w:rPr>
          <w:rFonts w:ascii="宋体" w:hAnsi="宋体" w:cs="宋体" w:eastAsia="宋体" w:hint="default"/>
          <w:b/>
          <w:bCs/>
          <w:w w:val="99"/>
          <w:sz w:val="21"/>
          <w:szCs w:val="21"/>
        </w:rPr>
        <w:t> </w:t>
      </w:r>
      <w:r>
        <w:rPr>
          <w:rFonts w:ascii="宋体" w:hAnsi="宋体" w:cs="宋体" w:eastAsia="宋体" w:hint="default"/>
          <w:sz w:val="21"/>
          <w:szCs w:val="21"/>
        </w:rPr>
        <w:t>为关联方提供提保详见</w:t>
      </w:r>
      <w:r>
        <w:rPr>
          <w:rFonts w:ascii="Times New Roman" w:hAnsi="Times New Roman" w:cs="Times New Roman" w:eastAsia="Times New Roman" w:hint="default"/>
          <w:sz w:val="21"/>
          <w:szCs w:val="21"/>
        </w:rPr>
        <w:t>“</w:t>
      </w:r>
      <w:r>
        <w:rPr>
          <w:rFonts w:ascii="宋体" w:hAnsi="宋体" w:cs="宋体" w:eastAsia="宋体" w:hint="default"/>
          <w:sz w:val="21"/>
          <w:szCs w:val="21"/>
        </w:rPr>
        <w:t>附件十一、关联方交易之关联担保情况</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、开出保函、信用证</w:t>
      </w:r>
      <w:r>
        <w:rPr>
          <w:rFonts w:ascii="宋体" w:hAnsi="宋体" w:cs="宋体" w:eastAsia="宋体" w:hint="default"/>
          <w:sz w:val="21"/>
          <w:szCs w:val="21"/>
        </w:rPr>
      </w:r>
    </w:p>
    <w:p>
      <w:pPr>
        <w:pStyle w:val="BodyText"/>
        <w:spacing w:line="240" w:lineRule="auto" w:before="5"/>
        <w:ind w:left="154"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子公司安徽鑫龙电力工程安装有限公司期末银行保函金额</w:t>
      </w:r>
      <w:r>
        <w:rPr>
          <w:rFonts w:ascii="Times New Roman" w:hAnsi="Times New Roman" w:cs="Times New Roman" w:eastAsia="Times New Roman" w:hint="default"/>
        </w:rPr>
        <w:t>178,721.14</w:t>
      </w:r>
      <w:r>
        <w:rPr/>
        <w:t>元，保函保证金金额为</w:t>
      </w:r>
      <w:r>
        <w:rPr>
          <w:rFonts w:ascii="Times New Roman" w:hAnsi="Times New Roman" w:cs="Times New Roman" w:eastAsia="Times New Roman" w:hint="default"/>
        </w:rPr>
        <w:t>178,721.14</w:t>
      </w:r>
    </w:p>
    <w:p>
      <w:pPr>
        <w:pStyle w:val="BodyText"/>
        <w:spacing w:line="261" w:lineRule="auto" w:before="21"/>
        <w:ind w:right="1531"/>
        <w:jc w:val="left"/>
      </w:pPr>
      <w:r>
        <w:rPr/>
        <w:t>元。 </w:t>
      </w:r>
      <w:r>
        <w:rPr>
          <w:rFonts w:ascii="Times New Roman" w:hAnsi="Times New Roman" w:cs="Times New Roman" w:eastAsia="Times New Roman" w:hint="default"/>
        </w:rPr>
        <w:t>(2)</w:t>
      </w:r>
      <w:r>
        <w:rPr/>
        <w:t>子公司安徽佑赛科技有限公司期末银行保函金额</w:t>
      </w:r>
      <w:r>
        <w:rPr>
          <w:rFonts w:ascii="Times New Roman" w:hAnsi="Times New Roman" w:cs="Times New Roman" w:eastAsia="Times New Roman" w:hint="default"/>
        </w:rPr>
        <w:t>45,691.18</w:t>
      </w:r>
      <w:r>
        <w:rPr/>
        <w:t>元，保函保证金金额为</w:t>
      </w:r>
      <w:r>
        <w:rPr>
          <w:rFonts w:ascii="Times New Roman" w:hAnsi="Times New Roman" w:cs="Times New Roman" w:eastAsia="Times New Roman" w:hint="default"/>
        </w:rPr>
        <w:t>45,691.18</w:t>
      </w:r>
      <w:r>
        <w:rPr/>
        <w:t>元。 </w:t>
      </w:r>
      <w:r>
        <w:rPr>
          <w:rFonts w:ascii="Times New Roman" w:hAnsi="Times New Roman" w:cs="Times New Roman" w:eastAsia="Times New Roman" w:hint="default"/>
        </w:rPr>
        <w:t>(3)</w:t>
      </w:r>
      <w:r>
        <w:rPr/>
        <w:t>子公司安徽鑫龙自动化有限公司期末应付银行承兑汇票金额</w:t>
      </w:r>
      <w:r>
        <w:rPr>
          <w:rFonts w:ascii="Times New Roman" w:hAnsi="Times New Roman" w:cs="Times New Roman" w:eastAsia="Times New Roman" w:hint="default"/>
        </w:rPr>
        <w:t>2,037,000.00</w:t>
      </w:r>
      <w:r>
        <w:rPr/>
        <w:t>元，票据保证金金额为 </w:t>
      </w:r>
      <w:r>
        <w:rPr>
          <w:rFonts w:ascii="Times New Roman" w:hAnsi="Times New Roman" w:cs="Times New Roman" w:eastAsia="Times New Roman" w:hint="default"/>
        </w:rPr>
        <w:t>2,006,058.38</w:t>
      </w:r>
      <w:r>
        <w:rPr/>
        <w:t>元；银行保函金额</w:t>
      </w:r>
      <w:r>
        <w:rPr>
          <w:rFonts w:ascii="Times New Roman" w:hAnsi="Times New Roman" w:cs="Times New Roman" w:eastAsia="Times New Roman" w:hint="default"/>
        </w:rPr>
        <w:t>72,000.00</w:t>
      </w:r>
      <w:r>
        <w:rPr/>
        <w:t>元，保函保证金金额为</w:t>
      </w:r>
      <w:r>
        <w:rPr>
          <w:rFonts w:ascii="Times New Roman" w:hAnsi="Times New Roman" w:cs="Times New Roman" w:eastAsia="Times New Roman" w:hint="default"/>
        </w:rPr>
        <w:t>72,000.00</w:t>
      </w:r>
      <w:r>
        <w:rPr/>
        <w:t>元。 </w:t>
      </w:r>
      <w:r>
        <w:rPr>
          <w:rFonts w:ascii="Times New Roman" w:hAnsi="Times New Roman" w:cs="Times New Roman" w:eastAsia="Times New Roman" w:hint="default"/>
        </w:rPr>
        <w:t>(4)</w:t>
      </w:r>
      <w:r>
        <w:rPr/>
        <w:t>子公司安徽鑫龙低压电器有限公司期期末应付银行承兑汇票金额</w:t>
      </w:r>
      <w:r>
        <w:rPr>
          <w:rFonts w:ascii="Times New Roman" w:hAnsi="Times New Roman" w:cs="Times New Roman" w:eastAsia="Times New Roman" w:hint="default"/>
        </w:rPr>
        <w:t>10,865,292.03</w:t>
      </w:r>
      <w:r>
        <w:rPr/>
        <w:t>元，票据保证金金额 </w:t>
      </w:r>
      <w:r>
        <w:rPr>
          <w:rFonts w:ascii="Times New Roman" w:hAnsi="Times New Roman" w:cs="Times New Roman" w:eastAsia="Times New Roman" w:hint="default"/>
        </w:rPr>
        <w:t>1,861,530.20</w:t>
      </w:r>
      <w:r>
        <w:rPr/>
        <w:t>元。</w:t>
      </w:r>
    </w:p>
    <w:p>
      <w:pPr>
        <w:pStyle w:val="BodyText"/>
        <w:spacing w:line="240" w:lineRule="auto" w:before="0"/>
        <w:ind w:left="154" w:right="1034"/>
        <w:jc w:val="left"/>
        <w:rPr>
          <w:rFonts w:ascii="Times New Roman" w:hAnsi="Times New Roman" w:cs="Times New Roman" w:eastAsia="Times New Roman" w:hint="default"/>
        </w:rPr>
      </w:pPr>
      <w:r>
        <w:rPr>
          <w:rFonts w:ascii="Times New Roman" w:hAnsi="Times New Roman" w:cs="Times New Roman" w:eastAsia="Times New Roman" w:hint="default"/>
        </w:rPr>
        <w:t>(5)</w:t>
      </w:r>
      <w:r>
        <w:rPr/>
        <w:t>子公司安徽森源电器有限公司期末应付银行承兑汇票金额</w:t>
      </w:r>
      <w:r>
        <w:rPr>
          <w:rFonts w:ascii="Times New Roman" w:hAnsi="Times New Roman" w:cs="Times New Roman" w:eastAsia="Times New Roman" w:hint="default"/>
        </w:rPr>
        <w:t>11,686,226.40</w:t>
      </w:r>
      <w:r>
        <w:rPr/>
        <w:t>元，票据保证金金额</w:t>
      </w:r>
      <w:r>
        <w:rPr>
          <w:rFonts w:ascii="Times New Roman" w:hAnsi="Times New Roman" w:cs="Times New Roman" w:eastAsia="Times New Roman" w:hint="default"/>
        </w:rPr>
        <w:t>1,198,622.64</w:t>
      </w:r>
    </w:p>
    <w:p>
      <w:pPr>
        <w:pStyle w:val="BodyText"/>
        <w:spacing w:line="240" w:lineRule="auto" w:before="21"/>
        <w:ind w:left="154" w:right="1034"/>
        <w:jc w:val="left"/>
      </w:pPr>
      <w:r>
        <w:rPr/>
        <w:t>元。</w:t>
      </w:r>
    </w:p>
    <w:p>
      <w:pPr>
        <w:pStyle w:val="BodyText"/>
        <w:spacing w:line="240" w:lineRule="auto" w:before="37"/>
        <w:ind w:left="154" w:right="1034"/>
        <w:jc w:val="left"/>
      </w:pPr>
      <w:r>
        <w:rPr/>
        <w:t>（</w:t>
      </w:r>
      <w:r>
        <w:rPr>
          <w:rFonts w:ascii="Times New Roman" w:hAnsi="Times New Roman" w:cs="Times New Roman" w:eastAsia="Times New Roman" w:hint="default"/>
        </w:rPr>
        <w:t>6</w:t>
      </w:r>
      <w:r>
        <w:rPr/>
        <w:t>）子公司苏州开关二厂有限公司期末应付银行承兑汇票金额</w:t>
      </w:r>
      <w:r>
        <w:rPr>
          <w:rFonts w:ascii="Times New Roman" w:hAnsi="Times New Roman" w:cs="Times New Roman" w:eastAsia="Times New Roman" w:hint="default"/>
        </w:rPr>
        <w:t>25,389,533.28</w:t>
      </w:r>
      <w:r>
        <w:rPr/>
        <w:t>元，票据保证金金额</w:t>
      </w:r>
    </w:p>
    <w:p>
      <w:pPr>
        <w:pStyle w:val="BodyText"/>
        <w:spacing w:line="240" w:lineRule="auto" w:before="21"/>
        <w:ind w:left="154" w:right="1034"/>
        <w:jc w:val="left"/>
      </w:pPr>
      <w:r>
        <w:rPr>
          <w:rFonts w:ascii="Times New Roman" w:hAnsi="Times New Roman" w:cs="Times New Roman" w:eastAsia="Times New Roman" w:hint="default"/>
        </w:rPr>
        <w:t>6,255,836.66</w:t>
      </w:r>
      <w:r>
        <w:rPr/>
        <w:t>元；银行保函金额</w:t>
      </w:r>
      <w:r>
        <w:rPr>
          <w:rFonts w:ascii="Times New Roman" w:hAnsi="Times New Roman" w:cs="Times New Roman" w:eastAsia="Times New Roman" w:hint="default"/>
        </w:rPr>
        <w:t>54,698,683.58</w:t>
      </w:r>
      <w:r>
        <w:rPr/>
        <w:t>元，保函保证金金额为</w:t>
      </w:r>
      <w:r>
        <w:rPr>
          <w:rFonts w:ascii="Times New Roman" w:hAnsi="Times New Roman" w:cs="Times New Roman" w:eastAsia="Times New Roman" w:hint="default"/>
        </w:rPr>
        <w:t>17,260,092.26</w:t>
      </w:r>
      <w:r>
        <w:rPr/>
        <w:t>元。</w:t>
      </w:r>
    </w:p>
    <w:p>
      <w:pPr>
        <w:pStyle w:val="BodyText"/>
        <w:spacing w:line="240" w:lineRule="auto" w:before="21"/>
        <w:ind w:right="1034"/>
        <w:jc w:val="left"/>
      </w:pPr>
      <w:r>
        <w:rPr/>
        <w:t>（</w:t>
      </w:r>
      <w:r>
        <w:rPr>
          <w:rFonts w:ascii="Times New Roman" w:hAnsi="Times New Roman" w:cs="Times New Roman" w:eastAsia="Times New Roman" w:hint="default"/>
        </w:rPr>
        <w:t>7</w:t>
      </w:r>
      <w:r>
        <w:rPr/>
        <w:t>）子公司天津市泰达工程设计有限公司期末应付银行承兑汇票金额</w:t>
      </w:r>
      <w:r>
        <w:rPr>
          <w:rFonts w:ascii="Times New Roman" w:hAnsi="Times New Roman" w:cs="Times New Roman" w:eastAsia="Times New Roman" w:hint="default"/>
        </w:rPr>
        <w:t>598,500.00</w:t>
      </w:r>
      <w:r>
        <w:rPr/>
        <w:t>元，票据保证金金额</w:t>
      </w:r>
    </w:p>
    <w:p>
      <w:pPr>
        <w:pStyle w:val="BodyText"/>
        <w:spacing w:line="240" w:lineRule="auto" w:before="21"/>
        <w:ind w:left="154" w:right="1034"/>
        <w:jc w:val="left"/>
      </w:pPr>
      <w:r>
        <w:rPr>
          <w:rFonts w:ascii="Times New Roman" w:hAnsi="Times New Roman" w:cs="Times New Roman" w:eastAsia="Times New Roman" w:hint="default"/>
        </w:rPr>
        <w:t>598,500.00</w:t>
      </w:r>
      <w:r>
        <w:rPr/>
        <w:t>元；银行保函金额</w:t>
      </w:r>
      <w:r>
        <w:rPr>
          <w:rFonts w:ascii="Times New Roman" w:hAnsi="Times New Roman" w:cs="Times New Roman" w:eastAsia="Times New Roman" w:hint="default"/>
        </w:rPr>
        <w:t>14,575,130.00</w:t>
      </w:r>
      <w:r>
        <w:rPr/>
        <w:t>元，保函保证金金额为</w:t>
      </w:r>
      <w:r>
        <w:rPr>
          <w:rFonts w:ascii="Times New Roman" w:hAnsi="Times New Roman" w:cs="Times New Roman" w:eastAsia="Times New Roman" w:hint="default"/>
        </w:rPr>
        <w:t>1,818,413.00</w:t>
      </w:r>
      <w:r>
        <w:rPr/>
        <w:t>元。</w:t>
      </w:r>
    </w:p>
    <w:p>
      <w:pPr>
        <w:pStyle w:val="BodyText"/>
        <w:spacing w:line="240" w:lineRule="auto" w:before="21"/>
        <w:ind w:right="1034"/>
        <w:jc w:val="left"/>
      </w:pPr>
      <w:r>
        <w:rPr/>
        <w:t>（</w:t>
      </w:r>
      <w:r>
        <w:rPr>
          <w:rFonts w:ascii="Times New Roman" w:hAnsi="Times New Roman" w:cs="Times New Roman" w:eastAsia="Times New Roman" w:hint="default"/>
        </w:rPr>
        <w:t>8</w:t>
      </w:r>
      <w:r>
        <w:rPr/>
        <w:t>）子公司北京中电兴发科技有限公司期末应付银行保函金额</w:t>
      </w:r>
      <w:r>
        <w:rPr>
          <w:rFonts w:ascii="Times New Roman" w:hAnsi="Times New Roman" w:cs="Times New Roman" w:eastAsia="Times New Roman" w:hint="default"/>
        </w:rPr>
        <w:t>17,184,170.93</w:t>
      </w:r>
      <w:r>
        <w:rPr/>
        <w:t>元，保函保证金金额为</w:t>
      </w:r>
    </w:p>
    <w:p>
      <w:pPr>
        <w:pStyle w:val="BodyText"/>
        <w:spacing w:line="240" w:lineRule="auto" w:before="21"/>
        <w:ind w:left="154" w:right="1034"/>
        <w:jc w:val="left"/>
      </w:pPr>
      <w:r>
        <w:rPr>
          <w:rFonts w:ascii="Times New Roman" w:hAnsi="Times New Roman" w:cs="Times New Roman" w:eastAsia="Times New Roman" w:hint="default"/>
        </w:rPr>
        <w:t>5,870,102.11</w:t>
      </w:r>
      <w:r>
        <w:rPr/>
        <w:t>元。</w:t>
      </w:r>
    </w:p>
    <w:p>
      <w:pPr>
        <w:pStyle w:val="BodyText"/>
        <w:spacing w:line="256" w:lineRule="auto" w:before="21"/>
        <w:ind w:right="1145"/>
        <w:jc w:val="left"/>
      </w:pPr>
      <w:r>
        <w:rPr/>
        <w:t>（</w:t>
      </w:r>
      <w:r>
        <w:rPr>
          <w:rFonts w:ascii="Times New Roman" w:hAnsi="Times New Roman" w:cs="Times New Roman" w:eastAsia="Times New Roman" w:hint="default"/>
        </w:rPr>
        <w:t>9</w:t>
      </w:r>
      <w:r>
        <w:rPr/>
        <w:t>）安徽中电兴发与鑫龙科技股份有限公司期末应付银行承兑汇票金额</w:t>
      </w:r>
      <w:r>
        <w:rPr>
          <w:rFonts w:ascii="Times New Roman" w:hAnsi="Times New Roman" w:cs="Times New Roman" w:eastAsia="Times New Roman" w:hint="default"/>
        </w:rPr>
        <w:t>6,688,000.00</w:t>
      </w:r>
      <w:r>
        <w:rPr/>
        <w:t>元，票据保证金金额 </w:t>
      </w:r>
      <w:r>
        <w:rPr>
          <w:rFonts w:ascii="Times New Roman" w:hAnsi="Times New Roman" w:cs="Times New Roman" w:eastAsia="Times New Roman" w:hint="default"/>
        </w:rPr>
        <w:t>686,062.98</w:t>
      </w:r>
      <w:r>
        <w:rPr/>
        <w:t>元；银行保函金额</w:t>
      </w:r>
      <w:r>
        <w:rPr>
          <w:rFonts w:ascii="Times New Roman" w:hAnsi="Times New Roman" w:cs="Times New Roman" w:eastAsia="Times New Roman" w:hint="default"/>
        </w:rPr>
        <w:t>58,589,019.50</w:t>
      </w:r>
      <w:r>
        <w:rPr/>
        <w:t>元，保函保证金金额为</w:t>
      </w:r>
      <w:r>
        <w:rPr>
          <w:rFonts w:ascii="Times New Roman" w:hAnsi="Times New Roman" w:cs="Times New Roman" w:eastAsia="Times New Roman" w:hint="default"/>
        </w:rPr>
        <w:t>6,059,011.31</w:t>
      </w:r>
      <w:r>
        <w:rPr/>
        <w:t>元。 除存在上述或有事项外，截至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日止，本公司无其他应披露未披露的重大或有事项。</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2"/>
          <w:szCs w:val="32"/>
        </w:rPr>
      </w:pPr>
    </w:p>
    <w:p>
      <w:pPr>
        <w:pStyle w:val="Heading4"/>
        <w:spacing w:line="240" w:lineRule="auto"/>
        <w:ind w:right="1034"/>
        <w:jc w:val="left"/>
        <w:rPr>
          <w:b w:val="0"/>
          <w:bCs w:val="0"/>
        </w:rPr>
      </w:pPr>
      <w:bookmarkStart w:name="十四、资产负债表日后事项" w:id="346"/>
      <w:bookmarkEnd w:id="346"/>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重要的非调整事项" w:id="347"/>
      <w:bookmarkEnd w:id="347"/>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2、利润分配情况" w:id="348"/>
      <w:bookmarkEnd w:id="34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20,253,400.32</w:t>
            </w:r>
          </w:p>
        </w:tc>
      </w:tr>
    </w:tbl>
    <w:p>
      <w:pPr>
        <w:spacing w:line="240" w:lineRule="auto" w:before="2"/>
        <w:rPr>
          <w:rFonts w:ascii="宋体" w:hAnsi="宋体" w:cs="宋体" w:eastAsia="宋体" w:hint="default"/>
          <w:sz w:val="19"/>
          <w:szCs w:val="19"/>
        </w:rPr>
      </w:pPr>
    </w:p>
    <w:p>
      <w:pPr>
        <w:spacing w:line="506" w:lineRule="auto" w:before="35"/>
        <w:ind w:left="574" w:right="3192" w:hanging="420"/>
        <w:jc w:val="left"/>
        <w:rPr>
          <w:rFonts w:ascii="宋体" w:hAnsi="宋体" w:cs="宋体" w:eastAsia="宋体" w:hint="default"/>
          <w:sz w:val="21"/>
          <w:szCs w:val="21"/>
        </w:rPr>
      </w:pPr>
      <w:bookmarkStart w:name="3、其他资产负债表日后事项说明" w:id="349"/>
      <w:bookmarkEnd w:id="34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截至财务报告日止，本公司无其他应披露未披露的重大资产负债表日后事项。</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4"/>
        <w:spacing w:line="240" w:lineRule="auto" w:before="26"/>
        <w:ind w:left="473" w:right="1092"/>
        <w:jc w:val="left"/>
        <w:rPr>
          <w:b w:val="0"/>
          <w:bCs w:val="0"/>
        </w:rPr>
      </w:pPr>
      <w:bookmarkStart w:name="十五、其他重要事项" w:id="350"/>
      <w:bookmarkEnd w:id="350"/>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473" w:right="1092"/>
        <w:jc w:val="left"/>
        <w:rPr>
          <w:b w:val="0"/>
          <w:bCs w:val="0"/>
        </w:rPr>
      </w:pPr>
      <w:bookmarkStart w:name="1、分部信息" w:id="351"/>
      <w:bookmarkEnd w:id="351"/>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473" w:right="1092"/>
        <w:jc w:val="left"/>
        <w:rPr>
          <w:b w:val="0"/>
          <w:bCs w:val="0"/>
        </w:rPr>
      </w:pPr>
      <w:bookmarkStart w:name="（1）报告分部的确定依据与会计政策" w:id="352"/>
      <w:bookmarkEnd w:id="35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spacing w:line="256" w:lineRule="auto" w:before="0"/>
        <w:ind w:left="893" w:right="10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本公司以内部组织结构、管理要求、内部报告制度为依据确定经营分部。本公司的经营分部是指同时</w:t>
      </w:r>
    </w:p>
    <w:p>
      <w:pPr>
        <w:pStyle w:val="BodyText"/>
        <w:spacing w:line="240" w:lineRule="auto" w:before="22"/>
        <w:ind w:left="473" w:right="1092"/>
        <w:jc w:val="left"/>
      </w:pPr>
      <w:r>
        <w:rPr/>
        <w:t>满足下列条件的组成部分：</w:t>
      </w:r>
    </w:p>
    <w:p>
      <w:pPr>
        <w:pStyle w:val="BodyText"/>
        <w:spacing w:line="240" w:lineRule="auto" w:before="37"/>
        <w:ind w:left="113" w:right="1092"/>
        <w:jc w:val="left"/>
      </w:pPr>
      <w:r>
        <w:rPr>
          <w:rFonts w:ascii="宋体" w:hAnsi="宋体" w:cs="宋体" w:eastAsia="宋体" w:hint="default"/>
        </w:rPr>
        <w:t>1.</w:t>
      </w:r>
      <w:r>
        <w:rPr>
          <w:rFonts w:ascii="宋体" w:hAnsi="宋体" w:cs="宋体" w:eastAsia="宋体" w:hint="default"/>
          <w:spacing w:val="42"/>
        </w:rPr>
        <w:t> </w:t>
      </w: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21"/>
        <w:ind w:left="113" w:right="1092"/>
        <w:jc w:val="left"/>
      </w:pPr>
      <w:r>
        <w:rPr>
          <w:rFonts w:ascii="宋体" w:hAnsi="宋体" w:cs="宋体" w:eastAsia="宋体" w:hint="default"/>
        </w:rPr>
        <w:t>2.</w:t>
      </w:r>
      <w:r>
        <w:rPr>
          <w:rFonts w:ascii="宋体" w:hAnsi="宋体" w:cs="宋体" w:eastAsia="宋体" w:hint="default"/>
          <w:spacing w:val="42"/>
        </w:rPr>
        <w:t> </w:t>
      </w: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256" w:lineRule="auto" w:before="21"/>
        <w:ind w:left="894" w:right="2142" w:hanging="780"/>
        <w:jc w:val="left"/>
      </w:pPr>
      <w:r>
        <w:rPr>
          <w:rFonts w:ascii="宋体" w:hAnsi="宋体" w:cs="宋体" w:eastAsia="宋体" w:hint="default"/>
        </w:rPr>
        <w:t>3.</w:t>
      </w:r>
      <w:r>
        <w:rPr>
          <w:rFonts w:ascii="宋体" w:hAnsi="宋体" w:cs="宋体" w:eastAsia="宋体" w:hint="default"/>
          <w:spacing w:val="43"/>
        </w:rPr>
        <w:t> </w:t>
      </w:r>
      <w:r>
        <w:rPr>
          <w:rFonts w:ascii="Times New Roman" w:hAnsi="Times New Roman" w:cs="Times New Roman" w:eastAsia="Times New Roman" w:hint="default"/>
        </w:rPr>
        <w:t>3</w:t>
      </w:r>
      <w:r>
        <w:rPr/>
        <w:t>）能够取得该组成部分的财务状况、经营成果和现金流量等有关会计信息。 本公司以经营分部为基础确定报告分部，满足下列条件之一的经营分部确定为报告分部：</w:t>
      </w:r>
    </w:p>
    <w:p>
      <w:pPr>
        <w:pStyle w:val="BodyText"/>
        <w:spacing w:line="240" w:lineRule="auto" w:before="22"/>
        <w:ind w:left="474" w:right="1092"/>
        <w:jc w:val="left"/>
      </w:pPr>
      <w:r>
        <w:rPr>
          <w:rFonts w:ascii="Times New Roman" w:hAnsi="Times New Roman" w:cs="Times New Roman" w:eastAsia="Times New Roman" w:hint="default"/>
        </w:rPr>
        <w:t>1</w:t>
      </w:r>
      <w:r>
        <w:rPr/>
        <w:t>）该经营分部的分部收入占所有分部收入合计的</w:t>
      </w:r>
      <w:r>
        <w:rPr>
          <w:rFonts w:ascii="Times New Roman" w:hAnsi="Times New Roman" w:cs="Times New Roman" w:eastAsia="Times New Roman" w:hint="default"/>
        </w:rPr>
        <w:t>10%</w:t>
      </w:r>
      <w:r>
        <w:rPr/>
        <w:t>或者以上；</w:t>
      </w:r>
    </w:p>
    <w:p>
      <w:pPr>
        <w:pStyle w:val="BodyText"/>
        <w:spacing w:line="256" w:lineRule="auto" w:before="21"/>
        <w:ind w:left="474" w:right="1197"/>
        <w:jc w:val="left"/>
      </w:pPr>
      <w:r>
        <w:rPr>
          <w:rFonts w:ascii="Times New Roman" w:hAnsi="Times New Roman" w:cs="Times New Roman" w:eastAsia="Times New Roman" w:hint="default"/>
        </w:rPr>
        <w:t>2</w:t>
      </w:r>
      <w:r>
        <w:rPr/>
        <w:t>）该分部的分部利润（亏损）的绝对额，占所有盈利分部利润合计额或者所有亏损分部亏损合计额的绝 对额两者中较大者的</w:t>
      </w:r>
      <w:r>
        <w:rPr>
          <w:rFonts w:ascii="Times New Roman" w:hAnsi="Times New Roman" w:cs="Times New Roman" w:eastAsia="Times New Roman" w:hint="default"/>
        </w:rPr>
        <w:t>10%</w:t>
      </w:r>
      <w:r>
        <w:rPr/>
        <w:t>或者以上。</w:t>
      </w:r>
    </w:p>
    <w:p>
      <w:pPr>
        <w:pStyle w:val="BodyText"/>
        <w:spacing w:line="264" w:lineRule="auto" w:before="5"/>
        <w:ind w:left="473" w:right="1092" w:firstLine="420"/>
        <w:jc w:val="left"/>
      </w:pPr>
      <w:r>
        <w:rPr/>
        <w:t>按上述会计政策确定的报告分部的经营分部的对外交易收入合计额占合并总收入的比重未达到</w:t>
      </w:r>
      <w:r>
        <w:rPr>
          <w:rFonts w:ascii="Times New Roman" w:hAnsi="Times New Roman" w:cs="Times New Roman" w:eastAsia="Times New Roman" w:hint="default"/>
        </w:rPr>
        <w:t>75% </w:t>
      </w:r>
      <w:r>
        <w:rPr>
          <w:spacing w:val="-1"/>
        </w:rPr>
        <w:t>时，增加报告分部的数量，按下述规定将其他未作为报告分部的经营分部纳入报告分部的范围，直到该比</w:t>
      </w:r>
      <w:r>
        <w:rPr>
          <w:spacing w:val="-83"/>
        </w:rPr>
        <w:t> </w:t>
      </w:r>
      <w:r>
        <w:rPr>
          <w:spacing w:val="-83"/>
        </w:rPr>
      </w:r>
      <w:r>
        <w:rPr/>
        <w:t>重达到</w:t>
      </w:r>
      <w:r>
        <w:rPr>
          <w:rFonts w:ascii="Times New Roman" w:hAnsi="Times New Roman" w:cs="Times New Roman" w:eastAsia="Times New Roman" w:hint="default"/>
        </w:rPr>
        <w:t>75%</w:t>
      </w:r>
      <w:r>
        <w:rPr/>
        <w:t>：</w:t>
      </w:r>
    </w:p>
    <w:p>
      <w:pPr>
        <w:pStyle w:val="BodyText"/>
        <w:spacing w:line="289" w:lineRule="exact" w:before="0"/>
        <w:ind w:left="473" w:right="1092"/>
        <w:jc w:val="left"/>
      </w:pPr>
      <w:r>
        <w:rPr>
          <w:rFonts w:ascii="Times New Roman" w:hAnsi="Times New Roman" w:cs="Times New Roman" w:eastAsia="Times New Roman" w:hint="default"/>
        </w:rPr>
        <w:t>1</w:t>
      </w:r>
      <w:r>
        <w:rPr/>
        <w:t>）将管理层认为披露该经营分部信息对会计信息使用者有用的经营分部确定为报告分部；</w:t>
      </w:r>
    </w:p>
    <w:p>
      <w:pPr>
        <w:pStyle w:val="BodyText"/>
        <w:spacing w:line="256" w:lineRule="auto" w:before="21"/>
        <w:ind w:left="474" w:right="1197"/>
        <w:jc w:val="left"/>
      </w:pPr>
      <w:r>
        <w:rPr>
          <w:rFonts w:ascii="Times New Roman" w:hAnsi="Times New Roman" w:cs="Times New Roman" w:eastAsia="Times New Roman" w:hint="default"/>
        </w:rPr>
        <w:t>2</w:t>
      </w:r>
      <w:r>
        <w:rPr/>
        <w:t>）将该经营分部与一个或一个以上的具有相似经济特征、满足经营分部合并条件的其他经营分部合并， 作为一个报告分部。</w:t>
      </w:r>
    </w:p>
    <w:p>
      <w:pPr>
        <w:pStyle w:val="BodyText"/>
        <w:spacing w:line="273" w:lineRule="auto" w:before="23"/>
        <w:ind w:left="474" w:right="1092" w:firstLine="420"/>
        <w:jc w:val="left"/>
      </w:pPr>
      <w:r>
        <w:rPr>
          <w:spacing w:val="-1"/>
        </w:rPr>
        <w:t>分部间转移价格参照市场价格确定，与各分部共同使用的资产、相关的费用按照收入比例在不同的分</w:t>
      </w:r>
      <w:r>
        <w:rPr/>
        <w:t> 部之间分配。</w:t>
      </w:r>
    </w:p>
    <w:p>
      <w:pPr>
        <w:spacing w:line="256" w:lineRule="auto" w:before="7"/>
        <w:ind w:left="894" w:right="10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、本公司确定报告分部考虑的因素、报告分部的产品和劳务的类型</w:t>
      </w:r>
      <w:r>
        <w:rPr>
          <w:rFonts w:ascii="宋体" w:hAnsi="宋体" w:cs="宋体" w:eastAsia="宋体" w:hint="default"/>
          <w:b/>
          <w:bCs/>
          <w:w w:val="99"/>
          <w:sz w:val="21"/>
          <w:szCs w:val="21"/>
        </w:rPr>
        <w:t> </w:t>
      </w:r>
      <w:r>
        <w:rPr>
          <w:rFonts w:ascii="宋体" w:hAnsi="宋体" w:cs="宋体" w:eastAsia="宋体" w:hint="default"/>
          <w:sz w:val="21"/>
          <w:szCs w:val="21"/>
        </w:rPr>
        <w:t>本公司的报告分部都是提供不同产品和劳务的业务单元。由于各种业务需要不同的技术和市场战略，</w:t>
      </w:r>
    </w:p>
    <w:p>
      <w:pPr>
        <w:pStyle w:val="BodyText"/>
        <w:spacing w:line="273" w:lineRule="auto" w:before="22"/>
        <w:ind w:left="474" w:right="1092"/>
        <w:jc w:val="left"/>
      </w:pPr>
      <w:r>
        <w:rPr>
          <w:spacing w:val="-1"/>
        </w:rPr>
        <w:t>因此本公司分别独立管理各个报告分部的生产经营活动，分别评价其经营成果，以决定向其配置资源、评</w:t>
      </w:r>
      <w:r>
        <w:rPr>
          <w:spacing w:val="-83"/>
        </w:rPr>
        <w:t> </w:t>
      </w:r>
      <w:r>
        <w:rPr>
          <w:spacing w:val="-83"/>
        </w:rPr>
      </w:r>
      <w:r>
        <w:rPr/>
        <w:t>价其业绩。</w:t>
      </w:r>
    </w:p>
    <w:p>
      <w:pPr>
        <w:pStyle w:val="BodyText"/>
        <w:spacing w:line="240" w:lineRule="auto"/>
        <w:ind w:left="894" w:right="1092"/>
        <w:jc w:val="left"/>
      </w:pPr>
      <w:r>
        <w:rPr/>
        <w:t>本公司有</w:t>
      </w:r>
      <w:r>
        <w:rPr>
          <w:rFonts w:ascii="Times New Roman" w:hAnsi="Times New Roman" w:cs="Times New Roman" w:eastAsia="Times New Roman" w:hint="default"/>
        </w:rPr>
        <w:t>2</w:t>
      </w:r>
      <w:r>
        <w:rPr/>
        <w:t>个报告分部：制造业分部和服务业分部。</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6"/>
        <w:spacing w:line="240" w:lineRule="auto"/>
        <w:ind w:left="474" w:right="1092"/>
        <w:jc w:val="left"/>
        <w:rPr>
          <w:b w:val="0"/>
          <w:bCs w:val="0"/>
        </w:rPr>
      </w:pPr>
      <w:bookmarkStart w:name="（2）报告分部的财务信息" w:id="353"/>
      <w:bookmarkEnd w:id="35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48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12" w:right="0"/>
              <w:jc w:val="left"/>
              <w:rPr>
                <w:rFonts w:ascii="宋体" w:hAnsi="宋体" w:cs="宋体" w:eastAsia="宋体" w:hint="default"/>
                <w:sz w:val="18"/>
                <w:szCs w:val="18"/>
              </w:rPr>
            </w:pPr>
            <w:r>
              <w:rPr>
                <w:rFonts w:ascii="宋体" w:hAnsi="宋体" w:cs="宋体" w:eastAsia="宋体" w:hint="default"/>
                <w:sz w:val="18"/>
                <w:szCs w:val="18"/>
              </w:rPr>
              <w:t>制造业分部</w:t>
            </w:r>
          </w:p>
        </w:tc>
        <w:tc>
          <w:tcPr>
            <w:tcW w:w="1914"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服务业分部</w:t>
            </w:r>
          </w:p>
        </w:tc>
        <w:tc>
          <w:tcPr>
            <w:tcW w:w="1914"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营业总收入</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891,699,860.80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88,067,407.77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107,061,393.10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872,705,875.47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营业总成本</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841,655,945.11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59,782,886.48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107,061,393.10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794,377,438.49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利润总额（亏损）</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68,124,790.67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23,784,335.97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1,972,140.00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89,936,986.64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净利润（亏损）</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63,019,280.35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16,728,428.38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1,972,140.00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77,775,568.73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  </w:t>
            </w:r>
            <w:r>
              <w:rPr>
                <w:rFonts w:ascii="宋体" w:hAnsi="宋体" w:cs="宋体" w:eastAsia="宋体" w:hint="default"/>
                <w:sz w:val="18"/>
                <w:szCs w:val="18"/>
              </w:rPr>
              <w:t>资产总额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6,924,421,600.93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167,711,290.48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1,996,644,795.77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5,095,488,095.64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  </w:t>
            </w:r>
            <w:r>
              <w:rPr>
                <w:rFonts w:ascii="宋体" w:hAnsi="宋体" w:cs="宋体" w:eastAsia="宋体" w:hint="default"/>
                <w:sz w:val="18"/>
                <w:szCs w:val="18"/>
              </w:rPr>
              <w:t>负债总额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2,705,954,828.34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21,487,625.69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745,399,444.09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1,982,043,009.94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660" w:right="0"/>
        </w:sectPr>
      </w:pPr>
    </w:p>
    <w:p>
      <w:pPr>
        <w:spacing w:line="240" w:lineRule="auto" w:before="10"/>
        <w:rPr>
          <w:rFonts w:ascii="宋体" w:hAnsi="宋体" w:cs="宋体" w:eastAsia="宋体" w:hint="default"/>
          <w:sz w:val="24"/>
          <w:szCs w:val="24"/>
        </w:rPr>
      </w:pPr>
    </w:p>
    <w:p>
      <w:pPr>
        <w:pStyle w:val="Heading6"/>
        <w:spacing w:line="240" w:lineRule="auto" w:before="35"/>
        <w:ind w:right="1034"/>
        <w:jc w:val="left"/>
        <w:rPr>
          <w:b w:val="0"/>
          <w:bCs w:val="0"/>
        </w:rPr>
      </w:pPr>
      <w:bookmarkStart w:name="（3）其他说明" w:id="354"/>
      <w:bookmarkEnd w:id="354"/>
      <w:r>
        <w:rPr>
          <w:b w:val="0"/>
          <w:bCs w:val="0"/>
        </w:rPr>
      </w:r>
      <w:r>
        <w:rPr/>
        <w:t>（</w:t>
      </w:r>
      <w:r>
        <w:rPr>
          <w:rFonts w:ascii="Times New Roman" w:hAnsi="Times New Roman" w:cs="Times New Roman" w:eastAsia="Times New Roman" w:hint="default"/>
        </w:rPr>
        <w:t>3</w:t>
      </w:r>
      <w:r>
        <w:rPr/>
        <w:t>）其他说明</w:t>
      </w:r>
      <w:r>
        <w:rPr>
          <w:b w:val="0"/>
          <w:bCs w:val="0"/>
        </w:rPr>
      </w:r>
    </w:p>
    <w:p>
      <w:pPr>
        <w:spacing w:line="590" w:lineRule="atLeast" w:before="23"/>
        <w:ind w:left="573" w:right="1034" w:hanging="420"/>
        <w:jc w:val="left"/>
        <w:rPr>
          <w:rFonts w:ascii="宋体" w:hAnsi="宋体" w:cs="宋体" w:eastAsia="宋体" w:hint="default"/>
          <w:sz w:val="21"/>
          <w:szCs w:val="21"/>
        </w:rPr>
      </w:pPr>
      <w:bookmarkStart w:name="2、其他对投资者决策有影响的重要交易和事项" w:id="355"/>
      <w:bookmarkEnd w:id="3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、其他对投资者决策有影响的重要交易和事项</w:t>
      </w:r>
      <w:r>
        <w:rPr>
          <w:rFonts w:ascii="宋体" w:hAnsi="宋体" w:cs="宋体" w:eastAsia="宋体" w:hint="default"/>
          <w:b/>
          <w:bCs/>
          <w:w w:val="99"/>
          <w:sz w:val="21"/>
          <w:szCs w:val="21"/>
        </w:rPr>
        <w:t> </w:t>
      </w:r>
      <w:r>
        <w:rPr>
          <w:rFonts w:ascii="宋体" w:hAnsi="宋体" w:cs="宋体" w:eastAsia="宋体" w:hint="default"/>
          <w:spacing w:val="-1"/>
          <w:sz w:val="21"/>
          <w:szCs w:val="21"/>
        </w:rPr>
        <w:t>经公司第六届董事会第二十一次会议通过了的《关于公司非公开发行股票方案的议案》，同意公司向</w:t>
      </w:r>
    </w:p>
    <w:p>
      <w:pPr>
        <w:pStyle w:val="BodyText"/>
        <w:spacing w:line="273" w:lineRule="auto" w:before="37"/>
        <w:ind w:left="573" w:right="3613" w:hanging="420"/>
        <w:jc w:val="left"/>
      </w:pPr>
      <w:r>
        <w:rPr/>
        <w:t>特定对象非公开发行股票。截止财务报告日，上述工作仍在进行中。 除上述情况外，截至本财务报告日止，无应披露未披露的其他重要事项。</w:t>
      </w:r>
    </w:p>
    <w:p>
      <w:pPr>
        <w:spacing w:line="240" w:lineRule="auto" w:before="8"/>
        <w:rPr>
          <w:rFonts w:ascii="宋体" w:hAnsi="宋体" w:cs="宋体" w:eastAsia="宋体" w:hint="default"/>
          <w:sz w:val="23"/>
          <w:szCs w:val="23"/>
        </w:rPr>
      </w:pPr>
    </w:p>
    <w:p>
      <w:pPr>
        <w:pStyle w:val="Heading6"/>
        <w:spacing w:line="240" w:lineRule="auto"/>
        <w:ind w:right="1034"/>
        <w:jc w:val="left"/>
        <w:rPr>
          <w:b w:val="0"/>
          <w:bCs w:val="0"/>
        </w:rPr>
      </w:pPr>
      <w:bookmarkStart w:name="3、其他" w:id="356"/>
      <w:bookmarkEnd w:id="356"/>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1235"/>
        <w:gridCol w:w="2132"/>
        <w:gridCol w:w="1048"/>
        <w:gridCol w:w="1731"/>
        <w:gridCol w:w="1233"/>
        <w:gridCol w:w="1376"/>
      </w:tblGrid>
      <w:tr>
        <w:trPr>
          <w:trHeight w:val="667" w:hRule="exact"/>
        </w:trPr>
        <w:tc>
          <w:tcPr>
            <w:tcW w:w="1235" w:type="dxa"/>
            <w:tcBorders>
              <w:top w:val="single" w:sz="6"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378"/>
              <w:jc w:val="right"/>
              <w:rPr>
                <w:rFonts w:ascii="宋体" w:hAnsi="宋体" w:cs="宋体" w:eastAsia="宋体" w:hint="default"/>
                <w:sz w:val="21"/>
                <w:szCs w:val="21"/>
              </w:rPr>
            </w:pPr>
            <w:r>
              <w:rPr>
                <w:rFonts w:ascii="宋体" w:hAnsi="宋体" w:cs="宋体" w:eastAsia="宋体" w:hint="default"/>
                <w:b/>
                <w:bCs/>
                <w:sz w:val="21"/>
                <w:szCs w:val="21"/>
              </w:rPr>
              <w:t>重大诉讼</w:t>
            </w:r>
            <w:r>
              <w:rPr>
                <w:rFonts w:ascii="宋体" w:hAnsi="宋体" w:cs="宋体" w:eastAsia="宋体" w:hint="default"/>
                <w:sz w:val="21"/>
                <w:szCs w:val="21"/>
              </w:rPr>
            </w:r>
          </w:p>
        </w:tc>
        <w:tc>
          <w:tcPr>
            <w:tcW w:w="2132" w:type="dxa"/>
            <w:tcBorders>
              <w:top w:val="single" w:sz="6" w:space="0" w:color="000000"/>
              <w:left w:val="nil" w:sz="6" w:space="0" w:color="auto"/>
              <w:bottom w:val="single" w:sz="12" w:space="0" w:color="000000"/>
              <w:right w:val="nil" w:sz="6" w:space="0" w:color="auto"/>
            </w:tcBorders>
          </w:tcPr>
          <w:p>
            <w:pPr/>
          </w:p>
        </w:tc>
        <w:tc>
          <w:tcPr>
            <w:tcW w:w="1048" w:type="dxa"/>
            <w:tcBorders>
              <w:top w:val="single" w:sz="6" w:space="0" w:color="000000"/>
              <w:left w:val="nil" w:sz="6" w:space="0" w:color="auto"/>
              <w:bottom w:val="single" w:sz="12" w:space="0" w:color="000000"/>
              <w:right w:val="nil" w:sz="6" w:space="0" w:color="auto"/>
            </w:tcBorders>
          </w:tcPr>
          <w:p>
            <w:pPr/>
          </w:p>
        </w:tc>
        <w:tc>
          <w:tcPr>
            <w:tcW w:w="1731" w:type="dxa"/>
            <w:tcBorders>
              <w:top w:val="single" w:sz="6" w:space="0" w:color="000000"/>
              <w:left w:val="nil" w:sz="6" w:space="0" w:color="auto"/>
              <w:bottom w:val="single" w:sz="12" w:space="0" w:color="000000"/>
              <w:right w:val="nil" w:sz="6" w:space="0" w:color="auto"/>
            </w:tcBorders>
          </w:tcPr>
          <w:p>
            <w:pPr/>
          </w:p>
        </w:tc>
        <w:tc>
          <w:tcPr>
            <w:tcW w:w="1233" w:type="dxa"/>
            <w:tcBorders>
              <w:top w:val="single" w:sz="6" w:space="0" w:color="000000"/>
              <w:left w:val="nil" w:sz="6" w:space="0" w:color="auto"/>
              <w:bottom w:val="single" w:sz="12" w:space="0" w:color="000000"/>
              <w:right w:val="nil" w:sz="6" w:space="0" w:color="auto"/>
            </w:tcBorders>
          </w:tcPr>
          <w:p>
            <w:pPr/>
          </w:p>
        </w:tc>
        <w:tc>
          <w:tcPr>
            <w:tcW w:w="1376" w:type="dxa"/>
            <w:tcBorders>
              <w:top w:val="single" w:sz="6" w:space="0" w:color="000000"/>
              <w:left w:val="nil" w:sz="6" w:space="0" w:color="auto"/>
              <w:bottom w:val="single" w:sz="12" w:space="0" w:color="000000"/>
              <w:right w:val="nil" w:sz="6" w:space="0" w:color="auto"/>
            </w:tcBorders>
          </w:tcPr>
          <w:p>
            <w:pPr/>
          </w:p>
        </w:tc>
      </w:tr>
      <w:tr>
        <w:trPr>
          <w:trHeight w:val="353" w:hRule="exact"/>
        </w:trPr>
        <w:tc>
          <w:tcPr>
            <w:tcW w:w="12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436"/>
              <w:jc w:val="right"/>
              <w:rPr>
                <w:rFonts w:ascii="宋体" w:hAnsi="宋体" w:cs="宋体" w:eastAsia="宋体" w:hint="default"/>
                <w:sz w:val="18"/>
                <w:szCs w:val="18"/>
              </w:rPr>
            </w:pPr>
            <w:r>
              <w:rPr>
                <w:rFonts w:ascii="宋体" w:hAnsi="宋体" w:cs="宋体" w:eastAsia="宋体" w:hint="default"/>
                <w:sz w:val="18"/>
                <w:szCs w:val="18"/>
              </w:rPr>
              <w:t>原告</w:t>
            </w: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152"/>
              <w:jc w:val="center"/>
              <w:rPr>
                <w:rFonts w:ascii="宋体" w:hAnsi="宋体" w:cs="宋体" w:eastAsia="宋体" w:hint="default"/>
                <w:sz w:val="18"/>
                <w:szCs w:val="18"/>
              </w:rPr>
            </w:pPr>
            <w:r>
              <w:rPr>
                <w:rFonts w:ascii="宋体" w:hAnsi="宋体" w:cs="宋体" w:eastAsia="宋体" w:hint="default"/>
                <w:sz w:val="18"/>
                <w:szCs w:val="18"/>
              </w:rPr>
              <w:t>被告</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案由</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68"/>
              <w:jc w:val="center"/>
              <w:rPr>
                <w:rFonts w:ascii="宋体" w:hAnsi="宋体" w:cs="宋体" w:eastAsia="宋体" w:hint="default"/>
                <w:sz w:val="18"/>
                <w:szCs w:val="18"/>
              </w:rPr>
            </w:pPr>
            <w:r>
              <w:rPr>
                <w:rFonts w:ascii="宋体" w:hAnsi="宋体" w:cs="宋体" w:eastAsia="宋体" w:hint="default"/>
                <w:sz w:val="18"/>
                <w:szCs w:val="18"/>
              </w:rPr>
              <w:t>受理法院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34" w:right="0"/>
              <w:jc w:val="left"/>
              <w:rPr>
                <w:rFonts w:ascii="宋体" w:hAnsi="宋体" w:cs="宋体" w:eastAsia="宋体" w:hint="default"/>
                <w:sz w:val="18"/>
                <w:szCs w:val="18"/>
              </w:rPr>
            </w:pPr>
            <w:r>
              <w:rPr>
                <w:rFonts w:ascii="宋体" w:hAnsi="宋体" w:cs="宋体" w:eastAsia="宋体" w:hint="default"/>
                <w:sz w:val="18"/>
                <w:szCs w:val="18"/>
              </w:rPr>
              <w:t>标的额</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案件进展情况</w:t>
            </w:r>
          </w:p>
        </w:tc>
      </w:tr>
      <w:tr>
        <w:trPr>
          <w:trHeight w:val="976" w:hRule="exact"/>
        </w:trPr>
        <w:tc>
          <w:tcPr>
            <w:tcW w:w="1235" w:type="dxa"/>
            <w:tcBorders>
              <w:top w:val="single" w:sz="12" w:space="0" w:color="000000"/>
              <w:left w:val="nil" w:sz="6" w:space="0" w:color="auto"/>
              <w:bottom w:val="nil" w:sz="6" w:space="0" w:color="auto"/>
              <w:right w:val="nil" w:sz="6" w:space="0" w:color="auto"/>
            </w:tcBorders>
          </w:tcPr>
          <w:p>
            <w:pPr>
              <w:pStyle w:val="TableParagraph"/>
              <w:spacing w:line="316" w:lineRule="auto" w:before="10"/>
              <w:ind w:left="9" w:right="143"/>
              <w:jc w:val="both"/>
              <w:rPr>
                <w:rFonts w:ascii="宋体" w:hAnsi="宋体" w:cs="宋体" w:eastAsia="宋体" w:hint="default"/>
                <w:sz w:val="18"/>
                <w:szCs w:val="18"/>
              </w:rPr>
            </w:pPr>
            <w:r>
              <w:rPr>
                <w:rFonts w:ascii="宋体" w:hAnsi="宋体" w:cs="宋体" w:eastAsia="宋体" w:hint="default"/>
                <w:sz w:val="18"/>
                <w:szCs w:val="18"/>
              </w:rPr>
              <w:t>安徽中电兴发 与鑫龙科技股 份有限公司</w:t>
            </w: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2"/>
              <w:jc w:val="both"/>
              <w:rPr>
                <w:rFonts w:ascii="宋体" w:hAnsi="宋体" w:cs="宋体" w:eastAsia="宋体" w:hint="default"/>
                <w:sz w:val="18"/>
                <w:szCs w:val="18"/>
              </w:rPr>
            </w:pPr>
            <w:r>
              <w:rPr>
                <w:rFonts w:ascii="宋体" w:hAnsi="宋体" w:cs="宋体" w:eastAsia="宋体" w:hint="default"/>
                <w:spacing w:val="15"/>
                <w:sz w:val="18"/>
                <w:szCs w:val="18"/>
              </w:rPr>
              <w:t>中铁电气局集团客运专</w:t>
            </w:r>
            <w:r>
              <w:rPr>
                <w:rFonts w:ascii="宋体" w:hAnsi="宋体" w:cs="宋体" w:eastAsia="宋体" w:hint="default"/>
                <w:sz w:val="18"/>
                <w:szCs w:val="18"/>
              </w:rPr>
              <w:t> </w:t>
            </w:r>
            <w:r>
              <w:rPr>
                <w:rFonts w:ascii="宋体" w:hAnsi="宋体" w:cs="宋体" w:eastAsia="宋体" w:hint="default"/>
                <w:spacing w:val="-2"/>
                <w:sz w:val="18"/>
                <w:szCs w:val="18"/>
              </w:rPr>
              <w:t>线系统集成事业部（温福</w:t>
            </w:r>
            <w:r>
              <w:rPr>
                <w:rFonts w:ascii="宋体" w:hAnsi="宋体" w:cs="宋体" w:eastAsia="宋体" w:hint="default"/>
                <w:sz w:val="18"/>
                <w:szCs w:val="18"/>
              </w:rPr>
              <w:t> 客运专线）</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63" w:right="232"/>
              <w:jc w:val="left"/>
              <w:rPr>
                <w:rFonts w:ascii="宋体" w:hAnsi="宋体" w:cs="宋体" w:eastAsia="宋体" w:hint="default"/>
                <w:sz w:val="18"/>
                <w:szCs w:val="18"/>
              </w:rPr>
            </w:pPr>
            <w:r>
              <w:rPr>
                <w:rFonts w:ascii="宋体" w:hAnsi="宋体" w:cs="宋体" w:eastAsia="宋体" w:hint="default"/>
                <w:spacing w:val="9"/>
                <w:sz w:val="18"/>
                <w:szCs w:val="18"/>
              </w:rPr>
              <w:t>芜湖经济技术开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发区人民法院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1,453,256.00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调解中</w:t>
            </w:r>
          </w:p>
        </w:tc>
      </w:tr>
      <w:tr>
        <w:trPr>
          <w:trHeight w:val="664" w:hRule="exact"/>
        </w:trPr>
        <w:tc>
          <w:tcPr>
            <w:tcW w:w="1235" w:type="dxa"/>
            <w:tcBorders>
              <w:top w:val="nil" w:sz="6" w:space="0" w:color="auto"/>
              <w:left w:val="nil" w:sz="6" w:space="0" w:color="auto"/>
              <w:bottom w:val="nil" w:sz="6" w:space="0" w:color="auto"/>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2"/>
              <w:jc w:val="left"/>
              <w:rPr>
                <w:rFonts w:ascii="宋体" w:hAnsi="宋体" w:cs="宋体" w:eastAsia="宋体" w:hint="default"/>
                <w:sz w:val="18"/>
                <w:szCs w:val="18"/>
              </w:rPr>
            </w:pPr>
            <w:r>
              <w:rPr>
                <w:rFonts w:ascii="宋体" w:hAnsi="宋体" w:cs="宋体" w:eastAsia="宋体" w:hint="default"/>
                <w:spacing w:val="15"/>
                <w:sz w:val="18"/>
                <w:szCs w:val="18"/>
              </w:rPr>
              <w:t>内蒙古兴泰房地产开发</w:t>
            </w:r>
            <w:r>
              <w:rPr>
                <w:rFonts w:ascii="宋体" w:hAnsi="宋体" w:cs="宋体" w:eastAsia="宋体" w:hint="default"/>
                <w:sz w:val="18"/>
                <w:szCs w:val="18"/>
              </w:rPr>
              <w:t> 有限责任公司</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63" w:right="232"/>
              <w:jc w:val="left"/>
              <w:rPr>
                <w:rFonts w:ascii="宋体" w:hAnsi="宋体" w:cs="宋体" w:eastAsia="宋体" w:hint="default"/>
                <w:sz w:val="18"/>
                <w:szCs w:val="18"/>
              </w:rPr>
            </w:pPr>
            <w:r>
              <w:rPr>
                <w:rFonts w:ascii="宋体" w:hAnsi="宋体" w:cs="宋体" w:eastAsia="宋体" w:hint="default"/>
                <w:spacing w:val="9"/>
                <w:sz w:val="18"/>
                <w:szCs w:val="18"/>
              </w:rPr>
              <w:t>芜湖市经济技术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开发区人民法院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6,808,584.00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65" w:hRule="exact"/>
        </w:trPr>
        <w:tc>
          <w:tcPr>
            <w:tcW w:w="1235" w:type="dxa"/>
            <w:tcBorders>
              <w:top w:val="nil" w:sz="6" w:space="0" w:color="auto"/>
              <w:left w:val="nil" w:sz="6" w:space="0" w:color="auto"/>
              <w:bottom w:val="nil" w:sz="6" w:space="0" w:color="auto"/>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2"/>
              <w:jc w:val="left"/>
              <w:rPr>
                <w:rFonts w:ascii="宋体" w:hAnsi="宋体" w:cs="宋体" w:eastAsia="宋体" w:hint="default"/>
                <w:sz w:val="18"/>
                <w:szCs w:val="18"/>
              </w:rPr>
            </w:pPr>
            <w:r>
              <w:rPr>
                <w:rFonts w:ascii="宋体" w:hAnsi="宋体" w:cs="宋体" w:eastAsia="宋体" w:hint="default"/>
                <w:spacing w:val="15"/>
                <w:sz w:val="18"/>
                <w:szCs w:val="18"/>
              </w:rPr>
              <w:t>山东埕口盐化有限责任</w:t>
            </w:r>
            <w:r>
              <w:rPr>
                <w:rFonts w:ascii="宋体" w:hAnsi="宋体" w:cs="宋体" w:eastAsia="宋体" w:hint="default"/>
                <w:sz w:val="18"/>
                <w:szCs w:val="18"/>
              </w:rPr>
              <w:t> 公司</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63" w:right="232"/>
              <w:jc w:val="left"/>
              <w:rPr>
                <w:rFonts w:ascii="宋体" w:hAnsi="宋体" w:cs="宋体" w:eastAsia="宋体" w:hint="default"/>
                <w:sz w:val="18"/>
                <w:szCs w:val="18"/>
              </w:rPr>
            </w:pPr>
            <w:r>
              <w:rPr>
                <w:rFonts w:ascii="宋体" w:hAnsi="宋体" w:cs="宋体" w:eastAsia="宋体" w:hint="default"/>
                <w:spacing w:val="9"/>
                <w:sz w:val="18"/>
                <w:szCs w:val="18"/>
              </w:rPr>
              <w:t>滨州市中级人民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5,326,911.27</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被告提起上诉</w:t>
            </w:r>
          </w:p>
        </w:tc>
      </w:tr>
      <w:tr>
        <w:trPr>
          <w:trHeight w:val="1288" w:hRule="exact"/>
        </w:trPr>
        <w:tc>
          <w:tcPr>
            <w:tcW w:w="1235" w:type="dxa"/>
            <w:tcBorders>
              <w:top w:val="nil" w:sz="6" w:space="0" w:color="auto"/>
              <w:left w:val="nil" w:sz="6" w:space="0" w:color="auto"/>
              <w:bottom w:val="nil" w:sz="6" w:space="0" w:color="auto"/>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9" w:lineRule="auto" w:before="10"/>
              <w:ind w:left="9" w:right="162"/>
              <w:jc w:val="both"/>
              <w:rPr>
                <w:rFonts w:ascii="宋体" w:hAnsi="宋体" w:cs="宋体" w:eastAsia="宋体" w:hint="default"/>
                <w:sz w:val="18"/>
                <w:szCs w:val="18"/>
              </w:rPr>
            </w:pPr>
            <w:r>
              <w:rPr>
                <w:rFonts w:ascii="宋体" w:hAnsi="宋体" w:cs="宋体" w:eastAsia="宋体" w:hint="default"/>
                <w:spacing w:val="15"/>
                <w:sz w:val="18"/>
                <w:szCs w:val="18"/>
              </w:rPr>
              <w:t>中冶华天南京电气工程</w:t>
            </w:r>
            <w:r>
              <w:rPr>
                <w:rFonts w:ascii="宋体" w:hAnsi="宋体" w:cs="宋体" w:eastAsia="宋体" w:hint="default"/>
                <w:sz w:val="18"/>
                <w:szCs w:val="18"/>
              </w:rPr>
              <w:t> </w:t>
            </w:r>
            <w:r>
              <w:rPr>
                <w:rFonts w:ascii="宋体" w:hAnsi="宋体" w:cs="宋体" w:eastAsia="宋体" w:hint="default"/>
                <w:spacing w:val="-2"/>
                <w:sz w:val="18"/>
                <w:szCs w:val="18"/>
              </w:rPr>
              <w:t>技术有限公司（原中冶华</w:t>
            </w:r>
            <w:r>
              <w:rPr>
                <w:rFonts w:ascii="宋体" w:hAnsi="宋体" w:cs="宋体" w:eastAsia="宋体" w:hint="default"/>
                <w:sz w:val="18"/>
                <w:szCs w:val="18"/>
              </w:rPr>
              <w:t> </w:t>
            </w:r>
            <w:r>
              <w:rPr>
                <w:rFonts w:ascii="宋体" w:hAnsi="宋体" w:cs="宋体" w:eastAsia="宋体" w:hint="default"/>
                <w:spacing w:val="15"/>
                <w:sz w:val="18"/>
                <w:szCs w:val="18"/>
              </w:rPr>
              <w:t>天南京自动化工程有限</w:t>
            </w:r>
            <w:r>
              <w:rPr>
                <w:rFonts w:ascii="宋体" w:hAnsi="宋体" w:cs="宋体" w:eastAsia="宋体" w:hint="default"/>
                <w:sz w:val="18"/>
                <w:szCs w:val="18"/>
              </w:rPr>
              <w:t> 公司）</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63" w:right="232"/>
              <w:jc w:val="left"/>
              <w:rPr>
                <w:rFonts w:ascii="宋体" w:hAnsi="宋体" w:cs="宋体" w:eastAsia="宋体" w:hint="default"/>
                <w:sz w:val="18"/>
                <w:szCs w:val="18"/>
              </w:rPr>
            </w:pPr>
            <w:r>
              <w:rPr>
                <w:rFonts w:ascii="宋体" w:hAnsi="宋体" w:cs="宋体" w:eastAsia="宋体" w:hint="default"/>
                <w:spacing w:val="9"/>
                <w:sz w:val="18"/>
                <w:szCs w:val="18"/>
              </w:rPr>
              <w:t>芜湖市经济技术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开发区人民法院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4,262,470.74</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64" w:hRule="exact"/>
        </w:trPr>
        <w:tc>
          <w:tcPr>
            <w:tcW w:w="1235" w:type="dxa"/>
            <w:tcBorders>
              <w:top w:val="nil" w:sz="6" w:space="0" w:color="auto"/>
              <w:left w:val="nil" w:sz="6" w:space="0" w:color="auto"/>
              <w:bottom w:val="nil" w:sz="6" w:space="0" w:color="auto"/>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2"/>
              <w:jc w:val="left"/>
              <w:rPr>
                <w:rFonts w:ascii="宋体" w:hAnsi="宋体" w:cs="宋体" w:eastAsia="宋体" w:hint="default"/>
                <w:sz w:val="18"/>
                <w:szCs w:val="18"/>
              </w:rPr>
            </w:pPr>
            <w:r>
              <w:rPr>
                <w:rFonts w:ascii="宋体" w:hAnsi="宋体" w:cs="宋体" w:eastAsia="宋体" w:hint="default"/>
                <w:spacing w:val="15"/>
                <w:sz w:val="18"/>
                <w:szCs w:val="18"/>
              </w:rPr>
              <w:t>中冶华天南京电气工程</w:t>
            </w:r>
            <w:r>
              <w:rPr>
                <w:rFonts w:ascii="宋体" w:hAnsi="宋体" w:cs="宋体" w:eastAsia="宋体" w:hint="default"/>
                <w:sz w:val="18"/>
                <w:szCs w:val="18"/>
              </w:rPr>
              <w:t> 技术有限公司</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63" w:right="232"/>
              <w:jc w:val="left"/>
              <w:rPr>
                <w:rFonts w:ascii="宋体" w:hAnsi="宋体" w:cs="宋体" w:eastAsia="宋体" w:hint="default"/>
                <w:sz w:val="18"/>
                <w:szCs w:val="18"/>
              </w:rPr>
            </w:pPr>
            <w:r>
              <w:rPr>
                <w:rFonts w:ascii="宋体" w:hAnsi="宋体" w:cs="宋体" w:eastAsia="宋体" w:hint="default"/>
                <w:spacing w:val="9"/>
                <w:sz w:val="18"/>
                <w:szCs w:val="18"/>
              </w:rPr>
              <w:t>芜湖市经济技术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开发区人民法院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3,912,293.00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65" w:hRule="exact"/>
        </w:trPr>
        <w:tc>
          <w:tcPr>
            <w:tcW w:w="1235" w:type="dxa"/>
            <w:tcBorders>
              <w:top w:val="nil" w:sz="6" w:space="0" w:color="auto"/>
              <w:left w:val="nil" w:sz="6" w:space="0" w:color="auto"/>
              <w:bottom w:val="nil" w:sz="6" w:space="0" w:color="auto"/>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2"/>
              <w:jc w:val="left"/>
              <w:rPr>
                <w:rFonts w:ascii="宋体" w:hAnsi="宋体" w:cs="宋体" w:eastAsia="宋体" w:hint="default"/>
                <w:sz w:val="18"/>
                <w:szCs w:val="18"/>
              </w:rPr>
            </w:pPr>
            <w:r>
              <w:rPr>
                <w:rFonts w:ascii="宋体" w:hAnsi="宋体" w:cs="宋体" w:eastAsia="宋体" w:hint="default"/>
                <w:spacing w:val="15"/>
                <w:sz w:val="18"/>
                <w:szCs w:val="18"/>
              </w:rPr>
              <w:t>芜湖市宝能电子信息产</w:t>
            </w:r>
            <w:r>
              <w:rPr>
                <w:rFonts w:ascii="宋体" w:hAnsi="宋体" w:cs="宋体" w:eastAsia="宋体" w:hint="default"/>
                <w:sz w:val="18"/>
                <w:szCs w:val="18"/>
              </w:rPr>
              <w:t> 业园投资有限公司</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63" w:right="232"/>
              <w:jc w:val="left"/>
              <w:rPr>
                <w:rFonts w:ascii="宋体" w:hAnsi="宋体" w:cs="宋体" w:eastAsia="宋体" w:hint="default"/>
                <w:sz w:val="18"/>
                <w:szCs w:val="18"/>
              </w:rPr>
            </w:pPr>
            <w:r>
              <w:rPr>
                <w:rFonts w:ascii="宋体" w:hAnsi="宋体" w:cs="宋体" w:eastAsia="宋体" w:hint="default"/>
                <w:spacing w:val="9"/>
                <w:sz w:val="18"/>
                <w:szCs w:val="18"/>
              </w:rPr>
              <w:t>芜湖市鸠江区人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民法院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3,872,409.40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64" w:hRule="exact"/>
        </w:trPr>
        <w:tc>
          <w:tcPr>
            <w:tcW w:w="1235" w:type="dxa"/>
            <w:tcBorders>
              <w:top w:val="nil" w:sz="6" w:space="0" w:color="auto"/>
              <w:left w:val="nil" w:sz="6" w:space="0" w:color="auto"/>
              <w:bottom w:val="nil" w:sz="6" w:space="0" w:color="auto"/>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2"/>
              <w:jc w:val="left"/>
              <w:rPr>
                <w:rFonts w:ascii="宋体" w:hAnsi="宋体" w:cs="宋体" w:eastAsia="宋体" w:hint="default"/>
                <w:sz w:val="18"/>
                <w:szCs w:val="18"/>
              </w:rPr>
            </w:pPr>
            <w:r>
              <w:rPr>
                <w:rFonts w:ascii="宋体" w:hAnsi="宋体" w:cs="宋体" w:eastAsia="宋体" w:hint="default"/>
                <w:spacing w:val="15"/>
                <w:sz w:val="18"/>
                <w:szCs w:val="18"/>
              </w:rPr>
              <w:t>山东无棣齐星科技铝材</w:t>
            </w:r>
            <w:r>
              <w:rPr>
                <w:rFonts w:ascii="宋体" w:hAnsi="宋体" w:cs="宋体" w:eastAsia="宋体" w:hint="default"/>
                <w:sz w:val="18"/>
                <w:szCs w:val="18"/>
              </w:rPr>
              <w:t> 有限责任公司</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142"/>
              <w:jc w:val="center"/>
              <w:rPr>
                <w:rFonts w:ascii="宋体" w:hAnsi="宋体" w:cs="宋体" w:eastAsia="宋体" w:hint="default"/>
                <w:sz w:val="18"/>
                <w:szCs w:val="18"/>
              </w:rPr>
            </w:pPr>
            <w:r>
              <w:rPr>
                <w:rFonts w:ascii="宋体" w:hAnsi="宋体" w:cs="宋体" w:eastAsia="宋体" w:hint="default"/>
                <w:sz w:val="18"/>
                <w:szCs w:val="18"/>
              </w:rPr>
              <w:t>无棣县人民法院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3,818,430.00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64" w:hRule="exact"/>
        </w:trPr>
        <w:tc>
          <w:tcPr>
            <w:tcW w:w="1235" w:type="dxa"/>
            <w:tcBorders>
              <w:top w:val="nil" w:sz="6" w:space="0" w:color="auto"/>
              <w:left w:val="nil" w:sz="6" w:space="0" w:color="auto"/>
              <w:bottom w:val="nil" w:sz="6" w:space="0" w:color="auto"/>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2"/>
              <w:jc w:val="left"/>
              <w:rPr>
                <w:rFonts w:ascii="宋体" w:hAnsi="宋体" w:cs="宋体" w:eastAsia="宋体" w:hint="default"/>
                <w:sz w:val="18"/>
                <w:szCs w:val="18"/>
              </w:rPr>
            </w:pPr>
            <w:r>
              <w:rPr>
                <w:rFonts w:ascii="宋体" w:hAnsi="宋体" w:cs="宋体" w:eastAsia="宋体" w:hint="default"/>
                <w:spacing w:val="15"/>
                <w:sz w:val="18"/>
                <w:szCs w:val="18"/>
              </w:rPr>
              <w:t>滦平金牛矿业有限责任</w:t>
            </w:r>
            <w:r>
              <w:rPr>
                <w:rFonts w:ascii="宋体" w:hAnsi="宋体" w:cs="宋体" w:eastAsia="宋体" w:hint="default"/>
                <w:sz w:val="18"/>
                <w:szCs w:val="18"/>
              </w:rPr>
              <w:t> 公司</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142"/>
              <w:jc w:val="center"/>
              <w:rPr>
                <w:rFonts w:ascii="宋体" w:hAnsi="宋体" w:cs="宋体" w:eastAsia="宋体" w:hint="default"/>
                <w:sz w:val="18"/>
                <w:szCs w:val="18"/>
              </w:rPr>
            </w:pPr>
            <w:r>
              <w:rPr>
                <w:rFonts w:ascii="宋体" w:hAnsi="宋体" w:cs="宋体" w:eastAsia="宋体" w:hint="default"/>
                <w:sz w:val="18"/>
                <w:szCs w:val="18"/>
              </w:rPr>
              <w:t>滦平县人民法院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3,451,000.00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65" w:hRule="exact"/>
        </w:trPr>
        <w:tc>
          <w:tcPr>
            <w:tcW w:w="1235" w:type="dxa"/>
            <w:tcBorders>
              <w:top w:val="nil" w:sz="6" w:space="0" w:color="auto"/>
              <w:left w:val="nil" w:sz="6" w:space="0" w:color="auto"/>
              <w:bottom w:val="nil" w:sz="6" w:space="0" w:color="auto"/>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2"/>
              <w:jc w:val="left"/>
              <w:rPr>
                <w:rFonts w:ascii="宋体" w:hAnsi="宋体" w:cs="宋体" w:eastAsia="宋体" w:hint="default"/>
                <w:sz w:val="18"/>
                <w:szCs w:val="18"/>
              </w:rPr>
            </w:pPr>
            <w:r>
              <w:rPr>
                <w:rFonts w:ascii="宋体" w:hAnsi="宋体" w:cs="宋体" w:eastAsia="宋体" w:hint="default"/>
                <w:spacing w:val="15"/>
                <w:sz w:val="18"/>
                <w:szCs w:val="18"/>
              </w:rPr>
              <w:t>北京城建集团有限责任</w:t>
            </w:r>
            <w:r>
              <w:rPr>
                <w:rFonts w:ascii="宋体" w:hAnsi="宋体" w:cs="宋体" w:eastAsia="宋体" w:hint="default"/>
                <w:sz w:val="18"/>
                <w:szCs w:val="18"/>
              </w:rPr>
              <w:t> 公司建筑工程总承包部</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63" w:right="232"/>
              <w:jc w:val="left"/>
              <w:rPr>
                <w:rFonts w:ascii="宋体" w:hAnsi="宋体" w:cs="宋体" w:eastAsia="宋体" w:hint="default"/>
                <w:sz w:val="18"/>
                <w:szCs w:val="18"/>
              </w:rPr>
            </w:pPr>
            <w:r>
              <w:rPr>
                <w:rFonts w:ascii="宋体" w:hAnsi="宋体" w:cs="宋体" w:eastAsia="宋体" w:hint="default"/>
                <w:spacing w:val="9"/>
                <w:sz w:val="18"/>
                <w:szCs w:val="18"/>
              </w:rPr>
              <w:t>北京市海淀区人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民法院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3,278,265.00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64" w:hRule="exact"/>
        </w:trPr>
        <w:tc>
          <w:tcPr>
            <w:tcW w:w="1235" w:type="dxa"/>
            <w:tcBorders>
              <w:top w:val="nil" w:sz="6" w:space="0" w:color="auto"/>
              <w:left w:val="nil" w:sz="6" w:space="0" w:color="auto"/>
              <w:bottom w:val="nil" w:sz="6" w:space="0" w:color="auto"/>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2"/>
              <w:jc w:val="left"/>
              <w:rPr>
                <w:rFonts w:ascii="宋体" w:hAnsi="宋体" w:cs="宋体" w:eastAsia="宋体" w:hint="default"/>
                <w:sz w:val="18"/>
                <w:szCs w:val="18"/>
              </w:rPr>
            </w:pPr>
            <w:r>
              <w:rPr>
                <w:rFonts w:ascii="宋体" w:hAnsi="宋体" w:cs="宋体" w:eastAsia="宋体" w:hint="default"/>
                <w:spacing w:val="15"/>
                <w:sz w:val="18"/>
                <w:szCs w:val="18"/>
              </w:rPr>
              <w:t>江苏锦屏建设工程有限</w:t>
            </w:r>
            <w:r>
              <w:rPr>
                <w:rFonts w:ascii="宋体" w:hAnsi="宋体" w:cs="宋体" w:eastAsia="宋体" w:hint="default"/>
                <w:sz w:val="18"/>
                <w:szCs w:val="18"/>
              </w:rPr>
              <w:t> 公司</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63" w:right="232"/>
              <w:jc w:val="left"/>
              <w:rPr>
                <w:rFonts w:ascii="宋体" w:hAnsi="宋体" w:cs="宋体" w:eastAsia="宋体" w:hint="default"/>
                <w:sz w:val="18"/>
                <w:szCs w:val="18"/>
              </w:rPr>
            </w:pPr>
            <w:r>
              <w:rPr>
                <w:rFonts w:ascii="宋体" w:hAnsi="宋体" w:cs="宋体" w:eastAsia="宋体" w:hint="default"/>
                <w:spacing w:val="9"/>
                <w:sz w:val="18"/>
                <w:szCs w:val="18"/>
              </w:rPr>
              <w:t>连云港市海州区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人民法院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1,945,898.00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8"/>
              <w:jc w:val="left"/>
              <w:rPr>
                <w:rFonts w:ascii="宋体" w:hAnsi="宋体" w:cs="宋体" w:eastAsia="宋体" w:hint="default"/>
                <w:sz w:val="18"/>
                <w:szCs w:val="18"/>
              </w:rPr>
            </w:pPr>
            <w:r>
              <w:rPr>
                <w:rFonts w:ascii="宋体" w:hAnsi="宋体" w:cs="宋体" w:eastAsia="宋体" w:hint="default"/>
                <w:spacing w:val="-11"/>
                <w:sz w:val="18"/>
                <w:szCs w:val="18"/>
              </w:rPr>
              <w:t>被告提起上诉，二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审开庭</w:t>
            </w:r>
          </w:p>
        </w:tc>
      </w:tr>
      <w:tr>
        <w:trPr>
          <w:trHeight w:val="664" w:hRule="exact"/>
        </w:trPr>
        <w:tc>
          <w:tcPr>
            <w:tcW w:w="1235" w:type="dxa"/>
            <w:tcBorders>
              <w:top w:val="nil" w:sz="6" w:space="0" w:color="auto"/>
              <w:left w:val="nil" w:sz="6" w:space="0" w:color="auto"/>
              <w:bottom w:val="nil" w:sz="6" w:space="0" w:color="auto"/>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2"/>
              <w:jc w:val="left"/>
              <w:rPr>
                <w:rFonts w:ascii="宋体" w:hAnsi="宋体" w:cs="宋体" w:eastAsia="宋体" w:hint="default"/>
                <w:sz w:val="18"/>
                <w:szCs w:val="18"/>
              </w:rPr>
            </w:pPr>
            <w:r>
              <w:rPr>
                <w:rFonts w:ascii="宋体" w:hAnsi="宋体" w:cs="宋体" w:eastAsia="宋体" w:hint="default"/>
                <w:spacing w:val="15"/>
                <w:sz w:val="18"/>
                <w:szCs w:val="18"/>
              </w:rPr>
              <w:t>宁夏上陵房地产开发有</w:t>
            </w:r>
            <w:r>
              <w:rPr>
                <w:rFonts w:ascii="宋体" w:hAnsi="宋体" w:cs="宋体" w:eastAsia="宋体" w:hint="default"/>
                <w:sz w:val="18"/>
                <w:szCs w:val="18"/>
              </w:rPr>
              <w:t> 限公司青铜峡分公司</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63" w:right="232"/>
              <w:jc w:val="left"/>
              <w:rPr>
                <w:rFonts w:ascii="宋体" w:hAnsi="宋体" w:cs="宋体" w:eastAsia="宋体" w:hint="default"/>
                <w:sz w:val="18"/>
                <w:szCs w:val="18"/>
              </w:rPr>
            </w:pPr>
            <w:r>
              <w:rPr>
                <w:rFonts w:ascii="宋体" w:hAnsi="宋体" w:cs="宋体" w:eastAsia="宋体" w:hint="default"/>
                <w:spacing w:val="9"/>
                <w:sz w:val="18"/>
                <w:szCs w:val="18"/>
              </w:rPr>
              <w:t>宁夏青铜峡市人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民法院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1,592,219.00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65" w:hRule="exact"/>
        </w:trPr>
        <w:tc>
          <w:tcPr>
            <w:tcW w:w="1235" w:type="dxa"/>
            <w:tcBorders>
              <w:top w:val="nil" w:sz="6" w:space="0" w:color="auto"/>
              <w:left w:val="nil" w:sz="6" w:space="0" w:color="auto"/>
              <w:bottom w:val="nil" w:sz="6" w:space="0" w:color="auto"/>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1"/>
              <w:ind w:left="9" w:right="162"/>
              <w:jc w:val="left"/>
              <w:rPr>
                <w:rFonts w:ascii="宋体" w:hAnsi="宋体" w:cs="宋体" w:eastAsia="宋体" w:hint="default"/>
                <w:sz w:val="18"/>
                <w:szCs w:val="18"/>
              </w:rPr>
            </w:pPr>
            <w:r>
              <w:rPr>
                <w:rFonts w:ascii="宋体" w:hAnsi="宋体" w:cs="宋体" w:eastAsia="宋体" w:hint="default"/>
                <w:spacing w:val="15"/>
                <w:sz w:val="18"/>
                <w:szCs w:val="18"/>
              </w:rPr>
              <w:t>霍邱县庆发矿业有限责</w:t>
            </w:r>
            <w:r>
              <w:rPr>
                <w:rFonts w:ascii="宋体" w:hAnsi="宋体" w:cs="宋体" w:eastAsia="宋体" w:hint="default"/>
                <w:sz w:val="18"/>
                <w:szCs w:val="18"/>
              </w:rPr>
              <w:t> 任公司</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1"/>
              <w:ind w:left="163" w:right="232"/>
              <w:jc w:val="left"/>
              <w:rPr>
                <w:rFonts w:ascii="宋体" w:hAnsi="宋体" w:cs="宋体" w:eastAsia="宋体" w:hint="default"/>
                <w:sz w:val="18"/>
                <w:szCs w:val="18"/>
              </w:rPr>
            </w:pPr>
            <w:r>
              <w:rPr>
                <w:rFonts w:ascii="宋体" w:hAnsi="宋体" w:cs="宋体" w:eastAsia="宋体" w:hint="default"/>
                <w:spacing w:val="9"/>
                <w:sz w:val="18"/>
                <w:szCs w:val="18"/>
              </w:rPr>
              <w:t>邯郸市仲裁委员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1,395,402.00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64" w:hRule="exact"/>
        </w:trPr>
        <w:tc>
          <w:tcPr>
            <w:tcW w:w="1235" w:type="dxa"/>
            <w:tcBorders>
              <w:top w:val="nil" w:sz="6" w:space="0" w:color="auto"/>
              <w:left w:val="nil" w:sz="6" w:space="0" w:color="auto"/>
              <w:bottom w:val="single" w:sz="12" w:space="0" w:color="000000"/>
              <w:right w:val="nil" w:sz="6" w:space="0" w:color="auto"/>
            </w:tcBorders>
          </w:tcPr>
          <w:p>
            <w:pPr/>
          </w:p>
        </w:tc>
        <w:tc>
          <w:tcPr>
            <w:tcW w:w="213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2"/>
              <w:jc w:val="left"/>
              <w:rPr>
                <w:rFonts w:ascii="宋体" w:hAnsi="宋体" w:cs="宋体" w:eastAsia="宋体" w:hint="default"/>
                <w:sz w:val="18"/>
                <w:szCs w:val="18"/>
              </w:rPr>
            </w:pPr>
            <w:r>
              <w:rPr>
                <w:rFonts w:ascii="宋体" w:hAnsi="宋体" w:cs="宋体" w:eastAsia="宋体" w:hint="default"/>
                <w:spacing w:val="15"/>
                <w:sz w:val="18"/>
                <w:szCs w:val="18"/>
              </w:rPr>
              <w:t>天津升阳建筑安装工程</w:t>
            </w:r>
            <w:r>
              <w:rPr>
                <w:rFonts w:ascii="宋体" w:hAnsi="宋体" w:cs="宋体" w:eastAsia="宋体" w:hint="default"/>
                <w:sz w:val="18"/>
                <w:szCs w:val="18"/>
              </w:rPr>
              <w:t> 有限公司</w:t>
            </w:r>
          </w:p>
        </w:tc>
        <w:tc>
          <w:tcPr>
            <w:tcW w:w="10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经济纠纷</w:t>
            </w:r>
          </w:p>
        </w:tc>
        <w:tc>
          <w:tcPr>
            <w:tcW w:w="173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63" w:right="232"/>
              <w:jc w:val="left"/>
              <w:rPr>
                <w:rFonts w:ascii="宋体" w:hAnsi="宋体" w:cs="宋体" w:eastAsia="宋体" w:hint="default"/>
                <w:sz w:val="18"/>
                <w:szCs w:val="18"/>
              </w:rPr>
            </w:pPr>
            <w:r>
              <w:rPr>
                <w:rFonts w:ascii="宋体" w:hAnsi="宋体" w:cs="宋体" w:eastAsia="宋体" w:hint="default"/>
                <w:spacing w:val="9"/>
                <w:sz w:val="18"/>
                <w:szCs w:val="18"/>
              </w:rPr>
              <w:t>芜湖经济技术开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发区人民法院</w:t>
            </w:r>
          </w:p>
        </w:tc>
        <w:tc>
          <w:tcPr>
            <w:tcW w:w="12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1,274,373.00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b/>
          <w:bCs/>
          <w:sz w:val="2"/>
          <w:szCs w:val="2"/>
        </w:rPr>
      </w:pPr>
    </w:p>
    <w:tbl>
      <w:tblPr>
        <w:tblW w:w="0" w:type="auto"/>
        <w:jc w:val="left"/>
        <w:tblInd w:w="153" w:type="dxa"/>
        <w:tblLayout w:type="fixed"/>
        <w:tblCellMar>
          <w:top w:w="0" w:type="dxa"/>
          <w:left w:w="0" w:type="dxa"/>
          <w:bottom w:w="0" w:type="dxa"/>
          <w:right w:w="0" w:type="dxa"/>
        </w:tblCellMar>
        <w:tblLook w:val="01E0"/>
      </w:tblPr>
      <w:tblGrid>
        <w:gridCol w:w="1235"/>
        <w:gridCol w:w="1979"/>
        <w:gridCol w:w="1202"/>
        <w:gridCol w:w="1754"/>
        <w:gridCol w:w="1211"/>
        <w:gridCol w:w="1376"/>
      </w:tblGrid>
      <w:tr>
        <w:trPr>
          <w:trHeight w:val="1001" w:hRule="exact"/>
        </w:trPr>
        <w:tc>
          <w:tcPr>
            <w:tcW w:w="1235" w:type="dxa"/>
            <w:tcBorders>
              <w:top w:val="single" w:sz="6" w:space="0" w:color="000000"/>
              <w:left w:val="nil" w:sz="6" w:space="0" w:color="auto"/>
              <w:bottom w:val="nil" w:sz="6" w:space="0" w:color="auto"/>
              <w:right w:val="nil" w:sz="6" w:space="0" w:color="auto"/>
            </w:tcBorders>
          </w:tcPr>
          <w:p>
            <w:pPr/>
          </w:p>
        </w:tc>
        <w:tc>
          <w:tcPr>
            <w:tcW w:w="1979" w:type="dxa"/>
            <w:tcBorders>
              <w:top w:val="single" w:sz="6" w:space="0" w:color="000000"/>
              <w:left w:val="nil" w:sz="6" w:space="0" w:color="auto"/>
              <w:bottom w:val="single" w:sz="12" w:space="0" w:color="000000"/>
              <w:right w:val="nil" w:sz="6" w:space="0" w:color="auto"/>
            </w:tcBorders>
          </w:tcPr>
          <w:p>
            <w:pPr>
              <w:pStyle w:val="TableParagraph"/>
              <w:spacing w:line="273" w:lineRule="auto"/>
              <w:ind w:left="9" w:right="9"/>
              <w:jc w:val="left"/>
              <w:rPr>
                <w:rFonts w:ascii="宋体" w:hAnsi="宋体" w:cs="宋体" w:eastAsia="宋体" w:hint="default"/>
                <w:sz w:val="21"/>
                <w:szCs w:val="21"/>
              </w:rPr>
            </w:pPr>
            <w:r>
              <w:rPr>
                <w:rFonts w:ascii="宋体" w:hAnsi="宋体" w:cs="宋体" w:eastAsia="宋体" w:hint="default"/>
                <w:spacing w:val="7"/>
                <w:sz w:val="21"/>
                <w:szCs w:val="21"/>
              </w:rPr>
              <w:t>山东滨源化学有限公</w:t>
            </w:r>
            <w:r>
              <w:rPr>
                <w:rFonts w:ascii="宋体" w:hAnsi="宋体" w:cs="宋体" w:eastAsia="宋体" w:hint="default"/>
                <w:sz w:val="21"/>
                <w:szCs w:val="21"/>
              </w:rPr>
              <w:t> 司</w:t>
            </w:r>
          </w:p>
        </w:tc>
        <w:tc>
          <w:tcPr>
            <w:tcW w:w="1202"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right="161"/>
              <w:jc w:val="right"/>
              <w:rPr>
                <w:rFonts w:ascii="宋体" w:hAnsi="宋体" w:cs="宋体" w:eastAsia="宋体" w:hint="default"/>
                <w:sz w:val="18"/>
                <w:szCs w:val="18"/>
              </w:rPr>
            </w:pPr>
            <w:r>
              <w:rPr>
                <w:rFonts w:ascii="宋体" w:hAnsi="宋体" w:cs="宋体" w:eastAsia="宋体" w:hint="default"/>
                <w:sz w:val="18"/>
                <w:szCs w:val="18"/>
              </w:rPr>
              <w:t>经济纠纷</w:t>
            </w:r>
          </w:p>
        </w:tc>
        <w:tc>
          <w:tcPr>
            <w:tcW w:w="1754"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163" w:right="0"/>
              <w:jc w:val="left"/>
              <w:rPr>
                <w:rFonts w:ascii="宋体" w:hAnsi="宋体" w:cs="宋体" w:eastAsia="宋体" w:hint="default"/>
                <w:sz w:val="18"/>
                <w:szCs w:val="18"/>
              </w:rPr>
            </w:pPr>
            <w:r>
              <w:rPr>
                <w:rFonts w:ascii="宋体" w:hAnsi="宋体" w:cs="宋体" w:eastAsia="宋体" w:hint="default"/>
                <w:sz w:val="18"/>
                <w:szCs w:val="18"/>
              </w:rPr>
              <w:t>利津县人民法院</w:t>
            </w:r>
          </w:p>
        </w:tc>
        <w:tc>
          <w:tcPr>
            <w:tcW w:w="1211" w:type="dxa"/>
            <w:tcBorders>
              <w:top w:val="single" w:sz="6" w:space="0" w:color="000000"/>
              <w:left w:val="nil" w:sz="6" w:space="0" w:color="auto"/>
              <w:bottom w:val="single" w:sz="12"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6,205,000.00</w:t>
            </w:r>
          </w:p>
        </w:tc>
        <w:tc>
          <w:tcPr>
            <w:tcW w:w="1376"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64" w:hRule="exact"/>
        </w:trPr>
        <w:tc>
          <w:tcPr>
            <w:tcW w:w="1235" w:type="dxa"/>
            <w:tcBorders>
              <w:top w:val="nil" w:sz="6" w:space="0" w:color="auto"/>
              <w:left w:val="nil" w:sz="6" w:space="0" w:color="auto"/>
              <w:bottom w:val="single" w:sz="12" w:space="0" w:color="000000"/>
              <w:right w:val="nil" w:sz="6" w:space="0" w:color="auto"/>
            </w:tcBorders>
          </w:tcPr>
          <w:p>
            <w:pPr/>
          </w:p>
        </w:tc>
        <w:tc>
          <w:tcPr>
            <w:tcW w:w="1979"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9"/>
              <w:jc w:val="left"/>
              <w:rPr>
                <w:rFonts w:ascii="宋体" w:hAnsi="宋体" w:cs="宋体" w:eastAsia="宋体" w:hint="default"/>
                <w:sz w:val="18"/>
                <w:szCs w:val="18"/>
              </w:rPr>
            </w:pPr>
            <w:r>
              <w:rPr>
                <w:rFonts w:ascii="宋体" w:hAnsi="宋体" w:cs="宋体" w:eastAsia="宋体" w:hint="default"/>
                <w:spacing w:val="15"/>
                <w:sz w:val="18"/>
                <w:szCs w:val="18"/>
              </w:rPr>
              <w:t>合肥市荣盛电力设备安</w:t>
            </w:r>
            <w:r>
              <w:rPr>
                <w:rFonts w:ascii="宋体" w:hAnsi="宋体" w:cs="宋体" w:eastAsia="宋体" w:hint="default"/>
                <w:sz w:val="18"/>
                <w:szCs w:val="18"/>
              </w:rPr>
              <w:t> 装有限公司</w:t>
            </w:r>
          </w:p>
        </w:tc>
        <w:tc>
          <w:tcPr>
            <w:tcW w:w="12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161"/>
              <w:jc w:val="right"/>
              <w:rPr>
                <w:rFonts w:ascii="宋体" w:hAnsi="宋体" w:cs="宋体" w:eastAsia="宋体" w:hint="default"/>
                <w:sz w:val="18"/>
                <w:szCs w:val="18"/>
              </w:rPr>
            </w:pPr>
            <w:r>
              <w:rPr>
                <w:rFonts w:ascii="宋体" w:hAnsi="宋体" w:cs="宋体" w:eastAsia="宋体" w:hint="default"/>
                <w:sz w:val="18"/>
                <w:szCs w:val="18"/>
              </w:rPr>
              <w:t>经济纠纷</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63" w:right="254"/>
              <w:jc w:val="left"/>
              <w:rPr>
                <w:rFonts w:ascii="宋体" w:hAnsi="宋体" w:cs="宋体" w:eastAsia="宋体" w:hint="default"/>
                <w:sz w:val="18"/>
                <w:szCs w:val="18"/>
              </w:rPr>
            </w:pPr>
            <w:r>
              <w:rPr>
                <w:rFonts w:ascii="宋体" w:hAnsi="宋体" w:cs="宋体" w:eastAsia="宋体" w:hint="default"/>
                <w:spacing w:val="9"/>
                <w:sz w:val="18"/>
                <w:szCs w:val="18"/>
              </w:rPr>
              <w:t>芜湖市经济技术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开发区法院</w:t>
            </w:r>
          </w:p>
        </w:tc>
        <w:tc>
          <w:tcPr>
            <w:tcW w:w="12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1,060,546.00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977" w:hRule="exact"/>
        </w:trPr>
        <w:tc>
          <w:tcPr>
            <w:tcW w:w="1235" w:type="dxa"/>
            <w:tcBorders>
              <w:top w:val="single" w:sz="12" w:space="0" w:color="000000"/>
              <w:left w:val="nil" w:sz="6" w:space="0" w:color="auto"/>
              <w:bottom w:val="single" w:sz="12" w:space="0" w:color="000000"/>
              <w:right w:val="nil" w:sz="6" w:space="0" w:color="auto"/>
            </w:tcBorders>
          </w:tcPr>
          <w:p>
            <w:pPr>
              <w:pStyle w:val="TableParagraph"/>
              <w:spacing w:line="316" w:lineRule="auto" w:before="11"/>
              <w:ind w:left="9" w:right="10"/>
              <w:jc w:val="both"/>
              <w:rPr>
                <w:rFonts w:ascii="宋体" w:hAnsi="宋体" w:cs="宋体" w:eastAsia="宋体" w:hint="default"/>
                <w:sz w:val="18"/>
                <w:szCs w:val="18"/>
              </w:rPr>
            </w:pPr>
            <w:r>
              <w:rPr>
                <w:rFonts w:ascii="宋体" w:hAnsi="宋体" w:cs="宋体" w:eastAsia="宋体" w:hint="default"/>
                <w:sz w:val="18"/>
                <w:szCs w:val="18"/>
              </w:rPr>
              <w:t>芜</w:t>
            </w:r>
            <w:r>
              <w:rPr>
                <w:rFonts w:ascii="宋体" w:hAnsi="宋体" w:cs="宋体" w:eastAsia="宋体" w:hint="default"/>
                <w:spacing w:val="-63"/>
                <w:sz w:val="18"/>
                <w:szCs w:val="18"/>
              </w:rPr>
              <w:t> </w:t>
            </w:r>
            <w:r>
              <w:rPr>
                <w:rFonts w:ascii="宋体" w:hAnsi="宋体" w:cs="宋体" w:eastAsia="宋体" w:hint="default"/>
                <w:sz w:val="18"/>
                <w:szCs w:val="18"/>
              </w:rPr>
              <w:t>湖</w:t>
            </w:r>
            <w:r>
              <w:rPr>
                <w:rFonts w:ascii="宋体" w:hAnsi="宋体" w:cs="宋体" w:eastAsia="宋体" w:hint="default"/>
                <w:spacing w:val="-64"/>
                <w:sz w:val="18"/>
                <w:szCs w:val="18"/>
              </w:rPr>
              <w:t> </w:t>
            </w:r>
            <w:r>
              <w:rPr>
                <w:rFonts w:ascii="宋体" w:hAnsi="宋体" w:cs="宋体" w:eastAsia="宋体" w:hint="default"/>
                <w:sz w:val="18"/>
                <w:szCs w:val="18"/>
              </w:rPr>
              <w:t>顺</w:t>
            </w:r>
            <w:r>
              <w:rPr>
                <w:rFonts w:ascii="宋体" w:hAnsi="宋体" w:cs="宋体" w:eastAsia="宋体" w:hint="default"/>
                <w:spacing w:val="-63"/>
                <w:sz w:val="18"/>
                <w:szCs w:val="18"/>
              </w:rPr>
              <w:t> </w:t>
            </w:r>
            <w:r>
              <w:rPr>
                <w:rFonts w:ascii="宋体" w:hAnsi="宋体" w:cs="宋体" w:eastAsia="宋体" w:hint="default"/>
                <w:sz w:val="18"/>
                <w:szCs w:val="18"/>
              </w:rPr>
              <w:t>荣</w:t>
            </w:r>
            <w:r>
              <w:rPr>
                <w:rFonts w:ascii="宋体" w:hAnsi="宋体" w:cs="宋体" w:eastAsia="宋体" w:hint="default"/>
                <w:spacing w:val="-64"/>
                <w:sz w:val="18"/>
                <w:szCs w:val="18"/>
              </w:rPr>
              <w:t> </w:t>
            </w:r>
            <w:r>
              <w:rPr>
                <w:rFonts w:ascii="宋体" w:hAnsi="宋体" w:cs="宋体" w:eastAsia="宋体" w:hint="default"/>
                <w:sz w:val="18"/>
                <w:szCs w:val="18"/>
              </w:rPr>
              <w:t>汽</w:t>
            </w:r>
            <w:r>
              <w:rPr>
                <w:rFonts w:ascii="宋体" w:hAnsi="宋体" w:cs="宋体" w:eastAsia="宋体" w:hint="default"/>
                <w:spacing w:val="-64"/>
                <w:sz w:val="18"/>
                <w:szCs w:val="18"/>
              </w:rPr>
              <w:t> </w:t>
            </w:r>
            <w:r>
              <w:rPr>
                <w:rFonts w:ascii="宋体" w:hAnsi="宋体" w:cs="宋体" w:eastAsia="宋体" w:hint="default"/>
                <w:sz w:val="18"/>
                <w:szCs w:val="18"/>
              </w:rPr>
              <w:t>车</w:t>
            </w:r>
            <w:r>
              <w:rPr>
                <w:rFonts w:ascii="宋体" w:hAnsi="宋体" w:cs="宋体" w:eastAsia="宋体" w:hint="default"/>
                <w:sz w:val="18"/>
                <w:szCs w:val="18"/>
              </w:rPr>
              <w:t> 部</w:t>
            </w:r>
            <w:r>
              <w:rPr>
                <w:rFonts w:ascii="宋体" w:hAnsi="宋体" w:cs="宋体" w:eastAsia="宋体" w:hint="default"/>
                <w:spacing w:val="-63"/>
                <w:sz w:val="18"/>
                <w:szCs w:val="18"/>
              </w:rPr>
              <w:t> </w:t>
            </w:r>
            <w:r>
              <w:rPr>
                <w:rFonts w:ascii="宋体" w:hAnsi="宋体" w:cs="宋体" w:eastAsia="宋体" w:hint="default"/>
                <w:sz w:val="18"/>
                <w:szCs w:val="18"/>
              </w:rPr>
              <w:t>件</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pacing w:val="-63"/>
                <w:sz w:val="18"/>
                <w:szCs w:val="18"/>
              </w:rPr>
              <w:t> </w:t>
            </w:r>
            <w:r>
              <w:rPr>
                <w:rFonts w:ascii="宋体" w:hAnsi="宋体" w:cs="宋体" w:eastAsia="宋体" w:hint="default"/>
                <w:sz w:val="18"/>
                <w:szCs w:val="18"/>
              </w:rPr>
              <w:t>份</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979" w:type="dxa"/>
            <w:tcBorders>
              <w:top w:val="single" w:sz="12" w:space="0" w:color="000000"/>
              <w:left w:val="nil" w:sz="6" w:space="0" w:color="auto"/>
              <w:bottom w:val="single" w:sz="12" w:space="0" w:color="000000"/>
              <w:right w:val="nil" w:sz="6" w:space="0" w:color="auto"/>
            </w:tcBorders>
          </w:tcPr>
          <w:p>
            <w:pPr>
              <w:pStyle w:val="TableParagraph"/>
              <w:spacing w:line="316" w:lineRule="auto" w:before="11"/>
              <w:ind w:left="9" w:right="9"/>
              <w:jc w:val="left"/>
              <w:rPr>
                <w:rFonts w:ascii="宋体" w:hAnsi="宋体" w:cs="宋体" w:eastAsia="宋体" w:hint="default"/>
                <w:sz w:val="18"/>
                <w:szCs w:val="18"/>
              </w:rPr>
            </w:pPr>
            <w:r>
              <w:rPr>
                <w:rFonts w:ascii="宋体" w:hAnsi="宋体" w:cs="宋体" w:eastAsia="宋体" w:hint="default"/>
                <w:spacing w:val="15"/>
                <w:sz w:val="18"/>
                <w:szCs w:val="18"/>
              </w:rPr>
              <w:t>安徽鑫龙电器股份有限</w:t>
            </w:r>
            <w:r>
              <w:rPr>
                <w:rFonts w:ascii="宋体" w:hAnsi="宋体" w:cs="宋体" w:eastAsia="宋体" w:hint="default"/>
                <w:sz w:val="18"/>
                <w:szCs w:val="18"/>
              </w:rPr>
              <w:t> 公司</w:t>
            </w:r>
          </w:p>
        </w:tc>
        <w:tc>
          <w:tcPr>
            <w:tcW w:w="12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南陵县人民法院</w:t>
            </w:r>
          </w:p>
        </w:tc>
        <w:tc>
          <w:tcPr>
            <w:tcW w:w="12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955,380.00</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审理中</w:t>
            </w:r>
          </w:p>
        </w:tc>
      </w:tr>
    </w:tbl>
    <w:p>
      <w:pPr>
        <w:spacing w:line="240" w:lineRule="auto" w:before="2"/>
        <w:rPr>
          <w:rFonts w:ascii="宋体" w:hAnsi="宋体" w:cs="宋体" w:eastAsia="宋体" w:hint="default"/>
          <w:b/>
          <w:bCs/>
          <w:sz w:val="18"/>
          <w:szCs w:val="18"/>
        </w:rPr>
      </w:pPr>
    </w:p>
    <w:p>
      <w:pPr>
        <w:pStyle w:val="Heading4"/>
        <w:spacing w:line="240" w:lineRule="auto" w:before="26"/>
        <w:ind w:left="154" w:right="1034"/>
        <w:jc w:val="left"/>
        <w:rPr>
          <w:b w:val="0"/>
          <w:bCs w:val="0"/>
        </w:rPr>
      </w:pPr>
      <w:bookmarkStart w:name="十六、母公司财务报表主要项目注释" w:id="357"/>
      <w:bookmarkEnd w:id="357"/>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应收账款" w:id="358"/>
      <w:bookmarkEnd w:id="35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应收账款分类披露" w:id="359"/>
      <w:bookmarkEnd w:id="35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612,957,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274.32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73,935,4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55.87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539,021,8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18.45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708,233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,866.95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62,086,82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4.79</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646,147,04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2.16</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612,957,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274.32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73,935,4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55.87</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539,021,8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18.45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708,233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,866.95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62,086,82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4.79</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646,147,04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2.16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r>
        <w:rPr/>
        <w:pict>
          <v:group style="position:absolute;margin-left:55.200001pt;margin-top:55.619984pt;width:485pt;height:.1pt;mso-position-horizontal-relative:page;mso-position-vertical-relative:page;z-index:-110965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275,035,884.35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8,251,076.53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187,757,197.99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18,775,719.80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91,293,048.03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18,258,609.61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57,300,099.84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28,650,049.93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611,386,230.21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73,935,455.87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after="0" w:line="36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line="338" w:lineRule="auto" w:before="44"/>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pStyle w:val="Heading6"/>
        <w:spacing w:line="240" w:lineRule="auto"/>
        <w:ind w:right="1034"/>
        <w:jc w:val="left"/>
        <w:rPr>
          <w:b w:val="0"/>
          <w:bCs w:val="0"/>
        </w:rPr>
      </w:pPr>
      <w:bookmarkStart w:name="（2）本期计提、收回或转回的坏账准备情况" w:id="360"/>
      <w:bookmarkEnd w:id="36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4"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11,932,021.08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83,390.00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943" w:space="1887"/>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3）按欠款方归集的期末余额前五名的应收账款情况" w:id="361"/>
      <w:bookmarkEnd w:id="361"/>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44"/>
        <w:gridCol w:w="1985"/>
        <w:gridCol w:w="1559"/>
        <w:gridCol w:w="1985"/>
      </w:tblGrid>
      <w:tr>
        <w:trPr>
          <w:trHeight w:val="667"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75" w:right="50"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13,031,501.45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2.13</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390,945.04</w:t>
            </w:r>
          </w:p>
        </w:tc>
      </w:tr>
      <w:tr>
        <w:trPr>
          <w:trHeight w:val="665"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45"/>
              <w:jc w:val="left"/>
              <w:rPr>
                <w:rFonts w:ascii="宋体" w:hAnsi="宋体" w:cs="宋体" w:eastAsia="宋体" w:hint="default"/>
                <w:sz w:val="18"/>
                <w:szCs w:val="18"/>
              </w:rPr>
            </w:pPr>
            <w:r>
              <w:rPr>
                <w:rFonts w:ascii="宋体" w:hAnsi="宋体" w:cs="宋体" w:eastAsia="宋体" w:hint="default"/>
                <w:sz w:val="18"/>
                <w:szCs w:val="18"/>
              </w:rPr>
              <w:t>中铁电气化局集团有限公司厦深铁路 广东段四电系统集成项目经理部</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12,437,452.00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2.03</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2,307,230.05</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大连地铁有限公司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10,280,373.94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1.68</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964,924.62</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天津博通电力安装工程有限公司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10,008,855.00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1.63</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1,000,885.50</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中国移动通信有限公司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9,660,139.08</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1.58</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289,804.17</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55,418,321.47</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9.04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4,953,789.39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6"/>
        <w:spacing w:line="240" w:lineRule="auto" w:before="35"/>
        <w:ind w:left="154" w:right="1034"/>
        <w:jc w:val="left"/>
        <w:rPr>
          <w:b w:val="0"/>
          <w:bCs w:val="0"/>
        </w:rPr>
      </w:pPr>
      <w:bookmarkStart w:name="2、其他应收款" w:id="362"/>
      <w:bookmarkEnd w:id="36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1034"/>
        <w:jc w:val="left"/>
        <w:rPr>
          <w:b w:val="0"/>
          <w:bCs w:val="0"/>
        </w:rPr>
      </w:pPr>
      <w:bookmarkStart w:name="（1）其他应收款分类披露" w:id="363"/>
      <w:bookmarkEnd w:id="36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62,541,7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76.60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2,844,89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7.23</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59,696,87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25,821,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358.47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1,318,364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24,502,993.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62,541,7</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76.60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2,844,89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59,696,87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25,821,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358.47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1,318,364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24,502,993.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17,330,494.19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519,914.83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10,281,444.66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1,028,144.47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3,791,319.75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758,263.95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1,077,147.95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538,573.98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32,480,406.55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2,844,897.23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1034"/>
        <w:jc w:val="left"/>
        <w:rPr>
          <w:b w:val="0"/>
          <w:bCs w:val="0"/>
        </w:rPr>
      </w:pPr>
      <w:bookmarkStart w:name="（2）本期计提、收回或转回的坏账准备情况" w:id="364"/>
      <w:bookmarkEnd w:id="36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1,526,532.59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3）其他应收款按款项性质分类情况" w:id="365"/>
      <w:bookmarkEnd w:id="365"/>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24,918,595.96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14,158,551.43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5,237,274.62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5,576,268.32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关联方资金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30,061,370.05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5,265,711.17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预付费用</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1,226,094.99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783,100.40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1,098,440.98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37,727.15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62,541,776.60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25,821,358.47</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4）按欠款方归集的期末余额前五名的其他应收款情况" w:id="366"/>
      <w:bookmarkEnd w:id="366"/>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北京中电兴发科技有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芜湖市鸠江区财政局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2,586,499.00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517,299.80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山东中钢招标有限公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合肥市政府采购中心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500,720.00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15,021.60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繁昌县供水有限责任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14,460.00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34,309,219.00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568,981.40</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3、长期股权投资" w:id="367"/>
      <w:bookmarkEnd w:id="36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2,716,169,563.47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2,716,169,563.47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698,470,461.07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698,470,461.07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2,716,169,563.47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2,716,169,563.47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698,470,461.07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698,470,461.07</w:t>
            </w:r>
          </w:p>
        </w:tc>
      </w:tr>
    </w:tbl>
    <w:p>
      <w:pPr>
        <w:spacing w:line="240" w:lineRule="auto" w:before="2"/>
        <w:rPr>
          <w:rFonts w:ascii="宋体" w:hAnsi="宋体" w:cs="宋体" w:eastAsia="宋体" w:hint="default"/>
          <w:sz w:val="19"/>
          <w:szCs w:val="19"/>
        </w:rPr>
      </w:pPr>
    </w:p>
    <w:p>
      <w:pPr>
        <w:pStyle w:val="Heading6"/>
        <w:spacing w:line="240" w:lineRule="auto" w:before="35"/>
        <w:ind w:left="154" w:right="1034"/>
        <w:jc w:val="left"/>
        <w:rPr>
          <w:b w:val="0"/>
          <w:bCs w:val="0"/>
        </w:rPr>
      </w:pPr>
      <w:bookmarkStart w:name="（1）对子公司投资" w:id="368"/>
      <w:bookmarkEnd w:id="36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安徽森源电器有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296,850,178.48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296,850,178.48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安徽鑫龙低压电 器有限公司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100,514,452.25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100,514,452.25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安徽鑫龙自动化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30,764,472.08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30,764,472.08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安徽鑫龙变压器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3,154,784.31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3,154,784.31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安徽鑫龙电器元 件销售有限公司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4,479,262.50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4,479,262.50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安徽鑫龙电力工 程安装有限公司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30,146,420.03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30,146,420.03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安徽佑赛科技有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安徽鑫东投资管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亳州鑫龙电气有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123,160,891.42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10,300,891.42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112,860,000.00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安徽杰偌新材料 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苏州开关二厂有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北京中电兴发科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1,724,999,993.82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1,724,999,993.82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安徽鑫龙电器成 套有限公司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698,470,461.07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2,027,999,993.82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10,300,891.42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2,716,169,563.47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20" w:lineRule="auto" w:before="35"/>
        <w:ind w:left="153" w:right="5503" w:firstLine="0"/>
        <w:jc w:val="left"/>
        <w:rPr>
          <w:rFonts w:ascii="宋体" w:hAnsi="宋体" w:cs="宋体" w:eastAsia="宋体" w:hint="default"/>
          <w:sz w:val="21"/>
          <w:szCs w:val="21"/>
        </w:rPr>
      </w:pPr>
      <w:bookmarkStart w:name="（2）其他说明"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t>安徽鑫龙电器成套有限公司为本期新设成立，尚未出资。 </w:t>
      </w:r>
      <w:bookmarkStart w:name="4、营业收入和营业成本" w:id="370"/>
      <w:bookmarkEnd w:id="370"/>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7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458,015,112.00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313,066,170.34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669,417,342.36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474,853,624.87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4,477,157.12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2,655,969.66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2,883,902.52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68,214.20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462,492,269.12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315,722,140.00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672,301,244.88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474,921,839.07</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1034"/>
        <w:jc w:val="left"/>
        <w:rPr>
          <w:b w:val="0"/>
          <w:bCs w:val="0"/>
        </w:rPr>
      </w:pPr>
      <w:bookmarkStart w:name="5、投资收益" w:id="371"/>
      <w:bookmarkEnd w:id="37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1,972,140.00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-11,513.93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2,118,140.00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134,486.07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4"/>
        <w:spacing w:line="240" w:lineRule="auto" w:before="26"/>
        <w:ind w:right="1034"/>
        <w:jc w:val="left"/>
        <w:rPr>
          <w:b w:val="0"/>
          <w:bCs w:val="0"/>
        </w:rPr>
      </w:pPr>
      <w:bookmarkStart w:name="十七、补充资料" w:id="372"/>
      <w:bookmarkEnd w:id="372"/>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34"/>
        <w:jc w:val="left"/>
        <w:rPr>
          <w:b w:val="0"/>
          <w:bCs w:val="0"/>
        </w:rPr>
      </w:pPr>
      <w:bookmarkStart w:name="1、当期非经常性损益明细表" w:id="373"/>
      <w:bookmarkEnd w:id="37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22,687.28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15,497,421.05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964,755.02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-425,856.61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2,514,831.22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246,920.85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13,297,254.67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34"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1"/>
        <w:ind w:left="154"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1034"/>
        <w:jc w:val="left"/>
        <w:rPr>
          <w:b w:val="0"/>
          <w:bCs w:val="0"/>
        </w:rPr>
      </w:pPr>
      <w:bookmarkStart w:name="2、净资产收益率及每股收益" w:id="374"/>
      <w:bookmarkEnd w:id="37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0.1358</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1034"/>
        <w:jc w:val="left"/>
        <w:rPr>
          <w:b w:val="0"/>
          <w:bCs w:val="0"/>
        </w:rPr>
      </w:pPr>
      <w:bookmarkStart w:name="_TOC_250000" w:id="375"/>
      <w:bookmarkStart w:name="第十一节 备查文件目录" w:id="376"/>
      <w:r>
        <w:rPr>
          <w:b w:val="0"/>
          <w:bCs w:val="0"/>
        </w:rPr>
      </w:r>
      <w:r>
        <w:rPr/>
        <w:t>第十一节</w:t>
      </w:r>
      <w:r>
        <w:rPr>
          <w:spacing w:val="-8"/>
        </w:rPr>
        <w:t> </w:t>
      </w:r>
      <w:r>
        <w:rPr/>
        <w:t>备查文件目录</w:t>
      </w:r>
      <w:bookmarkEnd w:id="375"/>
      <w:r>
        <w:rPr>
          <w:b w:val="0"/>
          <w:bCs w:val="0"/>
        </w:rPr>
      </w:r>
    </w:p>
    <w:p>
      <w:pPr>
        <w:spacing w:line="240" w:lineRule="auto" w:before="1"/>
        <w:rPr>
          <w:rFonts w:ascii="宋体" w:hAnsi="宋体" w:cs="宋体" w:eastAsia="宋体" w:hint="default"/>
          <w:b/>
          <w:bCs/>
          <w:sz w:val="41"/>
          <w:szCs w:val="41"/>
        </w:rPr>
      </w:pPr>
    </w:p>
    <w:p>
      <w:pPr>
        <w:pStyle w:val="Heading5"/>
        <w:spacing w:line="312" w:lineRule="exact"/>
        <w:ind w:right="1393"/>
        <w:jc w:val="left"/>
      </w:pPr>
      <w:r>
        <w:rPr/>
        <w:t>一、载有公司法定代表人、主管财务负责人及会计机构负责人签名并盖章的会计报表。 二、载有会计师事务所盖章、注册会计师签名并盖章的审计报告原件。 三、报告期内在中国证监会指定报纸上公开披露过的所有公司文件的正本及公告的原稿。 四、备查文件备置地点：董事会办公室。</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Heading5"/>
        <w:spacing w:line="477" w:lineRule="auto"/>
        <w:ind w:left="6634" w:right="1392" w:hanging="1200"/>
        <w:jc w:val="left"/>
      </w:pPr>
      <w:r>
        <w:rPr/>
        <w:t>安徽中电兴发与鑫龙科技股份有限公司 董事长：束龙胜</w:t>
      </w:r>
    </w:p>
    <w:p>
      <w:pPr>
        <w:pStyle w:val="Heading5"/>
        <w:spacing w:line="240" w:lineRule="auto" w:before="72"/>
        <w:ind w:left="6874" w:right="1034"/>
        <w:jc w:val="left"/>
      </w:pP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8</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0808" type="#_x0000_t75" stroked="false">
          <v:imagedata r:id="rId1" o:title=""/>
        </v:shape>
      </w:pict>
    </w:r>
    <w:r>
      <w:rPr/>
      <w:pict>
        <v:shape style="position:absolute;margin-left:533.179993pt;margin-top:795.517944pt;width:6.5pt;height:11pt;mso-position-horizontal-relative:page;mso-position-vertical-relative:page;z-index:-11107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0760" type="#_x0000_t75" stroked="false">
          <v:imagedata r:id="rId1" o:title=""/>
        </v:shape>
      </w:pict>
    </w:r>
    <w:r>
      <w:rPr/>
      <w:pict>
        <v:shape style="position:absolute;margin-left:527.679993pt;margin-top:781.957947pt;width:13pt;height:11pt;mso-position-horizontal-relative:page;mso-position-vertical-relative:page;z-index:-1110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0712" type="#_x0000_t75" stroked="false">
          <v:imagedata r:id="rId1" o:title=""/>
        </v:shape>
      </w:pict>
    </w:r>
    <w:r>
      <w:rPr/>
      <w:pict>
        <v:shape style="position:absolute;margin-left:524.179993pt;margin-top:781.957947pt;width:15.5pt;height:11pt;mso-position-horizontal-relative:page;mso-position-vertical-relative:page;z-index:-1110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110664" type="#_x0000_t75" stroked="false">
          <v:imagedata r:id="rId1" o:title=""/>
        </v:shape>
      </w:pict>
    </w:r>
    <w:r>
      <w:rPr/>
      <w:pict>
        <v:shape style="position:absolute;margin-left:523.179993pt;margin-top:781.957947pt;width:17.5pt;height:11pt;mso-position-horizontal-relative:page;mso-position-vertical-relative:page;z-index:-1110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9.220001pt;margin-top:36.325607pt;width:240.5pt;height:11.5pt;mso-position-horizontal-relative:page;mso-position-vertical-relative:page;z-index:-1110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1"/>
      <w:ind w:left="188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spacing w:before="61"/>
      <w:ind w:left="153"/>
      <w:outlineLvl w:val="3"/>
    </w:pPr>
    <w:rPr>
      <w:rFonts w:ascii="宋体" w:hAnsi="宋体" w:eastAsia="宋体"/>
      <w:sz w:val="28"/>
      <w:szCs w:val="28"/>
    </w:rPr>
  </w:style>
  <w:style w:styleId="Heading4" w:type="paragraph">
    <w:name w:val="Heading 4"/>
    <w:basedOn w:val="Normal"/>
    <w:uiPriority w:val="1"/>
    <w:qFormat/>
    <w:pPr>
      <w:ind w:left="153"/>
      <w:outlineLvl w:val="4"/>
    </w:pPr>
    <w:rPr>
      <w:rFonts w:ascii="宋体" w:hAnsi="宋体" w:eastAsia="宋体"/>
      <w:b/>
      <w:bCs/>
      <w:sz w:val="24"/>
      <w:szCs w:val="24"/>
    </w:rPr>
  </w:style>
  <w:style w:styleId="Heading5" w:type="paragraph">
    <w:name w:val="Heading 5"/>
    <w:basedOn w:val="Normal"/>
    <w:uiPriority w:val="1"/>
    <w:qFormat/>
    <w:pPr>
      <w:ind w:left="153"/>
      <w:outlineLvl w:val="5"/>
    </w:pPr>
    <w:rPr>
      <w:rFonts w:ascii="宋体" w:hAnsi="宋体" w:eastAsia="宋体"/>
      <w:sz w:val="24"/>
      <w:szCs w:val="24"/>
    </w:rPr>
  </w:style>
  <w:style w:styleId="Heading6" w:type="paragraph">
    <w:name w:val="Heading 6"/>
    <w:basedOn w:val="Normal"/>
    <w:uiPriority w:val="1"/>
    <w:qFormat/>
    <w:pPr>
      <w:ind w:left="153"/>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ah-xinlong.com/" TargetMode="External"/><Relationship Id="rId11" Type="http://schemas.openxmlformats.org/officeDocument/2006/relationships/hyperlink" Target="mailto:xinlongdsb@126.com"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yperlink" Target="http://www.cninfo.com/" TargetMode="External"/><Relationship Id="rId16" Type="http://schemas.openxmlformats.org/officeDocument/2006/relationships/footer" Target="footer3.xml"/><Relationship Id="rId1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安徽中电兴发与鑫龙科技股份有限公司</dc:creator>
  <dc:title>安徽中电兴发与鑫龙科技股份有限公司2015年年度报告全文</dc:title>
  <dcterms:created xsi:type="dcterms:W3CDTF">2020-05-04T13:10:20Z</dcterms:created>
  <dcterms:modified xsi:type="dcterms:W3CDTF">2020-05-04T13:10:20Z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2016-03-08T00:00:00Z</vt:filetime>
  </property>
  <property fmtid="{D5CDD505-2E9C-101B-9397-08002B2CF9AE}" pid="3" name="Creator">
    <vt:lpwstr>Microsoft® Office Word 2007</vt:lpwstr>
  </property>
  <property fmtid="{D5CDD505-2E9C-101B-9397-08002B2CF9AE}" pid="4" name="LastSaved">
    <vt:filetime>2020-05-04T00:00:00Z</vt:filetime>
  </property>
</Properties>
</file>