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04"/>
        <w:ind w:left="1882" w:right="2860" w:firstLine="0"/>
        <w:jc w:val="center"/>
        <w:rPr>
          <w:rFonts w:ascii="宋体" w:hAnsi="宋体" w:cs="宋体" w:eastAsia="宋体" w:hint="default"/>
          <w:sz w:val="36"/>
          <w:szCs w:val="36"/>
        </w:rPr>
      </w:pPr>
      <w:r>
        <w:rPr/>
        <w:pict>
          <v:group style="position:absolute;margin-left:55.200001pt;margin-top:-84.796555pt;width:485pt;height:.1pt;mso-position-horizontal-relative:page;mso-position-vertical-relative:paragraph;z-index:0" coordorigin="1104,-1696" coordsize="9700,2">
            <v:shape style="position:absolute;left:1104;top:-1696;width:9700;height:2" coordorigin="1104,-1696" coordsize="9700,0" path="m1104,-1696l10804,-1696e" filled="false" stroked="true" strokeweight=".72pt" strokecolor="#000000">
              <v:path arrowok="t"/>
            </v:shape>
            <w10:wrap type="none"/>
          </v:group>
        </w:pict>
      </w:r>
      <w:r>
        <w:rPr>
          <w:rFonts w:ascii="宋体" w:hAnsi="宋体" w:cs="宋体" w:eastAsia="宋体" w:hint="default"/>
          <w:b/>
          <w:bCs/>
          <w:sz w:val="36"/>
          <w:szCs w:val="36"/>
        </w:rPr>
        <w:t>安徽中电兴发与鑫龙科技股份有限公司</w:t>
      </w:r>
      <w:r>
        <w:rPr>
          <w:rFonts w:ascii="宋体" w:hAnsi="宋体" w:cs="宋体" w:eastAsia="宋体" w:hint="default"/>
          <w:sz w:val="36"/>
          <w:szCs w:val="36"/>
        </w:rPr>
      </w:r>
    </w:p>
    <w:p>
      <w:pPr>
        <w:spacing w:line="240" w:lineRule="auto" w:before="10"/>
        <w:rPr>
          <w:rFonts w:ascii="宋体" w:hAnsi="宋体" w:cs="宋体" w:eastAsia="宋体" w:hint="default"/>
          <w:b/>
          <w:bCs/>
          <w:sz w:val="30"/>
          <w:szCs w:val="30"/>
        </w:rPr>
      </w:pPr>
    </w:p>
    <w:p>
      <w:pPr>
        <w:spacing w:before="0"/>
        <w:ind w:left="1881" w:right="2860"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5"/>
        <w:rPr>
          <w:rFonts w:ascii="宋体" w:hAnsi="宋体" w:cs="宋体" w:eastAsia="宋体" w:hint="default"/>
          <w:b/>
          <w:bCs/>
          <w:sz w:val="32"/>
          <w:szCs w:val="32"/>
        </w:rPr>
      </w:pPr>
    </w:p>
    <w:p>
      <w:pPr>
        <w:spacing w:before="0"/>
        <w:ind w:left="1882" w:right="2858" w:firstLine="0"/>
        <w:jc w:val="center"/>
        <w:rPr>
          <w:rFonts w:ascii="Times New Roman" w:hAnsi="Times New Roman" w:cs="Times New Roman" w:eastAsia="Times New Roman" w:hint="default"/>
          <w:sz w:val="22"/>
          <w:szCs w:val="22"/>
        </w:rPr>
      </w:pPr>
      <w:r>
        <w:rPr>
          <w:rFonts w:ascii="Times New Roman"/>
          <w:b/>
          <w:sz w:val="22"/>
        </w:rPr>
        <w:t>2019-033</w:t>
      </w:r>
      <w:r>
        <w:rPr>
          <w:rFonts w:ascii="Times New Roman"/>
          <w:sz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before="129"/>
        <w:ind w:left="1882" w:right="2858"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0"/>
        <w:jc w:val="left"/>
        <w:rPr>
          <w:b w:val="0"/>
          <w:bCs w:val="0"/>
        </w:rPr>
      </w:pPr>
      <w:bookmarkStart w:name="_TOC_250011" w:id="1"/>
      <w:bookmarkStart w:name="第一节 重要提示、目录和释义" w:id="2"/>
      <w:r>
        <w:rPr>
          <w:b w:val="0"/>
          <w:bCs w:val="0"/>
        </w:rPr>
      </w:r>
      <w:r>
        <w:rPr/>
        <w:t>第一节</w:t>
      </w:r>
      <w:r>
        <w:rPr>
          <w:spacing w:val="-11"/>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1"/>
        <w:ind w:left="154"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1"/>
        <w:ind w:left="154"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公司负责人束龙胜、主管会计工作负责人陶黎明及会计机构负责人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spacing w:val="1"/>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杨勇声明：保证年度报告中财务报告的真实、准确、完整。</w:t>
      </w:r>
      <w:r>
        <w:rPr>
          <w:rFonts w:ascii="宋体" w:hAnsi="宋体" w:cs="宋体" w:eastAsia="宋体" w:hint="default"/>
          <w:sz w:val="28"/>
          <w:szCs w:val="28"/>
        </w:rPr>
      </w:r>
    </w:p>
    <w:p>
      <w:pPr>
        <w:spacing w:before="147"/>
        <w:ind w:left="716"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sz w:val="28"/>
          <w:szCs w:val="28"/>
        </w:rPr>
      </w:r>
    </w:p>
    <w:p>
      <w:pPr>
        <w:spacing w:line="240" w:lineRule="auto" w:before="3"/>
        <w:rPr>
          <w:rFonts w:ascii="宋体" w:hAnsi="宋体" w:cs="宋体" w:eastAsia="宋体" w:hint="default"/>
          <w:b/>
          <w:bCs/>
          <w:sz w:val="27"/>
          <w:szCs w:val="27"/>
        </w:rPr>
      </w:pPr>
    </w:p>
    <w:p>
      <w:pPr>
        <w:spacing w:line="405" w:lineRule="auto" w:before="0"/>
        <w:ind w:left="154" w:right="0" w:firstLine="562"/>
        <w:jc w:val="left"/>
        <w:rPr>
          <w:rFonts w:ascii="宋体" w:hAnsi="宋体" w:cs="宋体" w:eastAsia="宋体" w:hint="default"/>
          <w:sz w:val="28"/>
          <w:szCs w:val="28"/>
        </w:rPr>
      </w:pPr>
      <w:r>
        <w:rPr>
          <w:rFonts w:ascii="Times New Roman" w:hAnsi="Times New Roman" w:cs="Times New Roman" w:eastAsia="Times New Roman" w:hint="default"/>
          <w:b/>
          <w:bCs/>
          <w:spacing w:val="-6"/>
          <w:w w:val="95"/>
          <w:sz w:val="28"/>
          <w:szCs w:val="28"/>
        </w:rPr>
        <w:t>1</w:t>
      </w:r>
      <w:r>
        <w:rPr>
          <w:rFonts w:ascii="宋体" w:hAnsi="宋体" w:cs="宋体" w:eastAsia="宋体" w:hint="default"/>
          <w:b/>
          <w:bCs/>
          <w:spacing w:val="-6"/>
          <w:w w:val="95"/>
          <w:sz w:val="28"/>
          <w:szCs w:val="28"/>
        </w:rPr>
        <w:t>、政策与市场竞争风险。公司智慧城市、公共安全与反恐业务主要以建设、</w:t>
      </w:r>
      <w:r>
        <w:rPr>
          <w:rFonts w:ascii="宋体" w:hAnsi="宋体" w:cs="宋体" w:eastAsia="宋体" w:hint="default"/>
          <w:b/>
          <w:bCs/>
          <w:w w:val="99"/>
          <w:sz w:val="28"/>
          <w:szCs w:val="28"/>
        </w:rPr>
        <w:t> </w:t>
      </w:r>
      <w:r>
        <w:rPr>
          <w:rFonts w:ascii="宋体" w:hAnsi="宋体" w:cs="宋体" w:eastAsia="宋体" w:hint="default"/>
          <w:b/>
          <w:bCs/>
          <w:spacing w:val="3"/>
          <w:sz w:val="28"/>
          <w:szCs w:val="28"/>
        </w:rPr>
        <w:t>投资与运营模式为主的政府投资行为，受国家政策和地方政策投资决策影响程</w:t>
      </w:r>
      <w:r>
        <w:rPr>
          <w:rFonts w:ascii="宋体" w:hAnsi="宋体" w:cs="宋体" w:eastAsia="宋体" w:hint="default"/>
          <w:b/>
          <w:bCs/>
          <w:w w:val="99"/>
          <w:sz w:val="28"/>
          <w:szCs w:val="28"/>
        </w:rPr>
        <w:t> </w:t>
      </w:r>
      <w:r>
        <w:rPr>
          <w:rFonts w:ascii="宋体" w:hAnsi="宋体" w:cs="宋体" w:eastAsia="宋体" w:hint="default"/>
          <w:b/>
          <w:bCs/>
          <w:spacing w:val="3"/>
          <w:sz w:val="28"/>
          <w:szCs w:val="28"/>
        </w:rPr>
        <w:t>度较大，订单业绩较易受到国家宏观政策和政府部门投资计划的影响。随着人</w:t>
      </w:r>
      <w:r>
        <w:rPr>
          <w:rFonts w:ascii="宋体" w:hAnsi="宋体" w:cs="宋体" w:eastAsia="宋体" w:hint="default"/>
          <w:b/>
          <w:bCs/>
          <w:w w:val="99"/>
          <w:sz w:val="28"/>
          <w:szCs w:val="28"/>
        </w:rPr>
        <w:t> </w:t>
      </w:r>
      <w:r>
        <w:rPr>
          <w:rFonts w:ascii="宋体" w:hAnsi="宋体" w:cs="宋体" w:eastAsia="宋体" w:hint="default"/>
          <w:b/>
          <w:bCs/>
          <w:spacing w:val="3"/>
          <w:sz w:val="28"/>
          <w:szCs w:val="28"/>
        </w:rPr>
        <w:t>工智能、物联网、大数据等新一代信息技术逐步成熟，市场竞争愈发激烈。公</w:t>
      </w:r>
      <w:r>
        <w:rPr>
          <w:rFonts w:ascii="宋体" w:hAnsi="宋体" w:cs="宋体" w:eastAsia="宋体" w:hint="default"/>
          <w:b/>
          <w:bCs/>
          <w:w w:val="99"/>
          <w:sz w:val="28"/>
          <w:szCs w:val="28"/>
        </w:rPr>
        <w:t> </w:t>
      </w:r>
      <w:r>
        <w:rPr>
          <w:rFonts w:ascii="宋体" w:hAnsi="宋体" w:cs="宋体" w:eastAsia="宋体" w:hint="default"/>
          <w:b/>
          <w:bCs/>
          <w:spacing w:val="3"/>
          <w:sz w:val="28"/>
          <w:szCs w:val="28"/>
        </w:rPr>
        <w:t>司将加强对所处行业的政策、发展方向及产业发展规律的研究，把握政策、市</w:t>
      </w:r>
      <w:r>
        <w:rPr>
          <w:rFonts w:ascii="宋体" w:hAnsi="宋体" w:cs="宋体" w:eastAsia="宋体" w:hint="default"/>
          <w:b/>
          <w:bCs/>
          <w:w w:val="99"/>
          <w:sz w:val="28"/>
          <w:szCs w:val="28"/>
        </w:rPr>
        <w:t> </w:t>
      </w:r>
      <w:r>
        <w:rPr>
          <w:rFonts w:ascii="宋体" w:hAnsi="宋体" w:cs="宋体" w:eastAsia="宋体" w:hint="default"/>
          <w:b/>
          <w:bCs/>
          <w:spacing w:val="3"/>
          <w:sz w:val="28"/>
          <w:szCs w:val="28"/>
        </w:rPr>
        <w:t>场和行业技术变革先机，加强持续升级自身的产品、技术和解决方案，密切关</w:t>
      </w:r>
      <w:r>
        <w:rPr>
          <w:rFonts w:ascii="宋体" w:hAnsi="宋体" w:cs="宋体" w:eastAsia="宋体" w:hint="default"/>
          <w:b/>
          <w:bCs/>
          <w:w w:val="99"/>
          <w:sz w:val="28"/>
          <w:szCs w:val="28"/>
        </w:rPr>
        <w:t> </w:t>
      </w:r>
      <w:r>
        <w:rPr>
          <w:rFonts w:ascii="宋体" w:hAnsi="宋体" w:cs="宋体" w:eastAsia="宋体" w:hint="default"/>
          <w:b/>
          <w:bCs/>
          <w:spacing w:val="3"/>
          <w:sz w:val="28"/>
          <w:szCs w:val="28"/>
        </w:rPr>
        <w:t>注所处行业的市场迭代及新市场的发展，积极运用新一代信息技术升级产品和</w:t>
      </w:r>
      <w:r>
        <w:rPr>
          <w:rFonts w:ascii="宋体" w:hAnsi="宋体" w:cs="宋体" w:eastAsia="宋体" w:hint="default"/>
          <w:b/>
          <w:bCs/>
          <w:w w:val="99"/>
          <w:sz w:val="28"/>
          <w:szCs w:val="28"/>
        </w:rPr>
        <w:t> </w:t>
      </w:r>
      <w:r>
        <w:rPr>
          <w:rFonts w:ascii="宋体" w:hAnsi="宋体" w:cs="宋体" w:eastAsia="宋体" w:hint="default"/>
          <w:b/>
          <w:bCs/>
          <w:sz w:val="28"/>
          <w:szCs w:val="28"/>
        </w:rPr>
        <w:t>解决方案，及时应对政策市场竞争的风险。</w:t>
      </w:r>
      <w:r>
        <w:rPr>
          <w:rFonts w:ascii="宋体" w:hAnsi="宋体" w:cs="宋体" w:eastAsia="宋体" w:hint="default"/>
          <w:sz w:val="28"/>
          <w:szCs w:val="28"/>
        </w:rPr>
      </w:r>
    </w:p>
    <w:p>
      <w:pPr>
        <w:spacing w:line="403" w:lineRule="auto" w:before="164"/>
        <w:ind w:left="154" w:right="1139" w:firstLine="562"/>
        <w:jc w:val="both"/>
        <w:rPr>
          <w:rFonts w:ascii="宋体" w:hAnsi="宋体" w:cs="宋体" w:eastAsia="宋体" w:hint="default"/>
          <w:sz w:val="28"/>
          <w:szCs w:val="28"/>
        </w:rPr>
      </w:pPr>
      <w:r>
        <w:rPr>
          <w:rFonts w:ascii="Times New Roman" w:hAnsi="Times New Roman" w:cs="Times New Roman" w:eastAsia="Times New Roman" w:hint="default"/>
          <w:b/>
          <w:bCs/>
          <w:spacing w:val="-2"/>
          <w:w w:val="95"/>
          <w:sz w:val="28"/>
          <w:szCs w:val="28"/>
        </w:rPr>
        <w:t>2</w:t>
      </w:r>
      <w:r>
        <w:rPr>
          <w:rFonts w:ascii="宋体" w:hAnsi="宋体" w:cs="宋体" w:eastAsia="宋体" w:hint="default"/>
          <w:b/>
          <w:bCs/>
          <w:spacing w:val="-2"/>
          <w:w w:val="95"/>
          <w:sz w:val="28"/>
          <w:szCs w:val="28"/>
        </w:rPr>
        <w:t>、项目与技术更新换代风险。智慧城市项目都是大型系统集成项目，项目</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实施复杂，项目实施风险较高，投资、建设与运营等全过程都必须实行精细化</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管理，这对公司的综合实力要求非常高，可能会存在项目实施风险；随着云计</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算、大数据、人工智能等技术的不断演进，行业的业务模式和应用需求可能会</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随之演变。如果不能密切追踪前沿技术的更新和变化，不能快速实现业务的创</w:t>
      </w:r>
      <w:r>
        <w:rPr>
          <w:rFonts w:ascii="宋体" w:hAnsi="宋体" w:cs="宋体" w:eastAsia="宋体" w:hint="default"/>
          <w:spacing w:val="3"/>
          <w:sz w:val="28"/>
          <w:szCs w:val="28"/>
        </w:rPr>
      </w:r>
    </w:p>
    <w:p>
      <w:pPr>
        <w:spacing w:after="0" w:line="403" w:lineRule="auto"/>
        <w:jc w:val="both"/>
        <w:rPr>
          <w:rFonts w:ascii="宋体" w:hAnsi="宋体" w:cs="宋体" w:eastAsia="宋体" w:hint="default"/>
          <w:sz w:val="28"/>
          <w:szCs w:val="28"/>
        </w:rPr>
        <w:sectPr>
          <w:footerReference w:type="default" r:id="rId7"/>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b/>
          <w:bCs/>
          <w:sz w:val="29"/>
          <w:szCs w:val="29"/>
        </w:rPr>
      </w:pPr>
    </w:p>
    <w:p>
      <w:pPr>
        <w:spacing w:line="408" w:lineRule="auto" w:before="13"/>
        <w:ind w:left="154" w:right="0" w:firstLine="0"/>
        <w:jc w:val="left"/>
        <w:rPr>
          <w:rFonts w:ascii="宋体" w:hAnsi="宋体" w:cs="宋体" w:eastAsia="宋体" w:hint="default"/>
          <w:sz w:val="28"/>
          <w:szCs w:val="28"/>
        </w:rPr>
      </w:pPr>
      <w:r>
        <w:rPr>
          <w:rFonts w:ascii="宋体" w:hAnsi="宋体" w:cs="宋体" w:eastAsia="宋体" w:hint="default"/>
          <w:b/>
          <w:bCs/>
          <w:spacing w:val="3"/>
          <w:sz w:val="28"/>
          <w:szCs w:val="28"/>
        </w:rPr>
        <w:t>新发展，可能面临因无法保持持续创新能力导致市场竞争力下降的风险。公司</w:t>
      </w:r>
      <w:r>
        <w:rPr>
          <w:rFonts w:ascii="宋体" w:hAnsi="宋体" w:cs="宋体" w:eastAsia="宋体" w:hint="default"/>
          <w:b/>
          <w:bCs/>
          <w:w w:val="99"/>
          <w:sz w:val="28"/>
          <w:szCs w:val="28"/>
        </w:rPr>
        <w:t> </w:t>
      </w:r>
      <w:r>
        <w:rPr>
          <w:rFonts w:ascii="宋体" w:hAnsi="宋体" w:cs="宋体" w:eastAsia="宋体" w:hint="default"/>
          <w:b/>
          <w:bCs/>
          <w:spacing w:val="3"/>
          <w:sz w:val="28"/>
          <w:szCs w:val="28"/>
        </w:rPr>
        <w:t>已总结和积累了实施大型智慧城市项目的成功经验，将不断加强项目管理，细</w:t>
      </w:r>
      <w:r>
        <w:rPr>
          <w:rFonts w:ascii="宋体" w:hAnsi="宋体" w:cs="宋体" w:eastAsia="宋体" w:hint="default"/>
          <w:b/>
          <w:bCs/>
          <w:w w:val="99"/>
          <w:sz w:val="28"/>
          <w:szCs w:val="28"/>
        </w:rPr>
        <w:t> </w:t>
      </w:r>
      <w:r>
        <w:rPr>
          <w:rFonts w:ascii="宋体" w:hAnsi="宋体" w:cs="宋体" w:eastAsia="宋体" w:hint="default"/>
          <w:b/>
          <w:bCs/>
          <w:spacing w:val="-1"/>
          <w:w w:val="95"/>
          <w:sz w:val="28"/>
          <w:szCs w:val="28"/>
        </w:rPr>
        <w:t>化项目成本管理、项目进度管理、项目风险管理、项目质量管理等一系列制度，</w:t>
      </w:r>
      <w:r>
        <w:rPr>
          <w:rFonts w:ascii="宋体" w:hAnsi="宋体" w:cs="宋体" w:eastAsia="宋体" w:hint="default"/>
          <w:b/>
          <w:bCs/>
          <w:spacing w:val="37"/>
          <w:w w:val="95"/>
          <w:sz w:val="28"/>
          <w:szCs w:val="28"/>
        </w:rPr>
        <w:t> </w:t>
      </w:r>
      <w:r>
        <w:rPr>
          <w:rFonts w:ascii="宋体" w:hAnsi="宋体" w:cs="宋体" w:eastAsia="宋体" w:hint="default"/>
          <w:b/>
          <w:bCs/>
          <w:spacing w:val="37"/>
          <w:w w:val="95"/>
          <w:sz w:val="28"/>
          <w:szCs w:val="28"/>
        </w:rPr>
      </w:r>
      <w:r>
        <w:rPr>
          <w:rFonts w:ascii="宋体" w:hAnsi="宋体" w:cs="宋体" w:eastAsia="宋体" w:hint="default"/>
          <w:b/>
          <w:bCs/>
          <w:sz w:val="28"/>
          <w:szCs w:val="28"/>
        </w:rPr>
        <w:t>进一步提升公司项目交付能力，以降低项目实施风险。</w:t>
      </w:r>
      <w:r>
        <w:rPr>
          <w:rFonts w:ascii="宋体" w:hAnsi="宋体" w:cs="宋体" w:eastAsia="宋体" w:hint="default"/>
          <w:sz w:val="28"/>
          <w:szCs w:val="28"/>
        </w:rPr>
      </w:r>
    </w:p>
    <w:p>
      <w:pPr>
        <w:spacing w:line="405" w:lineRule="auto" w:before="160"/>
        <w:ind w:left="154" w:right="1138" w:firstLine="562"/>
        <w:jc w:val="both"/>
        <w:rPr>
          <w:rFonts w:ascii="宋体" w:hAnsi="宋体" w:cs="宋体" w:eastAsia="宋体" w:hint="default"/>
          <w:sz w:val="28"/>
          <w:szCs w:val="28"/>
        </w:rPr>
      </w:pPr>
      <w:r>
        <w:rPr>
          <w:rFonts w:ascii="Times New Roman" w:hAnsi="Times New Roman" w:cs="Times New Roman" w:eastAsia="Times New Roman" w:hint="default"/>
          <w:b/>
          <w:bCs/>
          <w:spacing w:val="-2"/>
          <w:w w:val="95"/>
          <w:sz w:val="28"/>
          <w:szCs w:val="28"/>
        </w:rPr>
        <w:t>3</w:t>
      </w:r>
      <w:r>
        <w:rPr>
          <w:rFonts w:ascii="宋体" w:hAnsi="宋体" w:cs="宋体" w:eastAsia="宋体" w:hint="default"/>
          <w:b/>
          <w:bCs/>
          <w:spacing w:val="-2"/>
          <w:w w:val="95"/>
          <w:sz w:val="28"/>
          <w:szCs w:val="28"/>
        </w:rPr>
        <w:t>、规模扩张可能带来的人才及管理风险。随着公司业务不断扩展，经营规</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模不断扩张，经营业绩的增长，资产规模、营业收入有较大幅度的增长，规模</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的扩张将对公司未来的经营管理及人力资源建设等提出更高的要求。公司面对</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的市场越来越大，公司平台也将越来越大，我们需要更多研发人才、市场拓展</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人才、物联网人才等中高端人才支撑，如果不能培养或招揽更多人才，会影响</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公司的发展。公司经营规模和业务范围不断扩大，组织结构日益复杂，对公司</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管理的要求越来越高，公司的人员也有较大规模的扩充。这些变化对公司的管</w:t>
      </w:r>
      <w:r>
        <w:rPr>
          <w:rFonts w:ascii="宋体" w:hAnsi="宋体" w:cs="宋体" w:eastAsia="宋体" w:hint="default"/>
          <w:b/>
          <w:bCs/>
          <w:spacing w:val="29"/>
          <w:w w:val="95"/>
          <w:sz w:val="28"/>
          <w:szCs w:val="28"/>
        </w:rPr>
        <w:t> </w:t>
      </w:r>
      <w:r>
        <w:rPr>
          <w:rFonts w:ascii="宋体" w:hAnsi="宋体" w:cs="宋体" w:eastAsia="宋体" w:hint="default"/>
          <w:b/>
          <w:bCs/>
          <w:spacing w:val="29"/>
          <w:w w:val="95"/>
          <w:sz w:val="28"/>
          <w:szCs w:val="28"/>
        </w:rPr>
      </w:r>
      <w:r>
        <w:rPr>
          <w:rFonts w:ascii="宋体" w:hAnsi="宋体" w:cs="宋体" w:eastAsia="宋体" w:hint="default"/>
          <w:b/>
          <w:bCs/>
          <w:spacing w:val="3"/>
          <w:w w:val="95"/>
          <w:sz w:val="28"/>
          <w:szCs w:val="28"/>
        </w:rPr>
        <w:t>理将提出新的和更高的要求，也给公司短期内建立和完善适应企业发展需要的</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管理体系、制度及约束机制带来风险。公司将加快培养一批堪当重任的领军人</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才，提升人才队伍的职业化程度与专业能力。</w:t>
      </w:r>
      <w:r>
        <w:rPr>
          <w:rFonts w:ascii="宋体" w:hAnsi="宋体" w:cs="宋体" w:eastAsia="宋体" w:hint="default"/>
          <w:sz w:val="28"/>
          <w:szCs w:val="28"/>
        </w:rPr>
      </w:r>
    </w:p>
    <w:p>
      <w:pPr>
        <w:spacing w:line="400" w:lineRule="auto" w:before="164"/>
        <w:ind w:left="154" w:right="1142" w:firstLine="562"/>
        <w:jc w:val="both"/>
        <w:rPr>
          <w:rFonts w:ascii="宋体" w:hAnsi="宋体" w:cs="宋体" w:eastAsia="宋体" w:hint="default"/>
          <w:sz w:val="28"/>
          <w:szCs w:val="28"/>
        </w:rPr>
      </w:pPr>
      <w:r>
        <w:rPr>
          <w:rFonts w:ascii="Times New Roman" w:hAnsi="Times New Roman" w:cs="Times New Roman" w:eastAsia="Times New Roman" w:hint="default"/>
          <w:b/>
          <w:bCs/>
          <w:spacing w:val="-2"/>
          <w:w w:val="95"/>
          <w:sz w:val="28"/>
          <w:szCs w:val="28"/>
        </w:rPr>
        <w:t>4</w:t>
      </w:r>
      <w:r>
        <w:rPr>
          <w:rFonts w:ascii="宋体" w:hAnsi="宋体" w:cs="宋体" w:eastAsia="宋体" w:hint="default"/>
          <w:b/>
          <w:bCs/>
          <w:spacing w:val="-2"/>
          <w:w w:val="95"/>
          <w:sz w:val="28"/>
          <w:szCs w:val="28"/>
        </w:rPr>
        <w:t>、不可控因素带来的其他风险。股票市场价格波动不仅取决于上市公司的</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发展战略和经营业绩，还受宏观经济周期、利率、资金供求关系等众多因素的</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影响，同时也会因国际、国内政治经济形势及投资者心理因素的变化而产生波  </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动。</w:t>
      </w:r>
      <w:r>
        <w:rPr>
          <w:rFonts w:ascii="宋体" w:hAnsi="宋体" w:cs="宋体" w:eastAsia="宋体" w:hint="default"/>
          <w:sz w:val="28"/>
          <w:szCs w:val="28"/>
        </w:rPr>
      </w:r>
    </w:p>
    <w:p>
      <w:pPr>
        <w:spacing w:line="386" w:lineRule="auto" w:before="168"/>
        <w:ind w:left="154" w:right="1138" w:firstLine="562"/>
        <w:jc w:val="both"/>
        <w:rPr>
          <w:rFonts w:ascii="宋体" w:hAnsi="宋体" w:cs="宋体" w:eastAsia="宋体" w:hint="default"/>
          <w:sz w:val="28"/>
          <w:szCs w:val="28"/>
        </w:rPr>
      </w:pPr>
      <w:r>
        <w:rPr>
          <w:rFonts w:ascii="Times New Roman" w:hAnsi="Times New Roman" w:cs="Times New Roman" w:eastAsia="Times New Roman" w:hint="default"/>
          <w:b/>
          <w:bCs/>
          <w:spacing w:val="-18"/>
          <w:w w:val="99"/>
          <w:sz w:val="28"/>
          <w:szCs w:val="28"/>
        </w:rPr>
        <w:t>5</w:t>
      </w:r>
      <w:r>
        <w:rPr>
          <w:rFonts w:ascii="宋体" w:hAnsi="宋体" w:cs="宋体" w:eastAsia="宋体" w:hint="default"/>
          <w:b/>
          <w:bCs/>
          <w:spacing w:val="-18"/>
          <w:w w:val="99"/>
          <w:sz w:val="28"/>
          <w:szCs w:val="28"/>
        </w:rPr>
        <w:t>、本公司选定的信息披露媒体为《中国证券报》、《证券时报》、《上海证券</w:t>
      </w:r>
      <w:r>
        <w:rPr>
          <w:rFonts w:ascii="宋体" w:hAnsi="宋体" w:cs="宋体" w:eastAsia="宋体" w:hint="default"/>
          <w:b/>
          <w:bCs/>
          <w:w w:val="99"/>
          <w:sz w:val="28"/>
          <w:szCs w:val="28"/>
        </w:rPr>
        <w:t> </w:t>
      </w:r>
      <w:r>
        <w:rPr>
          <w:rFonts w:ascii="宋体" w:hAnsi="宋体" w:cs="宋体" w:eastAsia="宋体" w:hint="default"/>
          <w:b/>
          <w:bCs/>
          <w:spacing w:val="4"/>
          <w:w w:val="99"/>
          <w:sz w:val="28"/>
          <w:szCs w:val="28"/>
        </w:rPr>
        <w:t>报》和巨潮资讯网（</w:t>
      </w:r>
      <w:r>
        <w:rPr>
          <w:rFonts w:ascii="宋体" w:hAnsi="宋体" w:cs="宋体" w:eastAsia="宋体" w:hint="default"/>
          <w:b/>
          <w:bCs/>
          <w:spacing w:val="29"/>
          <w:w w:val="99"/>
          <w:sz w:val="28"/>
          <w:szCs w:val="28"/>
        </w:rPr>
        <w:t> </w:t>
      </w:r>
      <w:hyperlink r:id="rId8">
        <w:r>
          <w:rPr>
            <w:rFonts w:ascii="Times New Roman" w:hAnsi="Times New Roman" w:cs="Times New Roman" w:eastAsia="Times New Roman" w:hint="default"/>
            <w:b/>
            <w:bCs/>
            <w:spacing w:val="-3"/>
            <w:w w:val="99"/>
            <w:sz w:val="28"/>
            <w:szCs w:val="28"/>
          </w:rPr>
          <w:t>http://www.cninfo.com.cn</w:t>
        </w:r>
      </w:hyperlink>
      <w:r>
        <w:rPr>
          <w:rFonts w:ascii="宋体" w:hAnsi="宋体" w:cs="宋体" w:eastAsia="宋体" w:hint="default"/>
          <w:b/>
          <w:bCs/>
          <w:spacing w:val="-3"/>
          <w:w w:val="99"/>
          <w:sz w:val="28"/>
          <w:szCs w:val="28"/>
        </w:rPr>
        <w:t>），公司所有信息均以在上述选</w:t>
      </w:r>
      <w:r>
        <w:rPr>
          <w:rFonts w:ascii="宋体" w:hAnsi="宋体" w:cs="宋体" w:eastAsia="宋体" w:hint="default"/>
          <w:b/>
          <w:bCs/>
          <w:spacing w:val="-138"/>
          <w:w w:val="99"/>
          <w:sz w:val="28"/>
          <w:szCs w:val="28"/>
        </w:rPr>
        <w:t> </w:t>
      </w:r>
      <w:r>
        <w:rPr>
          <w:rFonts w:ascii="宋体" w:hAnsi="宋体" w:cs="宋体" w:eastAsia="宋体" w:hint="default"/>
          <w:b/>
          <w:bCs/>
          <w:spacing w:val="-138"/>
          <w:w w:val="99"/>
          <w:sz w:val="28"/>
          <w:szCs w:val="28"/>
        </w:rPr>
      </w:r>
      <w:r>
        <w:rPr>
          <w:rFonts w:ascii="宋体" w:hAnsi="宋体" w:cs="宋体" w:eastAsia="宋体" w:hint="default"/>
          <w:b/>
          <w:bCs/>
          <w:sz w:val="28"/>
          <w:szCs w:val="28"/>
        </w:rPr>
        <w:t>定媒体刊登的信息为准，敬请投资者注意投资风险。</w:t>
      </w:r>
      <w:r>
        <w:rPr>
          <w:rFonts w:ascii="宋体" w:hAnsi="宋体" w:cs="宋体" w:eastAsia="宋体" w:hint="default"/>
          <w:sz w:val="28"/>
          <w:szCs w:val="28"/>
        </w:rPr>
      </w:r>
    </w:p>
    <w:p>
      <w:pPr>
        <w:spacing w:after="0" w:line="386" w:lineRule="auto"/>
        <w:jc w:val="both"/>
        <w:rPr>
          <w:rFonts w:ascii="宋体" w:hAnsi="宋体" w:cs="宋体" w:eastAsia="宋体" w:hint="default"/>
          <w:sz w:val="28"/>
          <w:szCs w:val="2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3"/>
          <w:szCs w:val="13"/>
        </w:rPr>
      </w:pPr>
    </w:p>
    <w:p>
      <w:pPr>
        <w:spacing w:before="13"/>
        <w:ind w:left="716"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公司经本次董事会审议通过的利润分配预案为：以截止</w:t>
      </w:r>
      <w:r>
        <w:rPr>
          <w:rFonts w:ascii="宋体" w:hAnsi="宋体" w:cs="宋体" w:eastAsia="宋体" w:hint="default"/>
          <w:b/>
          <w:bCs/>
          <w:spacing w:val="-107"/>
          <w:sz w:val="28"/>
          <w:szCs w:val="28"/>
        </w:rPr>
        <w:t> </w:t>
      </w:r>
      <w:r>
        <w:rPr>
          <w:rFonts w:ascii="Times New Roman" w:hAnsi="Times New Roman" w:cs="Times New Roman" w:eastAsia="Times New Roman" w:hint="default"/>
          <w:b/>
          <w:bCs/>
          <w:sz w:val="28"/>
          <w:szCs w:val="28"/>
        </w:rPr>
        <w:t>2018</w:t>
      </w:r>
      <w:r>
        <w:rPr>
          <w:rFonts w:ascii="Times New Roman" w:hAnsi="Times New Roman" w:cs="Times New Roman" w:eastAsia="Times New Roman" w:hint="default"/>
          <w:b/>
          <w:bCs/>
          <w:spacing w:val="-40"/>
          <w:sz w:val="28"/>
          <w:szCs w:val="28"/>
        </w:rPr>
        <w:t> </w:t>
      </w:r>
      <w:r>
        <w:rPr>
          <w:rFonts w:ascii="宋体" w:hAnsi="宋体" w:cs="宋体" w:eastAsia="宋体" w:hint="default"/>
          <w:b/>
          <w:bCs/>
          <w:sz w:val="28"/>
          <w:szCs w:val="28"/>
        </w:rPr>
        <w:t>年末扣除回购</w:t>
      </w:r>
      <w:r>
        <w:rPr>
          <w:rFonts w:ascii="宋体" w:hAnsi="宋体" w:cs="宋体" w:eastAsia="宋体" w:hint="default"/>
          <w:sz w:val="28"/>
          <w:szCs w:val="28"/>
        </w:rPr>
      </w:r>
    </w:p>
    <w:p>
      <w:pPr>
        <w:spacing w:before="236"/>
        <w:ind w:left="154" w:right="0" w:firstLine="0"/>
        <w:jc w:val="left"/>
        <w:rPr>
          <w:rFonts w:ascii="Times New Roman" w:hAnsi="Times New Roman" w:cs="Times New Roman" w:eastAsia="Times New Roman" w:hint="default"/>
          <w:sz w:val="28"/>
          <w:szCs w:val="28"/>
        </w:rPr>
      </w:pPr>
      <w:r>
        <w:rPr>
          <w:rFonts w:ascii="宋体" w:hAnsi="宋体" w:cs="宋体" w:eastAsia="宋体" w:hint="default"/>
          <w:b/>
          <w:bCs/>
          <w:sz w:val="28"/>
          <w:szCs w:val="28"/>
        </w:rPr>
        <w:t>股份后的总股本</w:t>
      </w:r>
      <w:r>
        <w:rPr>
          <w:rFonts w:ascii="宋体" w:hAnsi="宋体" w:cs="宋体" w:eastAsia="宋体" w:hint="default"/>
          <w:b/>
          <w:bCs/>
          <w:spacing w:val="-57"/>
          <w:sz w:val="28"/>
          <w:szCs w:val="28"/>
        </w:rPr>
        <w:t> </w:t>
      </w:r>
      <w:r>
        <w:rPr>
          <w:rFonts w:ascii="Times New Roman" w:hAnsi="Times New Roman" w:cs="Times New Roman" w:eastAsia="Times New Roman" w:hint="default"/>
          <w:b/>
          <w:bCs/>
          <w:sz w:val="28"/>
          <w:szCs w:val="28"/>
        </w:rPr>
        <w:t>668,723,620</w:t>
      </w:r>
      <w:r>
        <w:rPr>
          <w:rFonts w:ascii="Times New Roman" w:hAnsi="Times New Roman" w:cs="Times New Roman" w:eastAsia="Times New Roman" w:hint="default"/>
          <w:b/>
          <w:bCs/>
          <w:spacing w:val="11"/>
          <w:sz w:val="28"/>
          <w:szCs w:val="28"/>
        </w:rPr>
        <w:t> </w:t>
      </w:r>
      <w:r>
        <w:rPr>
          <w:rFonts w:ascii="宋体" w:hAnsi="宋体" w:cs="宋体" w:eastAsia="宋体" w:hint="default"/>
          <w:b/>
          <w:bCs/>
          <w:sz w:val="28"/>
          <w:szCs w:val="28"/>
        </w:rPr>
        <w:t>股为基数，向全体股东每</w:t>
      </w:r>
      <w:r>
        <w:rPr>
          <w:rFonts w:ascii="宋体" w:hAnsi="宋体" w:cs="宋体" w:eastAsia="宋体" w:hint="default"/>
          <w:b/>
          <w:bCs/>
          <w:spacing w:val="-56"/>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11"/>
          <w:sz w:val="28"/>
          <w:szCs w:val="28"/>
        </w:rPr>
        <w:t> </w:t>
      </w:r>
      <w:r>
        <w:rPr>
          <w:rFonts w:ascii="宋体" w:hAnsi="宋体" w:cs="宋体" w:eastAsia="宋体" w:hint="default"/>
          <w:b/>
          <w:bCs/>
          <w:sz w:val="28"/>
          <w:szCs w:val="28"/>
        </w:rPr>
        <w:t>股派发现金红利</w:t>
      </w:r>
      <w:r>
        <w:rPr>
          <w:rFonts w:ascii="宋体" w:hAnsi="宋体" w:cs="宋体" w:eastAsia="宋体" w:hint="default"/>
          <w:b/>
          <w:bCs/>
          <w:spacing w:val="-57"/>
          <w:sz w:val="28"/>
          <w:szCs w:val="28"/>
        </w:rPr>
        <w:t> </w:t>
      </w:r>
      <w:r>
        <w:rPr>
          <w:rFonts w:ascii="Times New Roman" w:hAnsi="Times New Roman" w:cs="Times New Roman" w:eastAsia="Times New Roman" w:hint="default"/>
          <w:b/>
          <w:bCs/>
          <w:sz w:val="28"/>
          <w:szCs w:val="28"/>
        </w:rPr>
        <w:t>0.53</w:t>
      </w:r>
      <w:r>
        <w:rPr>
          <w:rFonts w:ascii="Times New Roman" w:hAnsi="Times New Roman" w:cs="Times New Roman" w:eastAsia="Times New Roman" w:hint="default"/>
          <w:sz w:val="28"/>
          <w:szCs w:val="28"/>
        </w:rPr>
      </w:r>
    </w:p>
    <w:p>
      <w:pPr>
        <w:spacing w:before="238"/>
        <w:ind w:left="154" w:right="0" w:firstLine="0"/>
        <w:jc w:val="left"/>
        <w:rPr>
          <w:rFonts w:ascii="宋体" w:hAnsi="宋体" w:cs="宋体" w:eastAsia="宋体" w:hint="default"/>
          <w:sz w:val="28"/>
          <w:szCs w:val="28"/>
        </w:rPr>
      </w:pPr>
      <w:r>
        <w:rPr>
          <w:rFonts w:ascii="宋体" w:hAnsi="宋体" w:cs="宋体" w:eastAsia="宋体" w:hint="default"/>
          <w:b/>
          <w:bCs/>
          <w:w w:val="99"/>
          <w:sz w:val="28"/>
          <w:szCs w:val="28"/>
        </w:rPr>
        <w:t>元（含</w:t>
      </w:r>
      <w:r>
        <w:rPr>
          <w:rFonts w:ascii="宋体" w:hAnsi="宋体" w:cs="宋体" w:eastAsia="宋体" w:hint="default"/>
          <w:b/>
          <w:bCs/>
          <w:spacing w:val="2"/>
          <w:w w:val="99"/>
          <w:sz w:val="28"/>
          <w:szCs w:val="28"/>
        </w:rPr>
        <w:t>税</w:t>
      </w:r>
      <w:r>
        <w:rPr>
          <w:rFonts w:ascii="宋体" w:hAnsi="宋体" w:cs="宋体" w:eastAsia="宋体" w:hint="default"/>
          <w:b/>
          <w:bCs/>
          <w:spacing w:val="-140"/>
          <w:w w:val="99"/>
          <w:sz w:val="28"/>
          <w:szCs w:val="28"/>
        </w:rPr>
        <w:t>）</w:t>
      </w:r>
      <w:r>
        <w:rPr>
          <w:rFonts w:ascii="宋体" w:hAnsi="宋体" w:cs="宋体" w:eastAsia="宋体" w:hint="default"/>
          <w:b/>
          <w:bCs/>
          <w:w w:val="99"/>
          <w:sz w:val="28"/>
          <w:szCs w:val="28"/>
        </w:rPr>
        <w:t>，送</w:t>
      </w:r>
      <w:r>
        <w:rPr>
          <w:rFonts w:ascii="宋体" w:hAnsi="宋体" w:cs="宋体" w:eastAsia="宋体" w:hint="default"/>
          <w:b/>
          <w:bCs/>
          <w:spacing w:val="2"/>
          <w:w w:val="99"/>
          <w:sz w:val="28"/>
          <w:szCs w:val="28"/>
        </w:rPr>
        <w:t>红</w:t>
      </w:r>
      <w:r>
        <w:rPr>
          <w:rFonts w:ascii="宋体" w:hAnsi="宋体" w:cs="宋体" w:eastAsia="宋体" w:hint="default"/>
          <w:b/>
          <w:bCs/>
          <w:w w:val="99"/>
          <w:sz w:val="28"/>
          <w:szCs w:val="28"/>
        </w:rPr>
        <w:t>股</w:t>
      </w:r>
      <w:r>
        <w:rPr>
          <w:rFonts w:ascii="宋体" w:hAnsi="宋体" w:cs="宋体" w:eastAsia="宋体" w:hint="default"/>
          <w:b/>
          <w:bCs/>
          <w:spacing w:val="-67"/>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1"/>
          <w:sz w:val="28"/>
          <w:szCs w:val="28"/>
        </w:rPr>
        <w:t> </w:t>
      </w:r>
      <w:r>
        <w:rPr>
          <w:rFonts w:ascii="宋体" w:hAnsi="宋体" w:cs="宋体" w:eastAsia="宋体" w:hint="default"/>
          <w:b/>
          <w:bCs/>
          <w:w w:val="99"/>
          <w:sz w:val="28"/>
          <w:szCs w:val="28"/>
        </w:rPr>
        <w:t>股（含税</w:t>
      </w:r>
      <w:r>
        <w:rPr>
          <w:rFonts w:ascii="宋体" w:hAnsi="宋体" w:cs="宋体" w:eastAsia="宋体" w:hint="default"/>
          <w:b/>
          <w:bCs/>
          <w:spacing w:val="-140"/>
          <w:w w:val="99"/>
          <w:sz w:val="28"/>
          <w:szCs w:val="28"/>
        </w:rPr>
        <w:t>）</w:t>
      </w:r>
      <w:r>
        <w:rPr>
          <w:rFonts w:ascii="宋体" w:hAnsi="宋体" w:cs="宋体" w:eastAsia="宋体" w:hint="default"/>
          <w:b/>
          <w:bCs/>
          <w:spacing w:val="2"/>
          <w:w w:val="99"/>
          <w:sz w:val="28"/>
          <w:szCs w:val="28"/>
        </w:rPr>
        <w:t>，</w:t>
      </w:r>
      <w:r>
        <w:rPr>
          <w:rFonts w:ascii="宋体" w:hAnsi="宋体" w:cs="宋体" w:eastAsia="宋体" w:hint="default"/>
          <w:b/>
          <w:bCs/>
          <w:w w:val="99"/>
          <w:sz w:val="28"/>
          <w:szCs w:val="28"/>
        </w:rPr>
        <w:t>不以公</w:t>
      </w:r>
      <w:r>
        <w:rPr>
          <w:rFonts w:ascii="宋体" w:hAnsi="宋体" w:cs="宋体" w:eastAsia="宋体" w:hint="default"/>
          <w:b/>
          <w:bCs/>
          <w:spacing w:val="2"/>
          <w:w w:val="99"/>
          <w:sz w:val="28"/>
          <w:szCs w:val="28"/>
        </w:rPr>
        <w:t>积</w:t>
      </w:r>
      <w:r>
        <w:rPr>
          <w:rFonts w:ascii="宋体" w:hAnsi="宋体" w:cs="宋体" w:eastAsia="宋体" w:hint="default"/>
          <w:b/>
          <w:bCs/>
          <w:w w:val="99"/>
          <w:sz w:val="28"/>
          <w:szCs w:val="28"/>
        </w:rPr>
        <w:t>金转增</w:t>
      </w:r>
      <w:r>
        <w:rPr>
          <w:rFonts w:ascii="宋体" w:hAnsi="宋体" w:cs="宋体" w:eastAsia="宋体" w:hint="default"/>
          <w:b/>
          <w:bCs/>
          <w:spacing w:val="2"/>
          <w:w w:val="99"/>
          <w:sz w:val="28"/>
          <w:szCs w:val="28"/>
        </w:rPr>
        <w:t>股</w:t>
      </w:r>
      <w:r>
        <w:rPr>
          <w:rFonts w:ascii="宋体" w:hAnsi="宋体" w:cs="宋体" w:eastAsia="宋体" w:hint="default"/>
          <w:b/>
          <w:bCs/>
          <w:w w:val="99"/>
          <w:sz w:val="28"/>
          <w:szCs w:val="28"/>
        </w:rPr>
        <w:t>本。</w:t>
      </w:r>
      <w:r>
        <w:rPr>
          <w:rFonts w:ascii="宋体" w:hAnsi="宋体" w:cs="宋体" w:eastAsia="宋体" w:hint="default"/>
          <w:sz w:val="28"/>
          <w:szCs w:val="28"/>
        </w:rPr>
      </w:r>
    </w:p>
    <w:p>
      <w:pPr>
        <w:spacing w:after="0"/>
        <w:jc w:val="left"/>
        <w:rPr>
          <w:rFonts w:ascii="宋体" w:hAnsi="宋体" w:cs="宋体" w:eastAsia="宋体" w:hint="default"/>
          <w:sz w:val="28"/>
          <w:szCs w:val="2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23"/>
        <w:ind w:left="1882" w:right="2858"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1">
            <w:r>
              <w:rPr/>
              <w:t>第一节</w:t>
            </w:r>
            <w:r>
              <w:rPr>
                <w:spacing w:val="-19"/>
              </w:rPr>
              <w:t> </w:t>
            </w:r>
            <w:r>
              <w:rPr/>
              <w:t>重要提示、目录和释义</w:t>
            </w:r>
            <w:r>
              <w:rPr>
                <w:rFonts w:ascii="Times New Roman" w:hAnsi="Times New Roman" w:cs="Times New Roman" w:eastAsia="Times New Roman" w:hint="default"/>
              </w:rPr>
              <w:tab/>
              <w:t>7</w:t>
            </w:r>
            <w:r>
              <w:rPr>
                <w:rFonts w:ascii="Times New Roman" w:hAnsi="Times New Roman" w:cs="Times New Roman" w:eastAsia="Times New Roman" w:hint="default"/>
                <w:b w:val="0"/>
                <w:bCs w:val="0"/>
              </w:rPr>
            </w:r>
          </w:hyperlink>
        </w:p>
        <w:p>
          <w:pPr>
            <w:pStyle w:val="TOC1"/>
            <w:tabs>
              <w:tab w:pos="9769"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第二节</w:t>
            </w:r>
            <w:r>
              <w:rPr>
                <w:spacing w:val="-19"/>
              </w:rPr>
              <w:t> </w:t>
            </w:r>
            <w:r>
              <w:rPr/>
              <w:t>公司简介和主要财务指标</w:t>
            </w:r>
            <w:r>
              <w:rPr>
                <w:rFonts w:ascii="Times New Roman" w:hAnsi="Times New Roman" w:cs="Times New Roman" w:eastAsia="Times New Roman" w:hint="default"/>
              </w:rPr>
              <w:tab/>
            </w:r>
            <w:r>
              <w:rPr>
                <w:rFonts w:ascii="Times New Roman" w:hAnsi="Times New Roman" w:cs="Times New Roman" w:eastAsia="Times New Roman" w:hint="default"/>
                <w:spacing w:val="-14"/>
              </w:rPr>
              <w:t>11</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第三节</w:t>
            </w:r>
            <w:r>
              <w:rPr>
                <w:spacing w:val="-19"/>
              </w:rPr>
              <w:t> </w:t>
            </w:r>
            <w:r>
              <w:rPr/>
              <w:t>公司业务概要</w:t>
            </w:r>
            <w:r>
              <w:rPr>
                <w:rFonts w:ascii="Times New Roman" w:hAnsi="Times New Roman" w:cs="Times New Roman" w:eastAsia="Times New Roman" w:hint="default"/>
              </w:rPr>
              <w:tab/>
              <w:t>16</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第四节</w:t>
            </w:r>
            <w:r>
              <w:rPr>
                <w:spacing w:val="-19"/>
              </w:rPr>
              <w:t> </w:t>
            </w:r>
            <w:r>
              <w:rPr/>
              <w:t>经营情况讨论与分析</w:t>
            </w:r>
            <w:r>
              <w:rPr>
                <w:rFonts w:ascii="Times New Roman" w:hAnsi="Times New Roman" w:cs="Times New Roman" w:eastAsia="Times New Roman" w:hint="default"/>
              </w:rPr>
              <w:tab/>
              <w:t>40</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第五节</w:t>
            </w:r>
            <w:r>
              <w:rPr>
                <w:spacing w:val="-19"/>
              </w:rPr>
              <w:t> </w:t>
            </w:r>
            <w:r>
              <w:rPr/>
              <w:t>重要事项</w:t>
            </w:r>
            <w:r>
              <w:rPr>
                <w:rFonts w:ascii="Times New Roman" w:hAnsi="Times New Roman" w:cs="Times New Roman" w:eastAsia="Times New Roman" w:hint="default"/>
              </w:rPr>
              <w:tab/>
              <w:t>65</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第六节</w:t>
            </w:r>
            <w:r>
              <w:rPr>
                <w:spacing w:val="-19"/>
              </w:rPr>
              <w:t> </w:t>
            </w:r>
            <w:r>
              <w:rPr/>
              <w:t>股份变动及股东情况</w:t>
            </w:r>
            <w:r>
              <w:rPr>
                <w:rFonts w:ascii="Times New Roman" w:hAnsi="Times New Roman" w:cs="Times New Roman" w:eastAsia="Times New Roman" w:hint="default"/>
              </w:rPr>
              <w:tab/>
              <w:t>73</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第七节</w:t>
            </w:r>
            <w:r>
              <w:rPr>
                <w:spacing w:val="-19"/>
              </w:rPr>
              <w:t> </w:t>
            </w:r>
            <w:r>
              <w:rPr/>
              <w:t>优先股相关情况</w:t>
            </w:r>
            <w:r>
              <w:rPr>
                <w:rFonts w:ascii="Times New Roman" w:hAnsi="Times New Roman" w:cs="Times New Roman" w:eastAsia="Times New Roman" w:hint="default"/>
              </w:rPr>
              <w:tab/>
              <w:t>73</w:t>
            </w:r>
            <w:r>
              <w:rPr>
                <w:rFonts w:ascii="Times New Roman" w:hAnsi="Times New Roman" w:cs="Times New Roman" w:eastAsia="Times New Roman" w:hint="default"/>
                <w:b w:val="0"/>
                <w:bCs w:val="0"/>
              </w:rPr>
            </w:r>
          </w:hyperlink>
        </w:p>
        <w:p>
          <w:pPr>
            <w:pStyle w:val="TOC1"/>
            <w:tabs>
              <w:tab w:pos="9782" w:val="right" w:leader="dot"/>
            </w:tabs>
            <w:spacing w:line="240" w:lineRule="auto" w:before="160"/>
            <w:ind w:right="0"/>
            <w:jc w:val="left"/>
            <w:rPr>
              <w:rFonts w:ascii="Times New Roman" w:hAnsi="Times New Roman" w:cs="Times New Roman" w:eastAsia="Times New Roman" w:hint="default"/>
              <w:b w:val="0"/>
              <w:bCs w:val="0"/>
            </w:rPr>
          </w:pPr>
          <w:hyperlink w:history="true" w:anchor="_TOC_250004">
            <w:r>
              <w:rPr/>
              <w:t>第八节</w:t>
            </w:r>
            <w:r>
              <w:rPr>
                <w:spacing w:val="-19"/>
              </w:rPr>
              <w:t> </w:t>
            </w:r>
            <w:r>
              <w:rPr/>
              <w:t>董事、监事、高级管理人员和员工情况</w:t>
            </w:r>
            <w:r>
              <w:rPr>
                <w:rFonts w:ascii="Times New Roman" w:hAnsi="Times New Roman" w:cs="Times New Roman" w:eastAsia="Times New Roman" w:hint="default"/>
              </w:rPr>
              <w:tab/>
              <w:t>74</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第九节</w:t>
            </w:r>
            <w:r>
              <w:rPr>
                <w:spacing w:val="-19"/>
              </w:rPr>
              <w:t> </w:t>
            </w:r>
            <w:r>
              <w:rPr/>
              <w:t>公司治理</w:t>
            </w:r>
            <w:r>
              <w:rPr>
                <w:rFonts w:ascii="Times New Roman" w:hAnsi="Times New Roman" w:cs="Times New Roman" w:eastAsia="Times New Roman" w:hint="default"/>
              </w:rPr>
              <w:tab/>
              <w:t>83</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第十节</w:t>
            </w:r>
            <w:r>
              <w:rPr>
                <w:spacing w:val="-19"/>
              </w:rPr>
              <w:t> </w:t>
            </w:r>
            <w:r>
              <w:rPr/>
              <w:t>公司债券相关情况</w:t>
            </w:r>
            <w:r>
              <w:rPr>
                <w:rFonts w:ascii="Times New Roman" w:hAnsi="Times New Roman" w:cs="Times New Roman" w:eastAsia="Times New Roman" w:hint="default"/>
              </w:rPr>
              <w:tab/>
              <w:t>90</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第十一节</w:t>
            </w:r>
            <w:r>
              <w:rPr>
                <w:spacing w:val="-19"/>
              </w:rPr>
              <w:t> </w:t>
            </w:r>
            <w:r>
              <w:rPr/>
              <w:t>财务报告</w:t>
            </w:r>
            <w:r>
              <w:rPr>
                <w:rFonts w:ascii="Times New Roman" w:hAnsi="Times New Roman" w:cs="Times New Roman" w:eastAsia="Times New Roman" w:hint="default"/>
              </w:rPr>
              <w:tab/>
              <w:t>91</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第十二节</w:t>
            </w:r>
            <w:r>
              <w:rPr>
                <w:spacing w:val="-20"/>
              </w:rPr>
              <w:t> </w:t>
            </w:r>
            <w:r>
              <w:rPr/>
              <w:t>备查文件目录</w:t>
            </w:r>
            <w:r>
              <w:rPr>
                <w:rFonts w:ascii="Times New Roman" w:hAnsi="Times New Roman" w:cs="Times New Roman" w:eastAsia="Times New Roman" w:hint="default"/>
              </w:rPr>
              <w:tab/>
              <w:t>217</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7" w:footer="979" w:top="1060" w:bottom="1160" w:left="980" w:right="0"/>
        </w:sectPr>
      </w:pPr>
    </w:p>
    <w:p>
      <w:pPr>
        <w:spacing w:before="946"/>
        <w:ind w:left="1882" w:right="2858"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本公司、公司、中电兴发、股份公司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安徽中电兴发与鑫龙科技股份有限公司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《公司章程》或《章程》</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《安徽中电兴发与鑫龙科技股份有限公司公司章程》</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安徽中电兴发与鑫龙科技股份有限公司股东大会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安徽中电兴发与鑫龙科技股份有限公司董事会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安徽中电兴发与鑫龙科技股份有限公司监事会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大华事务所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开源证券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开源证券股份有限公司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北京中电兴发</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北京中电兴发科技有限公司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w:t>
            </w:r>
            <w:r>
              <w:rPr>
                <w:rFonts w:ascii="Times New Roman" w:hAnsi="Times New Roman" w:cs="Times New Roman" w:eastAsia="Times New Roman" w:hint="default"/>
                <w:sz w:val="18"/>
                <w:szCs w:val="18"/>
              </w:rPr>
              <w:t>/</w:t>
            </w:r>
            <w:r>
              <w:rPr>
                <w:rFonts w:ascii="宋体" w:hAnsi="宋体" w:cs="宋体" w:eastAsia="宋体" w:hint="default"/>
                <w:sz w:val="18"/>
                <w:szCs w:val="18"/>
              </w:rPr>
              <w:t>人民币万元</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r>
        <w:rPr/>
        <w:pict>
          <v:group style="position:absolute;margin-left:172.339996pt;margin-top:292.879974pt;width:361.5pt;height:19.6pt;mso-position-horizontal-relative:page;mso-position-vertical-relative:page;z-index:-1196464" coordorigin="3447,5858" coordsize="7230,392">
            <v:shape style="position:absolute;left:3447;top:5858;width:7230;height:392" coordorigin="3447,5858" coordsize="7230,392" path="m3447,6249l10676,6249,10676,5858,3447,5858,3447,6249xe" filled="true" fillcolor="#ffffff" stroked="false">
              <v:path arrowok="t"/>
              <v:fill type="solid"/>
            </v:shape>
            <w10:wrap type="none"/>
          </v:group>
        </w:pict>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2644" w:right="0"/>
        <w:jc w:val="left"/>
        <w:rPr>
          <w:b w:val="0"/>
          <w:bCs w:val="0"/>
        </w:rPr>
      </w:pPr>
      <w:bookmarkStart w:name="_TOC_250010" w:id="3"/>
      <w:bookmarkStart w:name="第二节 公司简介和主要财务指标" w:id="4"/>
      <w:r>
        <w:rPr>
          <w:b w:val="0"/>
          <w:bCs w:val="0"/>
        </w:rPr>
      </w:r>
      <w:r>
        <w:rPr/>
        <w:t>第二节</w:t>
      </w:r>
      <w:r>
        <w:rPr>
          <w:spacing w:val="-9"/>
        </w:rPr>
        <w:t> </w:t>
      </w:r>
      <w:r>
        <w:rPr/>
        <w:t>公司简介和主要财务指标</w:t>
      </w:r>
      <w:bookmarkEnd w:id="3"/>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65"/>
        <w:gridCol w:w="2145"/>
        <w:gridCol w:w="2188"/>
      </w:tblGrid>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中电兴发</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002298</w:t>
            </w:r>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变更后的股票简称（如有）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中电兴发</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安徽中电兴发与鑫龙科技股份有限公司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中电兴发</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ANHUI SINONET &amp; XINLONG SCIENCE &amp; TECHNOLOGY CO.,</w:t>
            </w:r>
            <w:r>
              <w:rPr>
                <w:rFonts w:ascii="Times New Roman"/>
                <w:spacing w:val="-19"/>
                <w:sz w:val="18"/>
              </w:rPr>
              <w:t> </w:t>
            </w:r>
            <w:r>
              <w:rPr>
                <w:rFonts w:ascii="Times New Roman"/>
                <w:spacing w:val="-5"/>
                <w:sz w:val="18"/>
              </w:rPr>
              <w:t>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S&amp;X</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瞿洪桂</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安徽省芜湖市经济技术开发区电器部件园（九华北路</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118</w:t>
            </w:r>
            <w:r>
              <w:rPr>
                <w:rFonts w:ascii="Times New Roman" w:hAnsi="Times New Roman" w:cs="Times New Roman" w:eastAsia="Times New Roman" w:hint="default"/>
                <w:sz w:val="18"/>
                <w:szCs w:val="18"/>
              </w:rPr>
              <w:t>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241008</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安徽省芜湖市经济技术开发区电器部件园（九华北路</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118</w:t>
            </w:r>
            <w:r>
              <w:rPr>
                <w:rFonts w:ascii="Times New Roman" w:hAnsi="Times New Roman" w:cs="Times New Roman" w:eastAsia="Times New Roman" w:hint="default"/>
                <w:sz w:val="18"/>
                <w:szCs w:val="18"/>
              </w:rPr>
              <w:t>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241008</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www.ah-zdxl.com</w:t>
              </w:r>
            </w:hyperlink>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xinlongdsb@126.com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9"/>
        <w:gridCol w:w="3190"/>
        <w:gridCol w:w="3190"/>
      </w:tblGrid>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汪宇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甘洪亮</w:t>
            </w:r>
          </w:p>
        </w:tc>
      </w:tr>
      <w:tr>
        <w:trPr>
          <w:trHeight w:val="161" w:hRule="exact"/>
        </w:trPr>
        <w:tc>
          <w:tcPr>
            <w:tcW w:w="317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安徽省芜湖市经济技术开发区九华北路</w:t>
            </w:r>
          </w:p>
          <w:p>
            <w:pPr>
              <w:pStyle w:val="TableParagraph"/>
              <w:spacing w:line="240" w:lineRule="auto" w:before="76"/>
              <w:ind w:left="1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118</w:t>
            </w:r>
            <w:r>
              <w:rPr>
                <w:rFonts w:ascii="Times New Roman" w:hAnsi="Times New Roman" w:cs="Times New Roman" w:eastAsia="Times New Roman" w:hint="default"/>
                <w:sz w:val="18"/>
                <w:szCs w:val="18"/>
              </w:rPr>
              <w:t> </w:t>
            </w:r>
            <w:r>
              <w:rPr>
                <w:rFonts w:ascii="宋体" w:hAnsi="宋体" w:cs="宋体" w:eastAsia="宋体" w:hint="default"/>
                <w:sz w:val="18"/>
                <w:szCs w:val="18"/>
              </w:rPr>
              <w:t>号</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安徽省芜湖市经济技术开发区九华北路</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118</w:t>
            </w:r>
            <w:r>
              <w:rPr>
                <w:rFonts w:ascii="Times New Roman" w:hAnsi="Times New Roman" w:cs="Times New Roman" w:eastAsia="Times New Roman" w:hint="default"/>
                <w:sz w:val="18"/>
                <w:szCs w:val="18"/>
              </w:rPr>
              <w:t> </w:t>
            </w:r>
            <w:r>
              <w:rPr>
                <w:rFonts w:ascii="宋体" w:hAnsi="宋体" w:cs="宋体" w:eastAsia="宋体" w:hint="default"/>
                <w:sz w:val="18"/>
                <w:szCs w:val="18"/>
              </w:rPr>
              <w:t>号</w:t>
            </w:r>
          </w:p>
        </w:tc>
      </w:tr>
      <w:tr>
        <w:trPr>
          <w:trHeight w:val="392" w:hRule="exact"/>
        </w:trPr>
        <w:tc>
          <w:tcPr>
            <w:tcW w:w="31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7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0553-5772627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0553-5772627</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0553-5312688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0553-5772865</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hyperlink r:id="rId10">
              <w:r>
                <w:rPr>
                  <w:rFonts w:ascii="Times New Roman"/>
                  <w:sz w:val="18"/>
                </w:rPr>
                <w:t>xinlongdsb@126.com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ganhongliang@163.com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8">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pacing w:val="29"/>
                <w:sz w:val="18"/>
                <w:szCs w:val="18"/>
              </w:rPr>
              <w:t> </w:t>
            </w:r>
            <w:r>
              <w:rPr>
                <w:rFonts w:ascii="宋体" w:hAnsi="宋体" w:cs="宋体" w:eastAsia="宋体" w:hint="default"/>
                <w:sz w:val="18"/>
                <w:szCs w:val="18"/>
              </w:rPr>
              <w:t>）</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bookmarkStart w:name="四、注册变更情况" w:id="8"/>
      <w:bookmarkEnd w:id="8"/>
      <w:r>
        <w:rPr>
          <w:b w:val="0"/>
          <w:bCs w:val="0"/>
        </w:rPr>
      </w:r>
      <w:r>
        <w:rPr/>
        <w:t>四、注册变更情况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7"/>
          <w:szCs w:val="17"/>
        </w:rPr>
      </w:pPr>
    </w:p>
    <w:p>
      <w:pPr>
        <w:pStyle w:val="BodyText"/>
        <w:spacing w:line="240" w:lineRule="auto"/>
        <w:ind w:left="7524" w:right="1139"/>
        <w:jc w:val="right"/>
      </w:pPr>
      <w:r>
        <w:rPr/>
        <w:pict>
          <v:shape style="position:absolute;margin-left:56.459999pt;margin-top:-20.948305pt;width:479.2pt;height:326.05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0"/>
                    <w:gridCol w:w="63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10"/>
                          <w:jc w:val="left"/>
                          <w:rPr>
                            <w:rFonts w:ascii="宋体" w:hAnsi="宋体" w:cs="宋体" w:eastAsia="宋体" w:hint="default"/>
                            <w:sz w:val="18"/>
                            <w:szCs w:val="18"/>
                          </w:rPr>
                        </w:pPr>
                        <w:r>
                          <w:rPr>
                            <w:rFonts w:ascii="宋体" w:hAnsi="宋体" w:cs="宋体" w:eastAsia="宋体" w:hint="default"/>
                            <w:spacing w:val="-2"/>
                            <w:sz w:val="18"/>
                            <w:szCs w:val="18"/>
                          </w:rPr>
                          <w:t>因公司收购北京中电兴发科技有限公司，公司所属行业为软件和信息技术服务业</w:t>
                        </w:r>
                        <w:r>
                          <w:rPr>
                            <w:rFonts w:ascii="宋体" w:hAnsi="宋体" w:cs="宋体" w:eastAsia="宋体" w:hint="default"/>
                            <w:sz w:val="18"/>
                            <w:szCs w:val="18"/>
                          </w:rPr>
                          <w:t> 公司的主营业务为智慧城市、公共安全与反恐。</w:t>
                        </w:r>
                      </w:p>
                    </w:tc>
                  </w:tr>
                  <w:tr>
                    <w:trPr>
                      <w:trHeight w:val="539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3" w:right="21"/>
                          <w:jc w:val="left"/>
                          <w:rPr>
                            <w:rFonts w:ascii="宋体" w:hAnsi="宋体" w:cs="宋体" w:eastAsia="宋体" w:hint="default"/>
                            <w:sz w:val="18"/>
                            <w:szCs w:val="18"/>
                          </w:rPr>
                        </w:pPr>
                        <w:r>
                          <w:rPr>
                            <w:rFonts w:ascii="Times New Roman" w:hAnsi="Times New Roman" w:cs="Times New Roman" w:eastAsia="Times New Roman" w:hint="default"/>
                            <w:spacing w:val="-16"/>
                            <w:sz w:val="18"/>
                            <w:szCs w:val="18"/>
                          </w:rPr>
                          <w:t>1</w:t>
                        </w:r>
                        <w:r>
                          <w:rPr>
                            <w:rFonts w:ascii="宋体" w:hAnsi="宋体" w:cs="宋体" w:eastAsia="宋体" w:hint="default"/>
                            <w:spacing w:val="-16"/>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日披露了《关于控股股东减持股份预披露的公告</w:t>
                        </w:r>
                        <w:r>
                          <w:rPr>
                            <w:rFonts w:ascii="宋体" w:hAnsi="宋体" w:cs="宋体" w:eastAsia="宋体" w:hint="default"/>
                            <w:spacing w:val="1"/>
                            <w:sz w:val="18"/>
                            <w:szCs w:val="18"/>
                          </w:rPr>
                          <w:t> </w:t>
                        </w:r>
                        <w:r>
                          <w:rPr>
                            <w:rFonts w:ascii="宋体" w:hAnsi="宋体" w:cs="宋体" w:eastAsia="宋体" w:hint="default"/>
                            <w:spacing w:val="-32"/>
                            <w:sz w:val="18"/>
                            <w:szCs w:val="18"/>
                          </w:rPr>
                          <w:t>》和《关</w:t>
                        </w:r>
                        <w:r>
                          <w:rPr>
                            <w:rFonts w:ascii="宋体" w:hAnsi="宋体" w:cs="宋体" w:eastAsia="宋体" w:hint="default"/>
                            <w:sz w:val="18"/>
                            <w:szCs w:val="18"/>
                          </w:rPr>
                          <w:t> 于持股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以上股东计划增持公司股份的公告 </w:t>
                        </w:r>
                        <w:r>
                          <w:rPr>
                            <w:rFonts w:ascii="宋体" w:hAnsi="宋体" w:cs="宋体" w:eastAsia="宋体" w:hint="default"/>
                            <w:spacing w:val="-6"/>
                            <w:sz w:val="18"/>
                            <w:szCs w:val="18"/>
                          </w:rPr>
                          <w:t>》，公司控股股东束龙胜先生拟向</w:t>
                        </w:r>
                        <w:r>
                          <w:rPr>
                            <w:rFonts w:ascii="宋体" w:hAnsi="宋体" w:cs="宋体" w:eastAsia="宋体" w:hint="default"/>
                            <w:sz w:val="18"/>
                            <w:szCs w:val="18"/>
                          </w:rPr>
                          <w:t> </w:t>
                        </w:r>
                        <w:r>
                          <w:rPr>
                            <w:rFonts w:ascii="宋体" w:hAnsi="宋体" w:cs="宋体" w:eastAsia="宋体" w:hint="default"/>
                            <w:spacing w:val="-7"/>
                            <w:w w:val="100"/>
                            <w:sz w:val="18"/>
                            <w:szCs w:val="18"/>
                          </w:rPr>
                          <w:t>公司第二大东瞿洪桂控制的云泽投资管理（天津）有限公司（以下简称</w:t>
                        </w:r>
                        <w:r>
                          <w:rPr>
                            <w:rFonts w:ascii="Times New Roman" w:hAnsi="Times New Roman" w:cs="Times New Roman" w:eastAsia="Times New Roman" w:hint="default"/>
                            <w:spacing w:val="-7"/>
                            <w:w w:val="100"/>
                            <w:sz w:val="18"/>
                            <w:szCs w:val="18"/>
                          </w:rPr>
                          <w:t>“</w:t>
                        </w:r>
                        <w:r>
                          <w:rPr>
                            <w:rFonts w:ascii="宋体" w:hAnsi="宋体" w:cs="宋体" w:eastAsia="宋体" w:hint="default"/>
                            <w:spacing w:val="-7"/>
                            <w:w w:val="100"/>
                            <w:sz w:val="18"/>
                            <w:szCs w:val="18"/>
                          </w:rPr>
                          <w:t>云泽投资</w:t>
                        </w:r>
                        <w:r>
                          <w:rPr>
                            <w:rFonts w:ascii="Times New Roman" w:hAnsi="Times New Roman" w:cs="Times New Roman" w:eastAsia="Times New Roman" w:hint="default"/>
                            <w:spacing w:val="-7"/>
                            <w:w w:val="100"/>
                            <w:sz w:val="18"/>
                            <w:szCs w:val="18"/>
                          </w:rPr>
                          <w:t>”</w:t>
                        </w:r>
                        <w:r>
                          <w:rPr>
                            <w:rFonts w:ascii="Times New Roman" w:hAnsi="Times New Roman" w:cs="Times New Roman" w:eastAsia="Times New Roman" w:hint="default"/>
                            <w:spacing w:val="-16"/>
                            <w:w w:val="100"/>
                            <w:sz w:val="18"/>
                            <w:szCs w:val="18"/>
                          </w:rPr>
                          <w:t> </w:t>
                        </w:r>
                        <w:r>
                          <w:rPr>
                            <w:rFonts w:ascii="宋体" w:hAnsi="宋体" w:cs="宋体" w:eastAsia="宋体" w:hint="default"/>
                            <w:sz w:val="18"/>
                            <w:szCs w:val="18"/>
                          </w:rPr>
                          <w:t>所发行的云泽投资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号私募证券投资基金（以下简称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云泽投资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号基金</w:t>
                        </w:r>
                        <w:r>
                          <w:rPr>
                            <w:rFonts w:ascii="Times New Roman" w:hAnsi="Times New Roman" w:cs="Times New Roman" w:eastAsia="Times New Roman" w:hint="default"/>
                            <w:sz w:val="18"/>
                            <w:szCs w:val="18"/>
                          </w:rPr>
                          <w:t>”</w:t>
                        </w:r>
                        <w:r>
                          <w:rPr>
                            <w:rFonts w:ascii="宋体" w:hAnsi="宋体" w:cs="宋体" w:eastAsia="宋体" w:hint="default"/>
                            <w:sz w:val="18"/>
                            <w:szCs w:val="18"/>
                          </w:rPr>
                          <w:t>）自计 划减持公告披露之日起六个月内通过深圳证券交易所大宗交易系统转让不超过 </w:t>
                        </w:r>
                        <w:r>
                          <w:rPr>
                            <w:rFonts w:ascii="Times New Roman" w:hAnsi="Times New Roman" w:cs="Times New Roman" w:eastAsia="Times New Roman" w:hint="default"/>
                            <w:sz w:val="18"/>
                            <w:szCs w:val="18"/>
                          </w:rPr>
                          <w:t>1,626 </w:t>
                        </w:r>
                        <w:r>
                          <w:rPr>
                            <w:rFonts w:ascii="宋体" w:hAnsi="宋体" w:cs="宋体" w:eastAsia="宋体" w:hint="default"/>
                            <w:sz w:val="18"/>
                            <w:szCs w:val="18"/>
                          </w:rPr>
                          <w:t>万股，即公司总股本比例</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2.36%</w:t>
                        </w:r>
                        <w:r>
                          <w:rPr>
                            <w:rFonts w:ascii="宋体" w:hAnsi="宋体" w:cs="宋体" w:eastAsia="宋体" w:hint="default"/>
                            <w:sz w:val="18"/>
                            <w:szCs w:val="18"/>
                          </w:rPr>
                          <w:t>的股份；公司第二大股东瞿洪桂目前持有公 司</w:t>
                        </w:r>
                        <w:r>
                          <w:rPr>
                            <w:rFonts w:ascii="宋体" w:hAnsi="宋体" w:cs="宋体" w:eastAsia="宋体" w:hint="default"/>
                            <w:spacing w:val="-42"/>
                            <w:sz w:val="18"/>
                            <w:szCs w:val="18"/>
                          </w:rPr>
                          <w:t> </w:t>
                        </w:r>
                        <w:r>
                          <w:rPr>
                            <w:rFonts w:ascii="Times New Roman" w:hAnsi="Times New Roman" w:cs="Times New Roman" w:eastAsia="Times New Roman" w:hint="default"/>
                            <w:spacing w:val="-3"/>
                            <w:sz w:val="18"/>
                            <w:szCs w:val="18"/>
                          </w:rPr>
                          <w:t>18.42%</w:t>
                        </w:r>
                        <w:r>
                          <w:rPr>
                            <w:rFonts w:ascii="宋体" w:hAnsi="宋体" w:cs="宋体" w:eastAsia="宋体" w:hint="default"/>
                            <w:spacing w:val="-3"/>
                            <w:sz w:val="18"/>
                            <w:szCs w:val="18"/>
                          </w:rPr>
                          <w:t>的股权，通过其发行的云泽</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号基金自计划增持公告披露之日起六个月 内通过深圳证券交易所大宗交易系统增持不超过公司总股本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2.36%</w:t>
                        </w:r>
                        <w:r>
                          <w:rPr>
                            <w:rFonts w:ascii="宋体" w:hAnsi="宋体" w:cs="宋体" w:eastAsia="宋体" w:hint="default"/>
                            <w:sz w:val="18"/>
                            <w:szCs w:val="18"/>
                          </w:rPr>
                          <w:t>的股份。若本 次股权转让按计划最终完成，增持完成后，瞿洪桂先生及其实际控制的云泽投资 </w:t>
                        </w:r>
                        <w:r>
                          <w:rPr>
                            <w:rFonts w:ascii="Times New Roman" w:hAnsi="Times New Roman" w:cs="Times New Roman" w:eastAsia="Times New Roman" w:hint="default"/>
                            <w:sz w:val="18"/>
                            <w:szCs w:val="18"/>
                          </w:rPr>
                          <w:t>1 </w:t>
                        </w:r>
                        <w:r>
                          <w:rPr>
                            <w:rFonts w:ascii="宋体" w:hAnsi="宋体" w:cs="宋体" w:eastAsia="宋体" w:hint="default"/>
                            <w:sz w:val="18"/>
                            <w:szCs w:val="18"/>
                          </w:rPr>
                          <w:t>号基金合计持有公司股份数量不超过公司总股本的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20.78%</w:t>
                        </w:r>
                        <w:r>
                          <w:rPr>
                            <w:rFonts w:ascii="宋体" w:hAnsi="宋体" w:cs="宋体" w:eastAsia="宋体" w:hint="default"/>
                            <w:sz w:val="18"/>
                            <w:szCs w:val="18"/>
                          </w:rPr>
                          <w:t>，瞿洪桂将成为公司</w:t>
                        </w:r>
                      </w:p>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第一大股东。</w:t>
                        </w:r>
                        <w:r>
                          <w:rPr>
                            <w:rFonts w:ascii="Times New Roman" w:hAnsi="Times New Roman" w:cs="Times New Roman" w:eastAsia="Times New Roman" w:hint="default"/>
                            <w:sz w:val="18"/>
                            <w:szCs w:val="18"/>
                          </w:rPr>
                          <w:t>2</w:t>
                        </w: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日披露了《安徽中电兴发与鑫龙科技股</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份有限公司详式权益变动报告书</w:t>
                        </w:r>
                        <w:r>
                          <w:rPr>
                            <w:rFonts w:ascii="宋体" w:hAnsi="宋体" w:cs="宋体" w:eastAsia="宋体" w:hint="default"/>
                            <w:spacing w:val="-90"/>
                            <w:sz w:val="18"/>
                            <w:szCs w:val="18"/>
                          </w:rPr>
                          <w:t>》</w:t>
                        </w:r>
                        <w:r>
                          <w:rPr>
                            <w:rFonts w:ascii="宋体" w:hAnsi="宋体" w:cs="宋体" w:eastAsia="宋体" w:hint="default"/>
                            <w:spacing w:val="-13"/>
                            <w:sz w:val="18"/>
                            <w:szCs w:val="18"/>
                          </w:rPr>
                          <w:t>，</w:t>
                        </w:r>
                        <w:r>
                          <w:rPr>
                            <w:rFonts w:ascii="宋体" w:hAnsi="宋体" w:cs="宋体" w:eastAsia="宋体" w:hint="default"/>
                            <w:sz w:val="18"/>
                            <w:szCs w:val="18"/>
                          </w:rPr>
                          <w:t>瞿洪桂先生直接持有公司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127,394,3</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4  </w:t>
                        </w:r>
                        <w:r>
                          <w:rPr>
                            <w:rFonts w:ascii="宋体" w:hAnsi="宋体" w:cs="宋体" w:eastAsia="宋体" w:hint="default"/>
                            <w:sz w:val="18"/>
                            <w:szCs w:val="18"/>
                          </w:rPr>
                          <w:t>股</w:t>
                        </w:r>
                        <w:r>
                          <w:rPr>
                            <w:rFonts w:ascii="宋体" w:hAnsi="宋体" w:cs="宋体" w:eastAsia="宋体" w:hint="default"/>
                            <w:spacing w:val="-13"/>
                            <w:sz w:val="18"/>
                            <w:szCs w:val="18"/>
                          </w:rPr>
                          <w:t>，</w:t>
                        </w:r>
                        <w:r>
                          <w:rPr>
                            <w:rFonts w:ascii="宋体" w:hAnsi="宋体" w:cs="宋体" w:eastAsia="宋体" w:hint="default"/>
                            <w:sz w:val="18"/>
                            <w:szCs w:val="18"/>
                          </w:rPr>
                          <w:t>通</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过其控制的云泽投资发行的云泽投资 </w:t>
                        </w:r>
                        <w:r>
                          <w:rPr>
                            <w:rFonts w:ascii="Times New Roman" w:hAnsi="Times New Roman" w:cs="Times New Roman" w:eastAsia="Times New Roman" w:hint="default"/>
                            <w:sz w:val="18"/>
                            <w:szCs w:val="18"/>
                          </w:rPr>
                          <w:t>1  </w:t>
                        </w:r>
                        <w:r>
                          <w:rPr>
                            <w:rFonts w:ascii="宋体" w:hAnsi="宋体" w:cs="宋体" w:eastAsia="宋体" w:hint="default"/>
                            <w:sz w:val="18"/>
                            <w:szCs w:val="18"/>
                          </w:rPr>
                          <w:t>号私募证券投资基金间接持有公司</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11,370,000  </w:t>
                        </w:r>
                        <w:r>
                          <w:rPr>
                            <w:rFonts w:ascii="宋体" w:hAnsi="宋体" w:cs="宋体" w:eastAsia="宋体" w:hint="default"/>
                            <w:spacing w:val="-8"/>
                            <w:sz w:val="18"/>
                            <w:szCs w:val="18"/>
                          </w:rPr>
                          <w:t>股，合计持有公司 </w:t>
                        </w:r>
                        <w:r>
                          <w:rPr>
                            <w:rFonts w:ascii="Times New Roman" w:hAnsi="Times New Roman" w:cs="Times New Roman" w:eastAsia="Times New Roman" w:hint="default"/>
                            <w:sz w:val="18"/>
                            <w:szCs w:val="18"/>
                          </w:rPr>
                          <w:t>138,764,324  </w:t>
                        </w:r>
                        <w:r>
                          <w:rPr>
                            <w:rFonts w:ascii="宋体" w:hAnsi="宋体" w:cs="宋体" w:eastAsia="宋体" w:hint="default"/>
                            <w:spacing w:val="-6"/>
                            <w:sz w:val="18"/>
                            <w:szCs w:val="18"/>
                          </w:rPr>
                          <w:t>股，占公司总股本比例的 </w:t>
                        </w:r>
                        <w:r>
                          <w:rPr>
                            <w:rFonts w:ascii="Times New Roman" w:hAnsi="Times New Roman" w:cs="Times New Roman" w:eastAsia="Times New Roman" w:hint="default"/>
                            <w:sz w:val="18"/>
                            <w:szCs w:val="18"/>
                          </w:rPr>
                          <w:t>20.07%</w:t>
                        </w:r>
                        <w:r>
                          <w:rPr>
                            <w:rFonts w:ascii="宋体" w:hAnsi="宋体" w:cs="宋体" w:eastAsia="宋体" w:hint="default"/>
                            <w:sz w:val="18"/>
                            <w:szCs w:val="18"/>
                          </w:rPr>
                          <w:t>。</w:t>
                        </w:r>
                        <w:r>
                          <w:rPr>
                            <w:rFonts w:ascii="宋体" w:hAnsi="宋体" w:cs="宋体" w:eastAsia="宋体" w:hint="default"/>
                            <w:spacing w:val="-37"/>
                            <w:sz w:val="18"/>
                            <w:szCs w:val="18"/>
                          </w:rPr>
                          <w:t> </w:t>
                        </w:r>
                        <w:r>
                          <w:rPr>
                            <w:rFonts w:ascii="宋体" w:hAnsi="宋体" w:cs="宋体" w:eastAsia="宋体" w:hint="default"/>
                            <w:sz w:val="18"/>
                            <w:szCs w:val="18"/>
                          </w:rPr>
                          <w:t>截</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至报告期末，瞿洪桂先生直接持有公司 </w:t>
                        </w:r>
                        <w:r>
                          <w:rPr>
                            <w:rFonts w:ascii="Times New Roman" w:hAnsi="Times New Roman" w:cs="Times New Roman" w:eastAsia="Times New Roman" w:hint="default"/>
                            <w:sz w:val="18"/>
                            <w:szCs w:val="18"/>
                          </w:rPr>
                          <w:t>127,394,324</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股，通过其实际控制的云泽</w:t>
                        </w:r>
                      </w:p>
                      <w:p>
                        <w:pPr>
                          <w:pStyle w:val="TableParagraph"/>
                          <w:spacing w:line="302" w:lineRule="auto" w:before="63"/>
                          <w:ind w:left="23" w:right="42"/>
                          <w:jc w:val="left"/>
                          <w:rPr>
                            <w:rFonts w:ascii="宋体" w:hAnsi="宋体" w:cs="宋体" w:eastAsia="宋体" w:hint="default"/>
                            <w:sz w:val="18"/>
                            <w:szCs w:val="18"/>
                          </w:rPr>
                        </w:pPr>
                        <w:r>
                          <w:rPr>
                            <w:rFonts w:ascii="宋体" w:hAnsi="宋体" w:cs="宋体" w:eastAsia="宋体" w:hint="default"/>
                            <w:sz w:val="18"/>
                            <w:szCs w:val="18"/>
                          </w:rPr>
                          <w:t>投资发行的云泽投资 </w:t>
                        </w:r>
                        <w:r>
                          <w:rPr>
                            <w:rFonts w:ascii="Times New Roman" w:hAnsi="Times New Roman" w:cs="Times New Roman" w:eastAsia="Times New Roman" w:hint="default"/>
                            <w:sz w:val="18"/>
                            <w:szCs w:val="18"/>
                          </w:rPr>
                          <w:t>1 </w:t>
                        </w:r>
                        <w:r>
                          <w:rPr>
                            <w:rFonts w:ascii="宋体" w:hAnsi="宋体" w:cs="宋体" w:eastAsia="宋体" w:hint="default"/>
                            <w:sz w:val="18"/>
                            <w:szCs w:val="18"/>
                          </w:rPr>
                          <w:t>号私募证券投资基金间接持有公司 </w:t>
                        </w:r>
                        <w:r>
                          <w:rPr>
                            <w:rFonts w:ascii="Times New Roman" w:hAnsi="Times New Roman" w:cs="Times New Roman" w:eastAsia="Times New Roman" w:hint="default"/>
                            <w:sz w:val="18"/>
                            <w:szCs w:val="18"/>
                          </w:rPr>
                          <w:t>13,080,000</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股，合计 持有公司 </w:t>
                        </w:r>
                        <w:r>
                          <w:rPr>
                            <w:rFonts w:ascii="Times New Roman" w:hAnsi="Times New Roman" w:cs="Times New Roman" w:eastAsia="Times New Roman" w:hint="default"/>
                            <w:sz w:val="18"/>
                            <w:szCs w:val="18"/>
                          </w:rPr>
                          <w:t>140,474,324  </w:t>
                        </w:r>
                        <w:r>
                          <w:rPr>
                            <w:rFonts w:ascii="宋体" w:hAnsi="宋体" w:cs="宋体" w:eastAsia="宋体" w:hint="default"/>
                            <w:sz w:val="18"/>
                            <w:szCs w:val="18"/>
                          </w:rPr>
                          <w:t>股，占公司总股本比例的</w:t>
                        </w:r>
                        <w:r>
                          <w:rPr>
                            <w:rFonts w:ascii="宋体" w:hAnsi="宋体" w:cs="宋体" w:eastAsia="宋体" w:hint="default"/>
                            <w:spacing w:val="-6"/>
                            <w:sz w:val="18"/>
                            <w:szCs w:val="18"/>
                          </w:rPr>
                          <w:t> </w:t>
                        </w:r>
                        <w:r>
                          <w:rPr>
                            <w:rFonts w:ascii="Times New Roman" w:hAnsi="Times New Roman" w:cs="Times New Roman" w:eastAsia="Times New Roman" w:hint="default"/>
                            <w:sz w:val="18"/>
                            <w:szCs w:val="18"/>
                          </w:rPr>
                          <w:t>20.31%</w:t>
                        </w:r>
                        <w:r>
                          <w:rPr>
                            <w:rFonts w:ascii="宋体" w:hAnsi="宋体" w:cs="宋体" w:eastAsia="宋体" w:hint="default"/>
                            <w:sz w:val="18"/>
                            <w:szCs w:val="18"/>
                          </w:rPr>
                          <w:t>为公司第一大股东。</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BodyText"/>
        <w:spacing w:line="240" w:lineRule="auto"/>
        <w:ind w:left="7524" w:right="1138"/>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Heading2"/>
        <w:spacing w:line="240" w:lineRule="auto" w:before="26"/>
        <w:ind w:right="0"/>
        <w:jc w:val="left"/>
        <w:rPr>
          <w:b w:val="0"/>
          <w:bCs w:val="0"/>
        </w:rPr>
      </w:pPr>
      <w:bookmarkStart w:name="五、其他有关资料" w:id="9"/>
      <w:bookmarkEnd w:id="9"/>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北京市海淀区西四环中路</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号院</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号楼</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1101</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吕勇军、王海涛、高山</w:t>
            </w:r>
          </w:p>
        </w:tc>
      </w:tr>
    </w:tbl>
    <w:p>
      <w:pPr>
        <w:pStyle w:val="BodyText"/>
        <w:spacing w:line="240" w:lineRule="auto" w:before="51"/>
        <w:ind w:right="0"/>
        <w:jc w:val="left"/>
      </w:pPr>
      <w:r>
        <w:rPr/>
        <w:t>公司聘请的报告期内履行持续督导职责的保荐机构</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开源证券股份有限公司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西安市高新区锦业路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号都市 之门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陈功、叶跃祥</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公司聘请的报告期内履行持续督导职责的财务顾问</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六、主要会计数据和财务指标" w:id="10"/>
      <w:bookmarkEnd w:id="10"/>
      <w:r>
        <w:rPr>
          <w:b w:val="0"/>
          <w:bCs w:val="0"/>
        </w:rPr>
      </w:r>
      <w:r>
        <w:rPr/>
        <w:t>六、主要会计数据和财务指标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公司是否需追溯调整或重述以前年度会计数据</w:t>
      </w:r>
    </w:p>
    <w:p>
      <w:pPr>
        <w:pStyle w:val="BodyText"/>
        <w:spacing w:line="240" w:lineRule="auto" w:before="11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2,455,958,521.31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2,025,570,083.97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21.25%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1,671,111,700.03</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8"/>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174,762,669.00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172,215,037.92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155,797,834.20</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160,469,065.25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155,150,522.30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131,956,969.72</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-202,702,848.96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150,965,819.13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-234.27%</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294,660,016.62</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0.2505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0.2446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0.2394</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0.2505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0.2446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0.2394</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4.70%</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6,240,132,080.69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5,861,412,229.06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5,418,849,001.05</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4,201,743,490.52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4,302,236,816.66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4,158,180,205.14</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before="0"/>
        <w:ind w:right="18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12"/>
        <w:rPr>
          <w:rFonts w:ascii="宋体" w:hAnsi="宋体" w:cs="宋体" w:eastAsia="宋体" w:hint="default"/>
          <w:sz w:val="20"/>
          <w:szCs w:val="20"/>
        </w:rPr>
      </w:pPr>
    </w:p>
    <w:p>
      <w:pPr>
        <w:pStyle w:val="Heading4"/>
        <w:spacing w:line="240" w:lineRule="auto"/>
        <w:ind w:right="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26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八、分季度主要财务指标" w:id="14"/>
      <w:bookmarkEnd w:id="14"/>
      <w:r>
        <w:rPr>
          <w:b w:val="0"/>
          <w:bCs w:val="0"/>
        </w:rPr>
      </w:r>
      <w:r>
        <w:rPr/>
        <w:t>八、分季度主要财务指标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ind w:left="7524"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447,586,908.78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548,157,385.19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552,056,369.31</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908,157,858.03</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39,578,848.31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44,573,274.64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33,604,523.35</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57,006,022.70</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36,289,569.49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31,266,269.55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32,533,536.65</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60,379,689.56</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-159,447,088.29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-97,583,150.28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-176,271,819.94</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230,599,209.55</w:t>
            </w:r>
          </w:p>
        </w:tc>
      </w:tr>
    </w:tbl>
    <w:p>
      <w:pPr>
        <w:pStyle w:val="BodyText"/>
        <w:spacing w:line="240" w:lineRule="auto" w:before="51"/>
        <w:ind w:right="0"/>
        <w:jc w:val="left"/>
      </w:pPr>
      <w:r>
        <w:rPr/>
        <w:t>上述财务指标或其加总数是否与公司已披露季度报告、半年度报告相关财务指标存在重大差异</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九、非经常性损益项目及金额" w:id="15"/>
      <w:bookmarkEnd w:id="15"/>
      <w:r>
        <w:rPr>
          <w:b w:val="0"/>
          <w:bCs w:val="0"/>
        </w:rPr>
      </w:r>
      <w:r>
        <w:rPr/>
        <w:t>九、非经常性损益项目及金额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7524"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1"/>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2,564,344.13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-1,038,229.03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-191,576.35</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14,265,435.50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19,316,532.78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28,748,208.78</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3,968,385.60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2,254,463.78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1,275,955.02</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 回</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873,378.23</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-3,190,104.26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4,165,152.14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155,311.96</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-484,484.00</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3,087,826.68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3,731,390.63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4,490,198.20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1,100,008.77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3,902,013.42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1,172,352.73</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14,293,603.75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17,064,515.62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23,840,864.48</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w:t>
      </w:r>
      <w:r>
        <w:rPr>
          <w:spacing w:val="-40"/>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2"/>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right="1115"/>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2860"/>
        <w:jc w:val="center"/>
        <w:rPr>
          <w:b w:val="0"/>
          <w:bCs w:val="0"/>
        </w:rPr>
      </w:pPr>
      <w:bookmarkStart w:name="_TOC_250009" w:id="16"/>
      <w:bookmarkStart w:name="第三节 公司业务概要" w:id="17"/>
      <w:r>
        <w:rPr>
          <w:b w:val="0"/>
          <w:bCs w:val="0"/>
        </w:rPr>
      </w:r>
      <w:r>
        <w:rPr/>
        <w:t>第三节</w:t>
      </w:r>
      <w:r>
        <w:rPr>
          <w:spacing w:val="-7"/>
        </w:rPr>
        <w:t> </w:t>
      </w:r>
      <w:r>
        <w:rPr/>
        <w:t>公司业务概要</w:t>
      </w:r>
      <w:bookmarkEnd w:id="16"/>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both"/>
        <w:rPr>
          <w:b w:val="0"/>
          <w:bCs w:val="0"/>
        </w:rPr>
      </w:pPr>
      <w:bookmarkStart w:name="一、报告期内公司从事的主要业务" w:id="18"/>
      <w:bookmarkEnd w:id="18"/>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before="0"/>
        <w:ind w:right="7692"/>
        <w:jc w:val="left"/>
      </w:pPr>
      <w:r>
        <w:rPr/>
        <w:t>公司是否需要遵守特殊行业的披露要求 是</w:t>
      </w:r>
    </w:p>
    <w:p>
      <w:pPr>
        <w:pStyle w:val="BodyText"/>
        <w:spacing w:line="240" w:lineRule="auto" w:before="26"/>
        <w:ind w:right="0"/>
        <w:jc w:val="both"/>
      </w:pPr>
      <w:r>
        <w:rPr/>
        <w:t>软件与信息技术服务业</w:t>
      </w:r>
    </w:p>
    <w:p>
      <w:pPr>
        <w:pStyle w:val="BodyText"/>
        <w:spacing w:line="338" w:lineRule="auto" w:before="116"/>
        <w:ind w:left="514" w:right="0" w:hanging="360"/>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 </w:t>
      </w:r>
      <w:r>
        <w:rPr>
          <w:spacing w:val="-2"/>
        </w:rPr>
        <w:t>报告期内，公司作为目前中国具有国家多部委核准颁发的包括涉密在内的九个</w:t>
      </w:r>
      <w:r>
        <w:rPr>
          <w:rFonts w:ascii="Times New Roman" w:hAnsi="Times New Roman" w:cs="Times New Roman" w:eastAsia="Times New Roman" w:hint="default"/>
          <w:spacing w:val="-2"/>
        </w:rPr>
        <w:t>“</w:t>
      </w:r>
      <w:r>
        <w:rPr>
          <w:spacing w:val="-2"/>
        </w:rPr>
        <w:t>甲级</w:t>
      </w:r>
      <w:r>
        <w:rPr>
          <w:rFonts w:ascii="Times New Roman" w:hAnsi="Times New Roman" w:cs="Times New Roman" w:eastAsia="Times New Roman" w:hint="default"/>
          <w:spacing w:val="-2"/>
        </w:rPr>
        <w:t>”</w:t>
      </w:r>
      <w:r>
        <w:rPr>
          <w:spacing w:val="-2"/>
        </w:rPr>
        <w:t>资质的总集成商、整体解决方案供</w:t>
      </w:r>
    </w:p>
    <w:p>
      <w:pPr>
        <w:pStyle w:val="BodyText"/>
        <w:spacing w:line="217" w:lineRule="exact" w:before="0"/>
        <w:ind w:right="0"/>
        <w:jc w:val="both"/>
      </w:pPr>
      <w:r>
        <w:rPr/>
        <w:t>应商及智慧城市运营服务商，所属行业为软件和信息技术服务业，专注于智慧城市方向的人工智能、物联网、大数据和云计</w:t>
      </w:r>
    </w:p>
    <w:p>
      <w:pPr>
        <w:pStyle w:val="BodyText"/>
        <w:spacing w:line="316" w:lineRule="auto" w:before="76"/>
        <w:ind w:right="1131"/>
        <w:jc w:val="both"/>
      </w:pPr>
      <w:r>
        <w:rPr>
          <w:spacing w:val="-2"/>
        </w:rPr>
        <w:t>算等关键技术的研究和开发，专注于智慧城市的建设、投资与运营，以信息化、大数据和云计算为支撑，已形成面向智慧社</w:t>
      </w:r>
      <w:r>
        <w:rPr>
          <w:spacing w:val="-66"/>
        </w:rPr>
        <w:t> </w:t>
      </w:r>
      <w:r>
        <w:rPr>
          <w:spacing w:val="-66"/>
        </w:rPr>
      </w:r>
      <w:r>
        <w:rPr>
          <w:spacing w:val="-2"/>
        </w:rPr>
        <w:t>会治理、智慧民生服务、智慧产业经济等三位一体的完全自主可控、国内领先且具有国际竞争力的核心技术、产品和全面解</w:t>
      </w:r>
      <w:r>
        <w:rPr>
          <w:spacing w:val="-66"/>
        </w:rPr>
        <w:t> </w:t>
      </w:r>
      <w:r>
        <w:rPr>
          <w:spacing w:val="-66"/>
        </w:rPr>
      </w:r>
      <w:r>
        <w:rPr>
          <w:spacing w:val="-2"/>
        </w:rPr>
        <w:t>决方案，在智慧城市领域积累丰富的市场经验和应用经验，并不断精益求精地复制，促进公司在智慧城市业务的建设、投资</w:t>
      </w:r>
      <w:r>
        <w:rPr>
          <w:spacing w:val="-66"/>
        </w:rPr>
        <w:t> </w:t>
      </w:r>
      <w:r>
        <w:rPr>
          <w:spacing w:val="-66"/>
        </w:rPr>
      </w:r>
      <w:r>
        <w:rPr/>
        <w:t>与运营等方面的更好发展，以加速形成并夯实</w:t>
      </w:r>
      <w:r>
        <w:rPr>
          <w:rFonts w:ascii="Times New Roman" w:hAnsi="Times New Roman" w:cs="Times New Roman" w:eastAsia="Times New Roman" w:hint="default"/>
        </w:rPr>
        <w:t>“</w:t>
      </w:r>
      <w:r>
        <w:rPr/>
        <w:t>中国最好的智慧城市建设与运营服务商</w:t>
      </w:r>
      <w:r>
        <w:rPr>
          <w:rFonts w:ascii="Times New Roman" w:hAnsi="Times New Roman" w:cs="Times New Roman" w:eastAsia="Times New Roman" w:hint="default"/>
        </w:rPr>
        <w:t>”</w:t>
      </w:r>
      <w:r>
        <w:rPr/>
        <w:t>的行业龙头品牌地位。</w:t>
      </w:r>
    </w:p>
    <w:p>
      <w:pPr>
        <w:pStyle w:val="Heading5"/>
        <w:spacing w:line="235" w:lineRule="exact"/>
        <w:ind w:right="0"/>
        <w:jc w:val="left"/>
        <w:rPr>
          <w:b w:val="0"/>
          <w:bCs w:val="0"/>
        </w:rPr>
      </w:pPr>
      <w:r>
        <w:rPr/>
        <w:t>一、主要业务、产品分类及服务</w:t>
      </w:r>
      <w:r>
        <w:rPr>
          <w:b w:val="0"/>
          <w:bCs w:val="0"/>
        </w:rPr>
      </w:r>
    </w:p>
    <w:p>
      <w:pPr>
        <w:pStyle w:val="BodyText"/>
        <w:spacing w:line="300" w:lineRule="auto" w:before="117"/>
        <w:ind w:right="1186" w:firstLine="308"/>
        <w:jc w:val="both"/>
      </w:pPr>
      <w:r>
        <w:rPr>
          <w:rFonts w:ascii="Times New Roman" w:hAnsi="Times New Roman" w:cs="Times New Roman" w:eastAsia="Times New Roman" w:hint="default"/>
          <w:b/>
          <w:bCs/>
        </w:rPr>
        <w:t>1</w:t>
      </w:r>
      <w:r>
        <w:rPr>
          <w:rFonts w:ascii="宋体" w:hAnsi="宋体" w:cs="宋体" w:eastAsia="宋体" w:hint="default"/>
          <w:b/>
          <w:bCs/>
        </w:rPr>
        <w:t>、智慧城市建设服务：</w:t>
      </w:r>
      <w:r>
        <w:rPr/>
        <w:t>提供包括顶层规划、勘察设计、深化设计、产品采购、项目建设运维等为一体的全生命周期服 务。</w:t>
      </w:r>
    </w:p>
    <w:p>
      <w:pPr>
        <w:pStyle w:val="BodyText"/>
        <w:spacing w:line="309" w:lineRule="auto" w:before="70"/>
        <w:ind w:right="1130" w:firstLine="308"/>
        <w:jc w:val="both"/>
      </w:pPr>
      <w:r>
        <w:rPr>
          <w:rFonts w:ascii="Times New Roman" w:hAnsi="Times New Roman" w:cs="Times New Roman" w:eastAsia="Times New Roman" w:hint="default"/>
          <w:b/>
          <w:bCs/>
        </w:rPr>
        <w:t>2</w:t>
      </w:r>
      <w:r>
        <w:rPr>
          <w:rFonts w:ascii="宋体" w:hAnsi="宋体" w:cs="宋体" w:eastAsia="宋体" w:hint="default"/>
          <w:b/>
          <w:bCs/>
        </w:rPr>
        <w:t>、智能反恐维稳与社会治理服务：</w:t>
      </w:r>
      <w:r>
        <w:rPr/>
        <w:t>提供公共安全及智能反恐维稳、社会治理领域的整体解决方案定制设计和具体项目 建设服务，配套生产拥有自主知识产权的超微光感知摄像机、</w:t>
      </w:r>
      <w:r>
        <w:rPr>
          <w:rFonts w:ascii="Times New Roman" w:hAnsi="Times New Roman" w:cs="Times New Roman" w:eastAsia="Times New Roman" w:hint="default"/>
        </w:rPr>
        <w:t>WIFI</w:t>
      </w:r>
      <w:r>
        <w:rPr/>
        <w:t>探针、物联网采集器及物联网网关、红外热像仪等专业 </w:t>
      </w:r>
      <w:r>
        <w:rPr>
          <w:spacing w:val="-2"/>
        </w:rPr>
        <w:t>化公共安全产品，以及全智能反恐机器人、排爆机器人、涵道式四旋翼无人机、通讯设备取证器、警用一体化采集应用分析</w:t>
      </w:r>
      <w:r>
        <w:rPr>
          <w:spacing w:val="-66"/>
        </w:rPr>
        <w:t> </w:t>
      </w:r>
      <w:r>
        <w:rPr>
          <w:spacing w:val="-66"/>
        </w:rPr>
      </w:r>
      <w:r>
        <w:rPr>
          <w:spacing w:val="-2"/>
        </w:rPr>
        <w:t>仪及各式新型单警装备等警（军）用产品。另有公安大数据实战平台、雪亮工程联网应用平台、智慧社会综合治理平台、智</w:t>
      </w:r>
      <w:r>
        <w:rPr>
          <w:spacing w:val="-67"/>
        </w:rPr>
        <w:t> </w:t>
      </w:r>
      <w:r>
        <w:rPr>
          <w:spacing w:val="-67"/>
        </w:rPr>
      </w:r>
      <w:r>
        <w:rPr/>
        <w:t>慧城市综合管理平台、智慧应急指挥平台等软件产品。</w:t>
      </w:r>
    </w:p>
    <w:p>
      <w:pPr>
        <w:pStyle w:val="BodyText"/>
        <w:spacing w:line="312" w:lineRule="auto" w:before="64"/>
        <w:ind w:right="1132" w:firstLine="308"/>
        <w:jc w:val="both"/>
      </w:pPr>
      <w:r>
        <w:rPr>
          <w:rFonts w:ascii="Times New Roman" w:hAnsi="Times New Roman" w:cs="Times New Roman" w:eastAsia="Times New Roman" w:hint="default"/>
          <w:b/>
          <w:bCs/>
          <w:spacing w:val="-1"/>
        </w:rPr>
        <w:t>3</w:t>
      </w:r>
      <w:r>
        <w:rPr>
          <w:rFonts w:ascii="宋体" w:hAnsi="宋体" w:cs="宋体" w:eastAsia="宋体" w:hint="default"/>
          <w:b/>
          <w:bCs/>
          <w:spacing w:val="-1"/>
        </w:rPr>
        <w:t>、智慧城市运营服务：</w:t>
      </w:r>
      <w:r>
        <w:rPr>
          <w:spacing w:val="-1"/>
        </w:rPr>
        <w:t>提供智慧城市云计算中心平台、互联网</w:t>
      </w:r>
      <w:r>
        <w:rPr>
          <w:rFonts w:ascii="Times New Roman" w:hAnsi="Times New Roman" w:cs="Times New Roman" w:eastAsia="Times New Roman" w:hint="default"/>
          <w:spacing w:val="-1"/>
        </w:rPr>
        <w:t>+</w:t>
      </w:r>
      <w:r>
        <w:rPr>
          <w:spacing w:val="-1"/>
        </w:rPr>
        <w:t>政务服务平台、智慧诚信、智慧农业、智慧旅游、智慧</w:t>
      </w:r>
      <w:r>
        <w:rPr/>
        <w:t> </w:t>
      </w:r>
      <w:r>
        <w:rPr>
          <w:spacing w:val="-2"/>
        </w:rPr>
        <w:t>停车、智慧路灯、智慧充电桩等涵盖低碳绿色、民生服务、产业发展等的各类智慧应用软件平台和端到端解决方案。并面向</w:t>
      </w:r>
      <w:r>
        <w:rPr>
          <w:spacing w:val="-66"/>
        </w:rPr>
        <w:t> </w:t>
      </w:r>
      <w:r>
        <w:rPr>
          <w:spacing w:val="-66"/>
        </w:rPr>
      </w:r>
      <w:r>
        <w:rPr>
          <w:spacing w:val="-2"/>
        </w:rPr>
        <w:t>政府、企业、居民，提供高效精准的政务服务、公共服务和社会化服务，助力各行业的数字化、智能化转型和产业升级，拉</w:t>
      </w:r>
      <w:r>
        <w:rPr>
          <w:spacing w:val="-71"/>
        </w:rPr>
        <w:t> </w:t>
      </w:r>
      <w:r>
        <w:rPr>
          <w:spacing w:val="-71"/>
        </w:rPr>
      </w:r>
      <w:r>
        <w:rPr/>
        <w:t>动地方经济长远发展。</w:t>
      </w:r>
    </w:p>
    <w:p>
      <w:pPr>
        <w:pStyle w:val="Heading5"/>
        <w:spacing w:line="240" w:lineRule="auto" w:before="61"/>
        <w:ind w:right="0"/>
        <w:jc w:val="left"/>
        <w:rPr>
          <w:b w:val="0"/>
          <w:bCs w:val="0"/>
        </w:rPr>
      </w:pPr>
      <w:r>
        <w:rPr/>
        <w:t>二、公司主要的业绩驱动因素</w:t>
      </w:r>
      <w:r>
        <w:rPr>
          <w:b w:val="0"/>
          <w:bCs w:val="0"/>
        </w:rPr>
      </w:r>
    </w:p>
    <w:p>
      <w:pPr>
        <w:pStyle w:val="BodyText"/>
        <w:spacing w:line="309" w:lineRule="auto" w:before="117"/>
        <w:ind w:right="1131" w:firstLine="361"/>
        <w:jc w:val="both"/>
      </w:pPr>
      <w:r>
        <w:rPr>
          <w:rFonts w:ascii="Times New Roman" w:hAnsi="Times New Roman" w:cs="Times New Roman" w:eastAsia="Times New Roman" w:hint="default"/>
          <w:b/>
          <w:bCs/>
        </w:rPr>
        <w:t>1</w:t>
      </w:r>
      <w:r>
        <w:rPr>
          <w:rFonts w:ascii="宋体" w:hAnsi="宋体" w:cs="宋体" w:eastAsia="宋体" w:hint="default"/>
          <w:b/>
          <w:bCs/>
        </w:rPr>
        <w:t>、持续完善极具竞争力的企业资质平台：</w:t>
      </w:r>
      <w:r>
        <w:rPr/>
        <w:t>公司作为业内具有国家多部委核准颁发的包括涉密在内的九个</w:t>
      </w:r>
      <w:r>
        <w:rPr>
          <w:rFonts w:ascii="Times New Roman" w:hAnsi="Times New Roman" w:cs="Times New Roman" w:eastAsia="Times New Roman" w:hint="default"/>
        </w:rPr>
        <w:t>“</w:t>
      </w:r>
      <w:r>
        <w:rPr/>
        <w:t>甲级</w:t>
      </w:r>
      <w:r>
        <w:rPr>
          <w:rFonts w:ascii="Times New Roman" w:hAnsi="Times New Roman" w:cs="Times New Roman" w:eastAsia="Times New Roman" w:hint="default"/>
        </w:rPr>
        <w:t>”</w:t>
      </w:r>
      <w:r>
        <w:rPr/>
        <w:t>资质的 </w:t>
      </w:r>
      <w:r>
        <w:rPr>
          <w:spacing w:val="-2"/>
        </w:rPr>
        <w:t>总集成服务企业，目前已构建了行业信息化项目招投标最全面、最顶级的竞争门槛。公司业务布局正在稳步扩张，公司一直</w:t>
      </w:r>
      <w:r>
        <w:rPr>
          <w:spacing w:val="-66"/>
        </w:rPr>
        <w:t> </w:t>
      </w:r>
      <w:r>
        <w:rPr>
          <w:spacing w:val="-66"/>
        </w:rPr>
      </w:r>
      <w:r>
        <w:rPr/>
        <w:t>致力于打造更为完善、顶级的企业资质平台。</w:t>
      </w:r>
    </w:p>
    <w:p>
      <w:pPr>
        <w:spacing w:line="307" w:lineRule="auto" w:before="64"/>
        <w:ind w:left="154" w:right="1032" w:firstLine="36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、持续加强科研管理创新和资金投入，巩固市场与客户需求导向型的技术及研发优势：</w:t>
      </w:r>
      <w:r>
        <w:rPr>
          <w:rFonts w:ascii="宋体" w:hAnsi="宋体" w:cs="宋体" w:eastAsia="宋体" w:hint="default"/>
          <w:sz w:val="18"/>
          <w:szCs w:val="18"/>
        </w:rPr>
        <w:t>公司专注于智慧科技方向的尖 端传感器（芯片）、人工智能、物联网、产业互联网、大数据、云计算与云存储、智慧应用软件等关键技术的研究和开发， 全面掌握核心技术。同时，开展相关多元化发展，加速技术、市场与客户资源整合，打造智慧科技创新产业生态圈，以</w:t>
      </w:r>
      <w:r>
        <w:rPr>
          <w:rFonts w:ascii="Times New Roman" w:hAnsi="Times New Roman" w:cs="Times New Roman" w:eastAsia="Times New Roman" w:hint="default"/>
          <w:sz w:val="18"/>
          <w:szCs w:val="18"/>
        </w:rPr>
        <w:t>“</w:t>
      </w:r>
      <w:r>
        <w:rPr>
          <w:rFonts w:ascii="宋体" w:hAnsi="宋体" w:cs="宋体" w:eastAsia="宋体" w:hint="default"/>
          <w:sz w:val="18"/>
          <w:szCs w:val="18"/>
        </w:rPr>
        <w:t>开 放、共赢</w:t>
      </w:r>
      <w:r>
        <w:rPr>
          <w:rFonts w:ascii="Times New Roman" w:hAnsi="Times New Roman" w:cs="Times New Roman" w:eastAsia="Times New Roman" w:hint="default"/>
          <w:sz w:val="18"/>
          <w:szCs w:val="18"/>
        </w:rPr>
        <w:t>”</w:t>
      </w:r>
      <w:r>
        <w:rPr>
          <w:rFonts w:ascii="宋体" w:hAnsi="宋体" w:cs="宋体" w:eastAsia="宋体" w:hint="default"/>
          <w:sz w:val="18"/>
          <w:szCs w:val="18"/>
        </w:rPr>
        <w:t>的格局形成智慧科技产业集群。</w:t>
      </w:r>
    </w:p>
    <w:p>
      <w:pPr>
        <w:pStyle w:val="BodyText"/>
        <w:spacing w:line="312" w:lineRule="auto" w:before="45"/>
        <w:ind w:right="1131" w:firstLine="361"/>
        <w:jc w:val="both"/>
      </w:pPr>
      <w:r>
        <w:rPr>
          <w:rFonts w:ascii="Times New Roman" w:hAnsi="Times New Roman" w:cs="Times New Roman" w:eastAsia="Times New Roman" w:hint="default"/>
          <w:b/>
          <w:bCs/>
        </w:rPr>
        <w:t>3</w:t>
      </w:r>
      <w:r>
        <w:rPr>
          <w:rFonts w:ascii="宋体" w:hAnsi="宋体" w:cs="宋体" w:eastAsia="宋体" w:hint="default"/>
          <w:b/>
          <w:bCs/>
        </w:rPr>
        <w:t>、持续打造一流的人才团队：</w:t>
      </w:r>
      <w:r>
        <w:rPr/>
        <w:t>公司注重人才的引进和培养，先后引进多名高端人才、领军人才，每年从高校招聘大量 </w:t>
      </w:r>
      <w:r>
        <w:rPr>
          <w:spacing w:val="-2"/>
        </w:rPr>
        <w:t>优秀毕业生，并投入大量经费对员工进行业务技能、企业文化、经营管理等培训，保证员工队伍的高效与稳定。公司还与电</w:t>
      </w:r>
      <w:r>
        <w:rPr>
          <w:spacing w:val="-66"/>
        </w:rPr>
        <w:t> </w:t>
      </w:r>
      <w:r>
        <w:rPr>
          <w:spacing w:val="-66"/>
        </w:rPr>
      </w:r>
      <w:r>
        <w:rPr>
          <w:spacing w:val="-2"/>
        </w:rPr>
        <w:t>子科技大学、清华大学等知名高校紧密合作，聘请博士团队和院士智力加盟，聚力国内优质智囊组建科研创新高地。让公司</w:t>
      </w:r>
      <w:r>
        <w:rPr>
          <w:spacing w:val="-66"/>
        </w:rPr>
        <w:t> </w:t>
      </w:r>
      <w:r>
        <w:rPr>
          <w:spacing w:val="-66"/>
        </w:rPr>
      </w:r>
      <w:r>
        <w:rPr/>
        <w:t>员工团队拥有强大的内生动力和外聚整合能力。</w:t>
      </w:r>
    </w:p>
    <w:p>
      <w:pPr>
        <w:pStyle w:val="BodyText"/>
        <w:spacing w:line="300" w:lineRule="auto" w:before="61"/>
        <w:ind w:right="1042" w:firstLine="361"/>
        <w:jc w:val="both"/>
      </w:pPr>
      <w:r>
        <w:rPr>
          <w:rFonts w:ascii="Times New Roman" w:hAnsi="Times New Roman" w:cs="Times New Roman" w:eastAsia="Times New Roman" w:hint="default"/>
          <w:b/>
          <w:bCs/>
          <w:spacing w:val="-7"/>
        </w:rPr>
        <w:t>4</w:t>
      </w:r>
      <w:r>
        <w:rPr>
          <w:rFonts w:ascii="宋体" w:hAnsi="宋体" w:cs="宋体" w:eastAsia="宋体" w:hint="default"/>
          <w:b/>
          <w:bCs/>
          <w:spacing w:val="-7"/>
        </w:rPr>
        <w:t>、持续推进可复制、可推广的行业应用：</w:t>
      </w:r>
      <w:r>
        <w:rPr>
          <w:spacing w:val="-7"/>
        </w:rPr>
        <w:t>聚焦智慧中国三大核心市场（客户）：</w:t>
      </w:r>
      <w:r>
        <w:rPr>
          <w:rFonts w:ascii="Times New Roman" w:hAnsi="Times New Roman" w:cs="Times New Roman" w:eastAsia="Times New Roman" w:hint="default"/>
          <w:spacing w:val="-7"/>
        </w:rPr>
        <w:t>“</w:t>
      </w:r>
      <w:r>
        <w:rPr>
          <w:spacing w:val="-7"/>
        </w:rPr>
        <w:t>智慧城市（政府）、智慧国防（军队）、</w:t>
      </w:r>
      <w:r>
        <w:rPr/>
        <w:t> 智慧行业（国土、交通、通信、金融等）</w:t>
      </w:r>
      <w:r>
        <w:rPr>
          <w:rFonts w:ascii="Times New Roman" w:hAnsi="Times New Roman" w:cs="Times New Roman" w:eastAsia="Times New Roman" w:hint="default"/>
        </w:rPr>
        <w:t>”</w:t>
      </w:r>
      <w:r>
        <w:rPr/>
        <w:t>，形成完全自主可控、国内领先且具有国际竞争力的技术、产品、全面解决方案</w:t>
      </w:r>
    </w:p>
    <w:p>
      <w:pPr>
        <w:spacing w:after="0" w:line="300" w:lineRule="auto"/>
        <w:jc w:val="both"/>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line="357" w:lineRule="auto" w:before="44"/>
        <w:ind w:left="515" w:right="7153" w:hanging="362"/>
        <w:jc w:val="left"/>
        <w:rPr>
          <w:rFonts w:ascii="宋体" w:hAnsi="宋体" w:cs="宋体" w:eastAsia="宋体" w:hint="default"/>
          <w:sz w:val="18"/>
          <w:szCs w:val="18"/>
        </w:rPr>
      </w:pPr>
      <w:r>
        <w:rPr>
          <w:rFonts w:ascii="宋体" w:hAnsi="宋体" w:cs="宋体" w:eastAsia="宋体" w:hint="default"/>
          <w:sz w:val="18"/>
          <w:szCs w:val="18"/>
        </w:rPr>
        <w:t>和商业运营模式，并不断精益求精地去复制。 </w:t>
      </w:r>
      <w:r>
        <w:rPr>
          <w:rFonts w:ascii="宋体" w:hAnsi="宋体" w:cs="宋体" w:eastAsia="宋体" w:hint="default"/>
          <w:b/>
          <w:bCs/>
          <w:sz w:val="18"/>
          <w:szCs w:val="18"/>
        </w:rPr>
        <w:t>三、行业发展阶段及周期性特点</w:t>
      </w:r>
      <w:r>
        <w:rPr>
          <w:rFonts w:ascii="宋体" w:hAnsi="宋体" w:cs="宋体" w:eastAsia="宋体" w:hint="default"/>
          <w:sz w:val="18"/>
          <w:szCs w:val="18"/>
        </w:rPr>
      </w:r>
    </w:p>
    <w:p>
      <w:pPr>
        <w:pStyle w:val="BodyText"/>
        <w:spacing w:line="224" w:lineRule="exact" w:before="0"/>
        <w:ind w:right="0" w:firstLine="300"/>
        <w:jc w:val="both"/>
      </w:pPr>
      <w:r>
        <w:rPr/>
        <w:t>党的十九大宣告中国特色社会主义进入新时代，开启了全面建设社会主义现代化国家的新征程。我国政府将智慧城市建</w:t>
      </w:r>
    </w:p>
    <w:p>
      <w:pPr>
        <w:pStyle w:val="BodyText"/>
        <w:spacing w:line="314" w:lineRule="auto" w:before="76"/>
        <w:ind w:right="1131"/>
        <w:jc w:val="both"/>
      </w:pPr>
      <w:r>
        <w:rPr/>
        <w:t>设上升到国家战略层面，明确了智慧城市建设的 </w:t>
      </w:r>
      <w:r>
        <w:rPr>
          <w:rFonts w:ascii="Times New Roman" w:hAnsi="Times New Roman" w:cs="Times New Roman" w:eastAsia="Times New Roman" w:hint="default"/>
        </w:rPr>
        <w:t>6 </w:t>
      </w:r>
      <w:r>
        <w:rPr/>
        <w:t>大建设方向：信息网络宽带化、规划管理信息化、基础设施智能化、公</w:t>
      </w:r>
      <w:r>
        <w:rPr>
          <w:spacing w:val="-88"/>
        </w:rPr>
        <w:t> </w:t>
      </w:r>
      <w:r>
        <w:rPr>
          <w:spacing w:val="-88"/>
        </w:rPr>
      </w:r>
      <w:r>
        <w:rPr>
          <w:spacing w:val="-2"/>
        </w:rPr>
        <w:t>共服务便捷化、产业发展现代化、社会治理精细化。智慧城市建设适应了当前社会精细化管理的需要，对当前市政管理、交</w:t>
      </w:r>
      <w:r>
        <w:rPr>
          <w:spacing w:val="-66"/>
        </w:rPr>
        <w:t> </w:t>
      </w:r>
      <w:r>
        <w:rPr>
          <w:spacing w:val="-66"/>
        </w:rPr>
      </w:r>
      <w:r>
        <w:rPr>
          <w:spacing w:val="-2"/>
        </w:rPr>
        <w:t>通管理、公共安全与应急、民生服务等各个领域都有重要的意义。智慧城市建设强调以科技创新为支撑，着力解决制约城市</w:t>
      </w:r>
      <w:r>
        <w:rPr>
          <w:spacing w:val="-66"/>
        </w:rPr>
        <w:t> </w:t>
      </w:r>
      <w:r>
        <w:rPr>
          <w:spacing w:val="-66"/>
        </w:rPr>
      </w:r>
      <w:r>
        <w:rPr>
          <w:spacing w:val="-2"/>
        </w:rPr>
        <w:t>发展的现实问题。未来随着人们对信息化、智能化生活的熟悉程度不断上升，智慧城市的建设需求将逐步深入，应用领域将</w:t>
      </w:r>
      <w:r>
        <w:rPr>
          <w:spacing w:val="-66"/>
        </w:rPr>
        <w:t> </w:t>
      </w:r>
      <w:r>
        <w:rPr>
          <w:spacing w:val="-66"/>
        </w:rPr>
      </w:r>
      <w:r>
        <w:rPr/>
        <w:t>不断扩张，行业发展需求的增加为行业提供了持续的发展动力。</w:t>
      </w:r>
    </w:p>
    <w:p>
      <w:pPr>
        <w:pStyle w:val="BodyText"/>
        <w:spacing w:line="309" w:lineRule="auto" w:before="20"/>
        <w:ind w:right="1042" w:firstLine="300"/>
        <w:jc w:val="both"/>
      </w:pPr>
      <w:r>
        <w:rPr>
          <w:spacing w:val="-3"/>
        </w:rPr>
        <w:t>在智能反恐维稳方面，受到复杂的国内外局势的影响，我国近年来的反恐形势愈发严峻。为切实保障人民生命财产安全，</w:t>
      </w:r>
      <w:r>
        <w:rPr/>
        <w:t> </w:t>
      </w:r>
      <w:r>
        <w:rPr>
          <w:spacing w:val="-3"/>
        </w:rPr>
        <w:t>巩固我国经济社会平稳良好发展，我国政府一直投入大量人力物力做好反恐维稳工作，随着</w:t>
      </w:r>
      <w:r>
        <w:rPr>
          <w:rFonts w:ascii="Times New Roman" w:hAnsi="Times New Roman" w:cs="Times New Roman" w:eastAsia="Times New Roman" w:hint="default"/>
          <w:spacing w:val="-3"/>
        </w:rPr>
        <w:t>“</w:t>
      </w:r>
      <w:r>
        <w:rPr>
          <w:spacing w:val="-3"/>
        </w:rPr>
        <w:t>平安城市</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雪亮工程</w:t>
      </w:r>
      <w:r>
        <w:rPr>
          <w:rFonts w:ascii="Times New Roman" w:hAnsi="Times New Roman" w:cs="Times New Roman" w:eastAsia="Times New Roman" w:hint="default"/>
          <w:spacing w:val="-3"/>
        </w:rPr>
        <w:t>”</w:t>
      </w:r>
      <w:r>
        <w:rPr>
          <w:spacing w:val="-3"/>
        </w:rPr>
        <w:t>的建设，</w:t>
      </w:r>
      <w:r>
        <w:rPr>
          <w:spacing w:val="-54"/>
        </w:rPr>
        <w:t> </w:t>
      </w:r>
      <w:r>
        <w:rPr/>
        <w:t>以及视频监控向基层地区、家庭和个人用户渗透，安防视频监控行业仍将保持稳定增长。</w:t>
      </w:r>
    </w:p>
    <w:p>
      <w:pPr>
        <w:pStyle w:val="BodyText"/>
        <w:spacing w:line="316" w:lineRule="auto" w:before="24"/>
        <w:ind w:right="1133" w:firstLine="300"/>
        <w:jc w:val="both"/>
      </w:pPr>
      <w:r>
        <w:rPr>
          <w:spacing w:val="-1"/>
        </w:rPr>
        <w:t>综合来说，在公司所处的智慧城市行业，我国市场需求仍然保持高速增长，国家相关战略规划不断出台，行业发展环境</w:t>
      </w:r>
      <w:r>
        <w:rPr/>
        <w:t> </w:t>
      </w:r>
      <w:r>
        <w:rPr>
          <w:spacing w:val="-2"/>
        </w:rPr>
        <w:t>不断优化，网络基础设施不断完善，公共服务平台建设稳步提升，境内外并购持续活跃，人才供给逐年增加，行业发展前景</w:t>
      </w:r>
      <w:r>
        <w:rPr>
          <w:spacing w:val="-66"/>
        </w:rPr>
        <w:t> </w:t>
      </w:r>
      <w:r>
        <w:rPr>
          <w:spacing w:val="-66"/>
        </w:rPr>
      </w:r>
      <w:r>
        <w:rPr/>
        <w:t>良好。</w:t>
      </w:r>
    </w:p>
    <w:p>
      <w:pPr>
        <w:pStyle w:val="BodyText"/>
        <w:spacing w:line="316" w:lineRule="auto" w:before="19"/>
        <w:ind w:left="514" w:right="0" w:firstLine="1"/>
        <w:jc w:val="left"/>
      </w:pPr>
      <w:r>
        <w:rPr>
          <w:rFonts w:ascii="宋体" w:hAnsi="宋体" w:cs="宋体" w:eastAsia="宋体" w:hint="default"/>
          <w:b/>
          <w:bCs/>
        </w:rPr>
        <w:t>四、主要业务的行业地位</w:t>
      </w:r>
      <w:r>
        <w:rPr>
          <w:rFonts w:ascii="宋体" w:hAnsi="宋体" w:cs="宋体" w:eastAsia="宋体" w:hint="default"/>
          <w:b/>
          <w:bCs/>
          <w:w w:val="99"/>
        </w:rPr>
        <w:t> </w:t>
      </w:r>
      <w:r>
        <w:rPr>
          <w:spacing w:val="-2"/>
        </w:rPr>
        <w:t>公司是国家级高新技术企业、国家级创新型示范企业、国家级知识产权示范企业、国家级技术创新示范企业，拥有国家</w:t>
      </w:r>
    </w:p>
    <w:p>
      <w:pPr>
        <w:pStyle w:val="BodyText"/>
        <w:spacing w:line="302" w:lineRule="auto" w:before="19"/>
        <w:ind w:right="1032"/>
        <w:jc w:val="left"/>
      </w:pPr>
      <w:r>
        <w:rPr>
          <w:spacing w:val="-3"/>
        </w:rPr>
        <w:t>级博士后科研工作站、两个省级重点实验室以及省级工程技术研究中心。同时，公司作为目前中国智慧城市建设行业具有</w:t>
      </w:r>
      <w:r>
        <w:rPr>
          <w:rFonts w:ascii="Times New Roman" w:hAnsi="Times New Roman" w:cs="Times New Roman" w:eastAsia="Times New Roman" w:hint="default"/>
          <w:spacing w:val="-3"/>
        </w:rPr>
        <w:t>“</w:t>
      </w:r>
      <w:r>
        <w:rPr>
          <w:spacing w:val="-3"/>
        </w:rPr>
        <w:t>九</w:t>
      </w:r>
      <w:r>
        <w:rPr>
          <w:spacing w:val="-87"/>
        </w:rPr>
        <w:t> </w:t>
      </w:r>
      <w:r>
        <w:rPr>
          <w:spacing w:val="-2"/>
        </w:rPr>
        <w:t>甲</w:t>
      </w:r>
      <w:r>
        <w:rPr>
          <w:rFonts w:ascii="Times New Roman" w:hAnsi="Times New Roman" w:cs="Times New Roman" w:eastAsia="Times New Roman" w:hint="default"/>
          <w:spacing w:val="-2"/>
        </w:rPr>
        <w:t>”</w:t>
      </w:r>
      <w:r>
        <w:rPr>
          <w:spacing w:val="-2"/>
        </w:rPr>
        <w:t>资质的总集成服务企业，在公共安全与智能反恐维稳、智慧城市领域积累了丰富的市场经验和应用经验，对政府、军队、</w:t>
      </w:r>
      <w:r>
        <w:rPr>
          <w:spacing w:val="-52"/>
        </w:rPr>
        <w:t> </w:t>
      </w:r>
      <w:r>
        <w:rPr>
          <w:spacing w:val="-52"/>
        </w:rPr>
      </w:r>
      <w:r>
        <w:rPr>
          <w:spacing w:val="-2"/>
        </w:rPr>
        <w:t>武警、公安、通信、交通、金融、石油化工、电力、煤炭、核电站等行业具有丰富的行业经验，可以准确地抓住市场需求和</w:t>
      </w:r>
      <w:r>
        <w:rPr>
          <w:spacing w:val="-68"/>
        </w:rPr>
        <w:t> </w:t>
      </w:r>
      <w:r>
        <w:rPr>
          <w:spacing w:val="-68"/>
        </w:rPr>
      </w:r>
      <w:r>
        <w:rPr>
          <w:spacing w:val="-2"/>
        </w:rPr>
        <w:t>业务特点。截至目前，公司累计承揽了</w:t>
      </w:r>
      <w:r>
        <w:rPr>
          <w:rFonts w:ascii="Times New Roman" w:hAnsi="Times New Roman" w:cs="Times New Roman" w:eastAsia="Times New Roman" w:hint="default"/>
          <w:spacing w:val="-2"/>
        </w:rPr>
        <w:t>2000</w:t>
      </w:r>
      <w:r>
        <w:rPr>
          <w:spacing w:val="-2"/>
        </w:rPr>
        <w:t>余个项目，先进的方案、高质量的产品和优良的服务赢得了政府、军队和行业高</w:t>
      </w:r>
      <w:r>
        <w:rPr>
          <w:spacing w:val="-62"/>
        </w:rPr>
        <w:t> </w:t>
      </w:r>
      <w:r>
        <w:rPr>
          <w:spacing w:val="-62"/>
        </w:rPr>
      </w:r>
      <w:r>
        <w:rPr/>
        <w:t>端客户的信赖。所完成的智能化项目多次获得国家优质工程</w:t>
      </w:r>
      <w:r>
        <w:rPr>
          <w:rFonts w:ascii="Times New Roman" w:hAnsi="Times New Roman" w:cs="Times New Roman" w:eastAsia="Times New Roman" w:hint="default"/>
        </w:rPr>
        <w:t>“</w:t>
      </w:r>
      <w:r>
        <w:rPr/>
        <w:t>鲁班奖</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长城杯</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飞天奖</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全国智能集成创新应用奖</w:t>
      </w:r>
      <w:r>
        <w:rPr>
          <w:rFonts w:ascii="Times New Roman" w:hAnsi="Times New Roman" w:cs="Times New Roman" w:eastAsia="Times New Roman" w:hint="default"/>
        </w:rPr>
        <w:t>”</w:t>
      </w:r>
      <w:r>
        <w:rPr/>
        <w:t>、 </w:t>
      </w:r>
      <w:r>
        <w:rPr>
          <w:rFonts w:ascii="Times New Roman" w:hAnsi="Times New Roman" w:cs="Times New Roman" w:eastAsia="Times New Roman" w:hint="default"/>
        </w:rPr>
        <w:t>“</w:t>
      </w:r>
      <w:r>
        <w:rPr/>
        <w:t>全国优秀数据中心奖</w:t>
      </w:r>
      <w:r>
        <w:rPr>
          <w:rFonts w:ascii="Times New Roman" w:hAnsi="Times New Roman" w:cs="Times New Roman" w:eastAsia="Times New Roman" w:hint="default"/>
        </w:rPr>
        <w:t>”</w:t>
      </w:r>
      <w:r>
        <w:rPr/>
        <w:t>等省（市）优质奖项。公司是业界承担单个项目金额亿元以上的重大系统集成项目最多的企业之一， 公司两次荣登《福布斯》</w:t>
      </w:r>
      <w:r>
        <w:rPr>
          <w:rFonts w:ascii="Times New Roman" w:hAnsi="Times New Roman" w:cs="Times New Roman" w:eastAsia="Times New Roman" w:hint="default"/>
        </w:rPr>
        <w:t>“</w:t>
      </w:r>
      <w:r>
        <w:rPr/>
        <w:t>中国潜力</w:t>
      </w:r>
      <w:r>
        <w:rPr>
          <w:rFonts w:ascii="Times New Roman" w:hAnsi="Times New Roman" w:cs="Times New Roman" w:eastAsia="Times New Roman" w:hint="default"/>
        </w:rPr>
        <w:t>100”</w:t>
      </w:r>
      <w:r>
        <w:rPr/>
        <w:t>排行榜；</w:t>
      </w:r>
      <w:r>
        <w:rPr>
          <w:rFonts w:ascii="Times New Roman" w:hAnsi="Times New Roman" w:cs="Times New Roman" w:eastAsia="Times New Roman" w:hint="default"/>
        </w:rPr>
        <w:t>2017</w:t>
      </w:r>
      <w:r>
        <w:rPr/>
        <w:t>年度入选全球智慧城市解决方案供应商百强榜；</w:t>
      </w:r>
      <w:r>
        <w:rPr>
          <w:rFonts w:ascii="Times New Roman" w:hAnsi="Times New Roman" w:cs="Times New Roman" w:eastAsia="Times New Roman" w:hint="default"/>
        </w:rPr>
        <w:t>2017</w:t>
      </w:r>
      <w:r>
        <w:rPr/>
        <w:t>和</w:t>
      </w:r>
      <w:r>
        <w:rPr>
          <w:rFonts w:ascii="Times New Roman" w:hAnsi="Times New Roman" w:cs="Times New Roman" w:eastAsia="Times New Roman" w:hint="default"/>
        </w:rPr>
        <w:t>2018</w:t>
      </w:r>
      <w:r>
        <w:rPr/>
        <w:t>年度连续 入选世界物联网发展潜力百强榜；在</w:t>
      </w:r>
      <w:r>
        <w:rPr>
          <w:rFonts w:ascii="Times New Roman" w:hAnsi="Times New Roman" w:cs="Times New Roman" w:eastAsia="Times New Roman" w:hint="default"/>
        </w:rPr>
        <w:t>2017</w:t>
      </w:r>
      <w:r>
        <w:rPr/>
        <w:t>年度</w:t>
      </w:r>
      <w:r>
        <w:rPr>
          <w:rFonts w:ascii="Times New Roman" w:hAnsi="Times New Roman" w:cs="Times New Roman" w:eastAsia="Times New Roman" w:hint="default"/>
        </w:rPr>
        <w:t>a&amp;s</w:t>
      </w:r>
      <w:r>
        <w:rPr/>
        <w:t>中国平安城市十大品牌评选中排名第一；</w:t>
      </w:r>
      <w:r>
        <w:rPr>
          <w:rFonts w:ascii="Times New Roman" w:hAnsi="Times New Roman" w:cs="Times New Roman" w:eastAsia="Times New Roman" w:hint="default"/>
        </w:rPr>
        <w:t>2018</w:t>
      </w:r>
      <w:r>
        <w:rPr/>
        <w:t>年度再次获得</w:t>
      </w:r>
      <w:r>
        <w:rPr>
          <w:rFonts w:ascii="Times New Roman" w:hAnsi="Times New Roman" w:cs="Times New Roman" w:eastAsia="Times New Roman" w:hint="default"/>
        </w:rPr>
        <w:t>a&amp;s“</w:t>
      </w:r>
      <w:r>
        <w:rPr/>
        <w:t>中国百大</w:t>
      </w:r>
      <w:r>
        <w:rPr>
          <w:w w:val="99"/>
        </w:rPr>
        <w:t> </w:t>
      </w:r>
      <w:r>
        <w:rPr>
          <w:spacing w:val="-4"/>
          <w:w w:val="100"/>
        </w:rPr>
        <w:t>智能集成商</w:t>
      </w:r>
      <w:r>
        <w:rPr>
          <w:rFonts w:ascii="Times New Roman" w:hAnsi="Times New Roman" w:cs="Times New Roman" w:eastAsia="Times New Roman" w:hint="default"/>
          <w:spacing w:val="-4"/>
          <w:w w:val="100"/>
        </w:rPr>
        <w:t>”</w:t>
      </w:r>
      <w:r>
        <w:rPr>
          <w:spacing w:val="-4"/>
          <w:w w:val="100"/>
        </w:rPr>
        <w:t>殊荣，并在细分行业的</w:t>
      </w:r>
      <w:r>
        <w:rPr>
          <w:rFonts w:ascii="Times New Roman" w:hAnsi="Times New Roman" w:cs="Times New Roman" w:eastAsia="Times New Roman" w:hint="default"/>
          <w:spacing w:val="-4"/>
          <w:w w:val="100"/>
        </w:rPr>
        <w:t>“</w:t>
      </w:r>
      <w:r>
        <w:rPr>
          <w:spacing w:val="-4"/>
          <w:w w:val="100"/>
        </w:rPr>
        <w:t>平安城市</w:t>
      </w:r>
      <w:r>
        <w:rPr>
          <w:rFonts w:ascii="Times New Roman" w:hAnsi="Times New Roman" w:cs="Times New Roman" w:eastAsia="Times New Roman" w:hint="default"/>
          <w:spacing w:val="-4"/>
          <w:w w:val="100"/>
        </w:rPr>
        <w:t>”</w:t>
      </w:r>
      <w:r>
        <w:rPr>
          <w:spacing w:val="-4"/>
          <w:w w:val="100"/>
        </w:rPr>
        <w:t>、</w:t>
      </w:r>
      <w:r>
        <w:rPr>
          <w:rFonts w:ascii="Times New Roman" w:hAnsi="Times New Roman" w:cs="Times New Roman" w:eastAsia="Times New Roman" w:hint="default"/>
          <w:spacing w:val="-4"/>
          <w:w w:val="100"/>
        </w:rPr>
        <w:t>“</w:t>
      </w:r>
      <w:r>
        <w:rPr>
          <w:spacing w:val="-4"/>
          <w:w w:val="100"/>
        </w:rPr>
        <w:t>智慧交通</w:t>
      </w:r>
      <w:r>
        <w:rPr>
          <w:rFonts w:ascii="Times New Roman" w:hAnsi="Times New Roman" w:cs="Times New Roman" w:eastAsia="Times New Roman" w:hint="default"/>
          <w:spacing w:val="-4"/>
          <w:w w:val="100"/>
        </w:rPr>
        <w:t>”</w:t>
      </w:r>
      <w:r>
        <w:rPr>
          <w:spacing w:val="-4"/>
          <w:w w:val="100"/>
        </w:rPr>
        <w:t>两大板块中名列</w:t>
      </w:r>
      <w:r>
        <w:rPr>
          <w:rFonts w:ascii="Times New Roman" w:hAnsi="Times New Roman" w:cs="Times New Roman" w:eastAsia="Times New Roman" w:hint="default"/>
          <w:spacing w:val="-4"/>
          <w:w w:val="100"/>
        </w:rPr>
        <w:t>TOP20</w:t>
      </w:r>
      <w:r>
        <w:rPr>
          <w:spacing w:val="-4"/>
          <w:w w:val="100"/>
        </w:rPr>
        <w:t>榜单，在</w:t>
      </w:r>
      <w:r>
        <w:rPr>
          <w:rFonts w:ascii="Times New Roman" w:hAnsi="Times New Roman" w:cs="Times New Roman" w:eastAsia="Times New Roman" w:hint="default"/>
          <w:spacing w:val="-4"/>
          <w:w w:val="100"/>
        </w:rPr>
        <w:t>“</w:t>
      </w:r>
      <w:r>
        <w:rPr>
          <w:spacing w:val="-4"/>
          <w:w w:val="100"/>
        </w:rPr>
        <w:t>安防系统集成</w:t>
      </w:r>
      <w:r>
        <w:rPr>
          <w:rFonts w:ascii="Times New Roman" w:hAnsi="Times New Roman" w:cs="Times New Roman" w:eastAsia="Times New Roman" w:hint="default"/>
          <w:spacing w:val="-4"/>
          <w:w w:val="100"/>
        </w:rPr>
        <w:t>”</w:t>
      </w:r>
      <w:r>
        <w:rPr>
          <w:spacing w:val="-4"/>
          <w:w w:val="100"/>
        </w:rPr>
        <w:t>板块中名列</w:t>
      </w:r>
      <w:r>
        <w:rPr>
          <w:rFonts w:ascii="Times New Roman" w:hAnsi="Times New Roman" w:cs="Times New Roman" w:eastAsia="Times New Roman" w:hint="default"/>
          <w:spacing w:val="-4"/>
          <w:w w:val="100"/>
        </w:rPr>
        <w:t>TOP50</w:t>
      </w:r>
      <w:r>
        <w:rPr>
          <w:rFonts w:ascii="Times New Roman" w:hAnsi="Times New Roman" w:cs="Times New Roman" w:eastAsia="Times New Roman" w:hint="default"/>
          <w:spacing w:val="-39"/>
          <w:w w:val="100"/>
        </w:rPr>
        <w:t> </w:t>
      </w:r>
      <w:r>
        <w:rPr/>
        <w:t>榜单。</w:t>
      </w:r>
    </w:p>
    <w:p>
      <w:pPr>
        <w:spacing w:line="240" w:lineRule="auto" w:before="8"/>
        <w:rPr>
          <w:rFonts w:ascii="宋体" w:hAnsi="宋体" w:cs="宋体" w:eastAsia="宋体" w:hint="default"/>
          <w:sz w:val="21"/>
          <w:szCs w:val="21"/>
        </w:rPr>
      </w:pPr>
    </w:p>
    <w:p>
      <w:pPr>
        <w:pStyle w:val="Heading2"/>
        <w:spacing w:line="240" w:lineRule="auto"/>
        <w:ind w:right="0"/>
        <w:jc w:val="left"/>
        <w:rPr>
          <w:b w:val="0"/>
          <w:bCs w:val="0"/>
        </w:rPr>
      </w:pPr>
      <w:bookmarkStart w:name="二、主要资产重大变化情况" w:id="19"/>
      <w:bookmarkEnd w:id="19"/>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主要资产重大变化情况" w:id="20"/>
      <w:bookmarkEnd w:id="20"/>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052"/>
        <w:gridCol w:w="6517"/>
      </w:tblGrid>
      <w:tr>
        <w:trPr>
          <w:trHeight w:val="764"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2、主要境外资产情况" w:id="21"/>
      <w:bookmarkEnd w:id="21"/>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三、核心竞争力分析" w:id="22"/>
      <w:bookmarkEnd w:id="22"/>
      <w:r>
        <w:rPr>
          <w:b w:val="0"/>
          <w:bCs w:val="0"/>
        </w:rPr>
      </w:r>
      <w:r>
        <w:rPr/>
        <w:t>三、核心竞争力分析</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right="7692"/>
        <w:jc w:val="left"/>
      </w:pPr>
      <w:r>
        <w:rPr/>
        <w:t>公司是否需要遵守特殊行业的披露要求 是</w:t>
      </w:r>
    </w:p>
    <w:p>
      <w:pPr>
        <w:pStyle w:val="BodyText"/>
        <w:spacing w:line="357" w:lineRule="auto" w:before="28"/>
        <w:ind w:left="444" w:right="1102" w:hanging="291"/>
        <w:jc w:val="left"/>
      </w:pPr>
      <w:r>
        <w:rPr/>
        <w:t>软件与信息技术服务业 公司作为国家火炬计划重点高新技术企业、国家级高新技术企业、国家级技术创新示范企业、国家级创新型示范企业、</w:t>
      </w:r>
    </w:p>
    <w:p>
      <w:pPr>
        <w:spacing w:after="0" w:line="357"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4" w:lineRule="auto"/>
        <w:ind w:right="1130"/>
        <w:jc w:val="both"/>
      </w:pPr>
      <w:r>
        <w:rPr>
          <w:spacing w:val="-2"/>
        </w:rPr>
        <w:t>国家级知识产权示范企业、国家级守合同重信用企业，拥有国家级企业技术中心、国家级博士后科研工作站、两个省级重点</w:t>
      </w:r>
      <w:r>
        <w:rPr>
          <w:spacing w:val="-66"/>
        </w:rPr>
        <w:t> </w:t>
      </w:r>
      <w:r>
        <w:rPr>
          <w:spacing w:val="-66"/>
        </w:rPr>
      </w:r>
      <w:r>
        <w:rPr>
          <w:spacing w:val="-2"/>
        </w:rPr>
        <w:t>实验室以及省级工程技术研究中心，并与电子科技大学联合成立了反恐装备研究联合实验室；作为目前中国具有国家多部委</w:t>
      </w:r>
      <w:r>
        <w:rPr>
          <w:spacing w:val="-64"/>
        </w:rPr>
        <w:t> </w:t>
      </w:r>
      <w:r>
        <w:rPr>
          <w:spacing w:val="-64"/>
        </w:rPr>
      </w:r>
      <w:r>
        <w:rPr>
          <w:spacing w:val="-2"/>
        </w:rPr>
        <w:t>核准颁发的包括涉密在内的九个</w:t>
      </w:r>
      <w:r>
        <w:rPr>
          <w:rFonts w:ascii="Times New Roman" w:hAnsi="Times New Roman" w:cs="Times New Roman" w:eastAsia="Times New Roman" w:hint="default"/>
          <w:spacing w:val="-2"/>
        </w:rPr>
        <w:t>“</w:t>
      </w:r>
      <w:r>
        <w:rPr>
          <w:spacing w:val="-2"/>
        </w:rPr>
        <w:t>甲级</w:t>
      </w:r>
      <w:r>
        <w:rPr>
          <w:rFonts w:ascii="Times New Roman" w:hAnsi="Times New Roman" w:cs="Times New Roman" w:eastAsia="Times New Roman" w:hint="default"/>
          <w:spacing w:val="-2"/>
        </w:rPr>
        <w:t>”</w:t>
      </w:r>
      <w:r>
        <w:rPr>
          <w:spacing w:val="-2"/>
        </w:rPr>
        <w:t>资质的总集成商、整体解决方案供应商及智慧城市运营服务商，将紧紧把握国家大力</w:t>
      </w:r>
      <w:r>
        <w:rPr>
          <w:spacing w:val="-45"/>
        </w:rPr>
        <w:t> </w:t>
      </w:r>
      <w:r>
        <w:rPr>
          <w:spacing w:val="-45"/>
        </w:rPr>
      </w:r>
      <w:r>
        <w:rPr>
          <w:spacing w:val="-2"/>
        </w:rPr>
        <w:t>发展智慧城市的市场机遇，专注于智慧城市方向的人工智能、物联网、大数据和云计算等关键技术的研究和开发，专注于智</w:t>
      </w:r>
      <w:r>
        <w:rPr>
          <w:spacing w:val="-66"/>
        </w:rPr>
        <w:t> </w:t>
      </w:r>
      <w:r>
        <w:rPr>
          <w:spacing w:val="-66"/>
        </w:rPr>
      </w:r>
      <w:r>
        <w:rPr>
          <w:spacing w:val="-2"/>
        </w:rPr>
        <w:t>慧城市的建设、投资与运营，以信息化、大数据和云计算为支撑，已形成面向智慧社会治理、智慧民生服务、智慧产业经济</w:t>
      </w:r>
      <w:r>
        <w:rPr>
          <w:spacing w:val="-67"/>
        </w:rPr>
        <w:t> </w:t>
      </w:r>
      <w:r>
        <w:rPr>
          <w:spacing w:val="-67"/>
        </w:rPr>
      </w:r>
      <w:r>
        <w:rPr>
          <w:spacing w:val="-2"/>
        </w:rPr>
        <w:t>等三位一体的完全自主可控、国内领先且具有国际竞争力的核心技术、产品和全面解决方案，在智慧城市领域积累丰富的市</w:t>
      </w:r>
      <w:r>
        <w:rPr>
          <w:spacing w:val="-66"/>
        </w:rPr>
        <w:t> </w:t>
      </w:r>
      <w:r>
        <w:rPr>
          <w:spacing w:val="-66"/>
        </w:rPr>
      </w:r>
      <w:r>
        <w:rPr>
          <w:spacing w:val="-2"/>
        </w:rPr>
        <w:t>场经验和应用经验，并不断精益求精地复制，促进公司在智慧城市业务的建设、投资与运营等方面的更好发展，以加速形成</w:t>
      </w:r>
      <w:r>
        <w:rPr>
          <w:spacing w:val="-66"/>
        </w:rPr>
        <w:t> </w:t>
      </w:r>
      <w:r>
        <w:rPr>
          <w:spacing w:val="-66"/>
        </w:rPr>
      </w:r>
      <w:r>
        <w:rPr/>
        <w:t>并夯实</w:t>
      </w:r>
      <w:r>
        <w:rPr>
          <w:rFonts w:ascii="Times New Roman" w:hAnsi="Times New Roman" w:cs="Times New Roman" w:eastAsia="Times New Roman" w:hint="default"/>
        </w:rPr>
        <w:t>“</w:t>
      </w:r>
      <w:r>
        <w:rPr/>
        <w:t>中国最好的智慧城市建设与运营服务商</w:t>
      </w:r>
      <w:r>
        <w:rPr>
          <w:rFonts w:ascii="Times New Roman" w:hAnsi="Times New Roman" w:cs="Times New Roman" w:eastAsia="Times New Roman" w:hint="default"/>
        </w:rPr>
        <w:t>”</w:t>
      </w:r>
      <w:r>
        <w:rPr/>
        <w:t>的行业龙头品牌地位。</w:t>
      </w:r>
    </w:p>
    <w:p>
      <w:pPr>
        <w:pStyle w:val="BodyText"/>
        <w:spacing w:line="316" w:lineRule="auto" w:before="1"/>
        <w:ind w:left="514" w:right="1118" w:firstLine="1"/>
        <w:jc w:val="left"/>
      </w:pPr>
      <w:r>
        <w:rPr>
          <w:rFonts w:ascii="宋体" w:hAnsi="宋体" w:cs="宋体" w:eastAsia="宋体" w:hint="default"/>
          <w:b/>
          <w:bCs/>
        </w:rPr>
        <w:t>一、资质优势</w:t>
      </w:r>
      <w:r>
        <w:rPr>
          <w:rFonts w:ascii="宋体" w:hAnsi="宋体" w:cs="宋体" w:eastAsia="宋体" w:hint="default"/>
          <w:b/>
          <w:bCs/>
          <w:w w:val="99"/>
        </w:rPr>
        <w:t> </w:t>
      </w:r>
      <w:r>
        <w:rPr>
          <w:spacing w:val="-2"/>
        </w:rPr>
        <w:t>公司作为业内具有国家多部委核准颁发的包括涉密在内的九个</w:t>
      </w:r>
      <w:r>
        <w:rPr>
          <w:rFonts w:ascii="Times New Roman" w:hAnsi="Times New Roman" w:cs="Times New Roman" w:eastAsia="Times New Roman" w:hint="default"/>
          <w:spacing w:val="-2"/>
        </w:rPr>
        <w:t>“</w:t>
      </w:r>
      <w:r>
        <w:rPr>
          <w:spacing w:val="-2"/>
        </w:rPr>
        <w:t>甲级</w:t>
      </w:r>
      <w:r>
        <w:rPr>
          <w:rFonts w:ascii="Times New Roman" w:hAnsi="Times New Roman" w:cs="Times New Roman" w:eastAsia="Times New Roman" w:hint="default"/>
          <w:spacing w:val="-2"/>
        </w:rPr>
        <w:t>”</w:t>
      </w:r>
      <w:r>
        <w:rPr>
          <w:spacing w:val="-2"/>
        </w:rPr>
        <w:t>资质的总集成服务企业，构建了行业信息化项目招</w:t>
      </w:r>
    </w:p>
    <w:p>
      <w:pPr>
        <w:pStyle w:val="BodyText"/>
        <w:spacing w:line="300" w:lineRule="auto" w:before="0"/>
        <w:ind w:right="0"/>
        <w:jc w:val="left"/>
      </w:pPr>
      <w:r>
        <w:rPr/>
        <w:t>投标最全面、最顶级的竞争门槛。具体资质包括：</w:t>
      </w:r>
      <w:r>
        <w:rPr>
          <w:rFonts w:ascii="Times New Roman" w:hAnsi="Times New Roman" w:cs="Times New Roman" w:eastAsia="Times New Roman" w:hint="default"/>
        </w:rPr>
        <w:t>“</w:t>
      </w:r>
      <w:r>
        <w:rPr/>
        <w:t>涉密信息系统集成资质（甲级）</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涉密信息软件开发资质（甲级）</w:t>
      </w:r>
      <w:r>
        <w:rPr>
          <w:rFonts w:ascii="Times New Roman" w:hAnsi="Times New Roman" w:cs="Times New Roman" w:eastAsia="Times New Roman" w:hint="default"/>
        </w:rPr>
        <w:t>”</w:t>
      </w:r>
      <w:r>
        <w:rPr/>
        <w:t>、 </w:t>
      </w:r>
      <w:r>
        <w:rPr>
          <w:rFonts w:ascii="Times New Roman" w:hAnsi="Times New Roman" w:cs="Times New Roman" w:eastAsia="Times New Roman" w:hint="default"/>
          <w:spacing w:val="-3"/>
        </w:rPr>
        <w:t>“</w:t>
      </w:r>
      <w:r>
        <w:rPr>
          <w:spacing w:val="-3"/>
        </w:rPr>
        <w:t>涉密信息安防监控资质（甲级）</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安防工程企业设计施工维护能力资质（壹级）</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电子与智能化工程专业承包资质（壹</w:t>
      </w:r>
      <w:r>
        <w:rPr>
          <w:spacing w:val="-43"/>
        </w:rPr>
        <w:t> </w:t>
      </w:r>
      <w:r>
        <w:rPr>
          <w:spacing w:val="-43"/>
        </w:rPr>
      </w:r>
      <w:r>
        <w:rPr>
          <w:spacing w:val="-7"/>
        </w:rPr>
        <w:t>级）</w:t>
      </w:r>
      <w:r>
        <w:rPr>
          <w:rFonts w:ascii="Times New Roman" w:hAnsi="Times New Roman" w:cs="Times New Roman" w:eastAsia="Times New Roman" w:hint="default"/>
          <w:spacing w:val="-7"/>
        </w:rPr>
        <w:t>”</w:t>
      </w:r>
      <w:r>
        <w:rPr>
          <w:spacing w:val="-7"/>
        </w:rPr>
        <w:t>、</w:t>
      </w:r>
      <w:r>
        <w:rPr>
          <w:rFonts w:ascii="Times New Roman" w:hAnsi="Times New Roman" w:cs="Times New Roman" w:eastAsia="Times New Roman" w:hint="default"/>
          <w:spacing w:val="-7"/>
        </w:rPr>
        <w:t>“</w:t>
      </w:r>
      <w:r>
        <w:rPr>
          <w:spacing w:val="-7"/>
        </w:rPr>
        <w:t>建筑智能化系统设计专项资质（甲级）</w:t>
      </w:r>
      <w:r>
        <w:rPr>
          <w:rFonts w:ascii="Times New Roman" w:hAnsi="Times New Roman" w:cs="Times New Roman" w:eastAsia="Times New Roman" w:hint="default"/>
          <w:spacing w:val="-7"/>
        </w:rPr>
        <w:t>”</w:t>
      </w:r>
      <w:r>
        <w:rPr>
          <w:spacing w:val="-7"/>
        </w:rPr>
        <w:t>、</w:t>
      </w:r>
      <w:r>
        <w:rPr>
          <w:rFonts w:ascii="Times New Roman" w:hAnsi="Times New Roman" w:cs="Times New Roman" w:eastAsia="Times New Roman" w:hint="default"/>
          <w:spacing w:val="-7"/>
        </w:rPr>
        <w:t>“</w:t>
      </w:r>
      <w:r>
        <w:rPr>
          <w:spacing w:val="-7"/>
        </w:rPr>
        <w:t>信息系统集成及服务资质（壹级）</w:t>
      </w:r>
      <w:r>
        <w:rPr>
          <w:rFonts w:ascii="Times New Roman" w:hAnsi="Times New Roman" w:cs="Times New Roman" w:eastAsia="Times New Roman" w:hint="default"/>
          <w:spacing w:val="-7"/>
        </w:rPr>
        <w:t>”</w:t>
      </w:r>
      <w:r>
        <w:rPr>
          <w:spacing w:val="-7"/>
        </w:rPr>
        <w:t>、</w:t>
      </w:r>
      <w:r>
        <w:rPr>
          <w:rFonts w:ascii="Times New Roman" w:hAnsi="Times New Roman" w:cs="Times New Roman" w:eastAsia="Times New Roman" w:hint="default"/>
          <w:spacing w:val="-7"/>
        </w:rPr>
        <w:t>“</w:t>
      </w:r>
      <w:r>
        <w:rPr>
          <w:spacing w:val="-7"/>
        </w:rPr>
        <w:t>音、视频工程业企业资质（特级）</w:t>
      </w:r>
      <w:r>
        <w:rPr>
          <w:rFonts w:ascii="Times New Roman" w:hAnsi="Times New Roman" w:cs="Times New Roman" w:eastAsia="Times New Roman" w:hint="default"/>
          <w:spacing w:val="-7"/>
        </w:rPr>
        <w:t>”</w:t>
      </w:r>
      <w:r>
        <w:rPr>
          <w:spacing w:val="-7"/>
        </w:rPr>
        <w:t>、</w:t>
      </w:r>
      <w:r>
        <w:rPr>
          <w:spacing w:val="-47"/>
        </w:rPr>
        <w:t> </w:t>
      </w:r>
      <w:r>
        <w:rPr>
          <w:rFonts w:ascii="Times New Roman" w:hAnsi="Times New Roman" w:cs="Times New Roman" w:eastAsia="Times New Roman" w:hint="default"/>
        </w:rPr>
        <w:t>“</w:t>
      </w:r>
      <w:r>
        <w:rPr/>
        <w:t>民航空管工程及机场弱电系统工程专业承包资质（贰级）</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建筑装饰装修工程设计与施工资质（贰级）</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建筑机电安 装工程专业承包资质（叁级）</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能源合同管理</w:t>
      </w:r>
      <w:r>
        <w:rPr>
          <w:rFonts w:ascii="Times New Roman" w:hAnsi="Times New Roman" w:cs="Times New Roman" w:eastAsia="Times New Roman" w:hint="default"/>
        </w:rPr>
        <w:t>”</w:t>
      </w:r>
      <w:r>
        <w:rPr/>
        <w:t>等资质，能够为客户提供全方位的服务，也为公司在行业内的市场拓展提 供了保障。公司顺利通过全球软件能力成熟度集成模型</w:t>
      </w:r>
      <w:r>
        <w:rPr>
          <w:rFonts w:ascii="Times New Roman" w:hAnsi="Times New Roman" w:cs="Times New Roman" w:eastAsia="Times New Roman" w:hint="default"/>
        </w:rPr>
        <w:t>CMMI5</w:t>
      </w:r>
      <w:r>
        <w:rPr/>
        <w:t>顶级认证，标志着公司的软件技术开发能力达到国际一流水</w:t>
      </w:r>
      <w:r>
        <w:rPr>
          <w:w w:val="99"/>
        </w:rPr>
        <w:t> </w:t>
      </w:r>
      <w:r>
        <w:rPr>
          <w:spacing w:val="-3"/>
        </w:rPr>
        <w:t>平；公司成功入围</w:t>
      </w:r>
      <w:r>
        <w:rPr>
          <w:rFonts w:ascii="Times New Roman" w:hAnsi="Times New Roman" w:cs="Times New Roman" w:eastAsia="Times New Roman" w:hint="default"/>
          <w:spacing w:val="-3"/>
        </w:rPr>
        <w:t>“</w:t>
      </w:r>
      <w:r>
        <w:rPr>
          <w:spacing w:val="-3"/>
        </w:rPr>
        <w:t>军油工程</w:t>
      </w:r>
      <w:r>
        <w:rPr>
          <w:rFonts w:ascii="Times New Roman" w:hAnsi="Times New Roman" w:cs="Times New Roman" w:eastAsia="Times New Roman" w:hint="default"/>
          <w:spacing w:val="-3"/>
        </w:rPr>
        <w:t>”</w:t>
      </w:r>
      <w:r>
        <w:rPr>
          <w:spacing w:val="-3"/>
        </w:rPr>
        <w:t>承建企业目录，并获得中央军委后勤保障部军需能源局颁发的入围《</w:t>
      </w:r>
      <w:r>
        <w:rPr>
          <w:rFonts w:ascii="Times New Roman" w:hAnsi="Times New Roman" w:cs="Times New Roman" w:eastAsia="Times New Roman" w:hint="default"/>
          <w:spacing w:val="-3"/>
        </w:rPr>
        <w:t>“</w:t>
      </w:r>
      <w:r>
        <w:rPr>
          <w:spacing w:val="-3"/>
        </w:rPr>
        <w:t>军油工程</w:t>
      </w:r>
      <w:r>
        <w:rPr>
          <w:rFonts w:ascii="Times New Roman" w:hAnsi="Times New Roman" w:cs="Times New Roman" w:eastAsia="Times New Roman" w:hint="default"/>
          <w:spacing w:val="-3"/>
        </w:rPr>
        <w:t>”</w:t>
      </w:r>
      <w:r>
        <w:rPr>
          <w:spacing w:val="-3"/>
        </w:rPr>
        <w:t>承建企业目录》</w:t>
      </w:r>
      <w:r>
        <w:rPr>
          <w:spacing w:val="-55"/>
        </w:rPr>
        <w:t> </w:t>
      </w:r>
      <w:r>
        <w:rPr/>
        <w:t>证书，由此具备了承担</w:t>
      </w:r>
      <w:r>
        <w:rPr>
          <w:rFonts w:ascii="Times New Roman" w:hAnsi="Times New Roman" w:cs="Times New Roman" w:eastAsia="Times New Roman" w:hint="default"/>
        </w:rPr>
        <w:t>“</w:t>
      </w:r>
      <w:r>
        <w:rPr/>
        <w:t>军油工程</w:t>
      </w:r>
      <w:r>
        <w:rPr>
          <w:rFonts w:ascii="Times New Roman" w:hAnsi="Times New Roman" w:cs="Times New Roman" w:eastAsia="Times New Roman" w:hint="default"/>
        </w:rPr>
        <w:t>”</w:t>
      </w:r>
      <w:r>
        <w:rPr/>
        <w:t>国家物联网示范工程的准入条件。</w:t>
      </w:r>
    </w:p>
    <w:p>
      <w:pPr>
        <w:pStyle w:val="BodyText"/>
        <w:spacing w:line="300" w:lineRule="auto" w:before="13"/>
        <w:ind w:right="1167" w:firstLine="360"/>
        <w:jc w:val="left"/>
      </w:pPr>
      <w:r>
        <w:rPr/>
        <w:t>报告期内，公司取得了《信息安全管理体系认证证书》、《信息技术服务管理体系认证证书》</w:t>
      </w:r>
      <w:r>
        <w:rPr>
          <w:rFonts w:ascii="Times New Roman" w:hAnsi="Times New Roman" w:cs="Times New Roman" w:eastAsia="Times New Roman" w:hint="default"/>
        </w:rPr>
        <w:t>,</w:t>
      </w:r>
      <w:r>
        <w:rPr/>
        <w:t>构建起了包括国际质量 管理、环境管理、职业健康安全管理、信息安全管理、信息技术服务管理等在内的全方位管理体系认证。</w:t>
      </w:r>
    </w:p>
    <w:p>
      <w:pPr>
        <w:pStyle w:val="BodyText"/>
        <w:spacing w:line="316" w:lineRule="auto" w:before="31"/>
        <w:ind w:left="514" w:right="0" w:firstLine="1"/>
        <w:jc w:val="left"/>
      </w:pPr>
      <w:r>
        <w:rPr>
          <w:rFonts w:ascii="宋体" w:hAnsi="宋体" w:cs="宋体" w:eastAsia="宋体" w:hint="default"/>
          <w:b/>
          <w:bCs/>
        </w:rPr>
        <w:t>二、行业应用优势</w:t>
      </w:r>
      <w:r>
        <w:rPr>
          <w:rFonts w:ascii="宋体" w:hAnsi="宋体" w:cs="宋体" w:eastAsia="宋体" w:hint="default"/>
          <w:b/>
          <w:bCs/>
          <w:w w:val="99"/>
        </w:rPr>
        <w:t> </w:t>
      </w:r>
      <w:r>
        <w:rPr>
          <w:spacing w:val="-4"/>
        </w:rPr>
        <w:t>公司在智慧城市、公共安全与智能反恐维稳领域积累了丰富的市场经验和应用经验，对政府、军队、武警、公安、通信、</w:t>
      </w:r>
    </w:p>
    <w:p>
      <w:pPr>
        <w:pStyle w:val="BodyText"/>
        <w:spacing w:line="302" w:lineRule="auto" w:before="19"/>
        <w:ind w:right="0"/>
        <w:jc w:val="left"/>
      </w:pPr>
      <w:r>
        <w:rPr>
          <w:spacing w:val="-4"/>
        </w:rPr>
        <w:t>交通、金融、石油化工、电力、煤炭、核电站等行业具有丰富的行业经验，可以准确地抓住市场需求和业务特点。截至目前，</w:t>
      </w:r>
      <w:r>
        <w:rPr>
          <w:spacing w:val="-47"/>
        </w:rPr>
        <w:t> </w:t>
      </w:r>
      <w:r>
        <w:rPr>
          <w:spacing w:val="-47"/>
        </w:rPr>
      </w:r>
      <w:r>
        <w:rPr>
          <w:spacing w:val="-2"/>
        </w:rPr>
        <w:t>公司累计承揽了</w:t>
      </w:r>
      <w:r>
        <w:rPr>
          <w:rFonts w:ascii="Times New Roman" w:hAnsi="Times New Roman" w:cs="Times New Roman" w:eastAsia="Times New Roman" w:hint="default"/>
          <w:spacing w:val="-2"/>
        </w:rPr>
        <w:t>2000</w:t>
      </w:r>
      <w:r>
        <w:rPr>
          <w:spacing w:val="-2"/>
        </w:rPr>
        <w:t>余个项目，先进的方案、高质量的产品和优良的服务赢得了政府、军队和行业高端客户的信赖。公司是</w:t>
      </w:r>
      <w:r>
        <w:rPr>
          <w:spacing w:val="-62"/>
        </w:rPr>
        <w:t> </w:t>
      </w:r>
      <w:r>
        <w:rPr>
          <w:spacing w:val="-62"/>
        </w:rPr>
      </w:r>
      <w:r>
        <w:rPr/>
        <w:t>业界承担单个项目金额亿元以上的重大系统集成项目最多的企业之一，所完成的智能化项目多次获得国家优质工程</w:t>
      </w:r>
      <w:r>
        <w:rPr>
          <w:rFonts w:ascii="Times New Roman" w:hAnsi="Times New Roman" w:cs="Times New Roman" w:eastAsia="Times New Roman" w:hint="default"/>
        </w:rPr>
        <w:t>“</w:t>
      </w:r>
      <w:r>
        <w:rPr/>
        <w:t>鲁班 </w:t>
      </w:r>
      <w:r>
        <w:rPr>
          <w:spacing w:val="-2"/>
        </w:rPr>
        <w:t>奖</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长城杯</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飞天奖</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全国智能集成创新应用奖</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优秀数据中心奖</w:t>
      </w:r>
      <w:r>
        <w:rPr>
          <w:rFonts w:ascii="Times New Roman" w:hAnsi="Times New Roman" w:cs="Times New Roman" w:eastAsia="Times New Roman" w:hint="default"/>
          <w:spacing w:val="-2"/>
        </w:rPr>
        <w:t>”</w:t>
      </w:r>
      <w:r>
        <w:rPr>
          <w:spacing w:val="-2"/>
        </w:rPr>
        <w:t>等省（市）卓越奖项。公司是业界承担单个项目</w:t>
      </w:r>
      <w:r>
        <w:rPr>
          <w:spacing w:val="-61"/>
        </w:rPr>
        <w:t> </w:t>
      </w:r>
      <w:r>
        <w:rPr>
          <w:spacing w:val="-61"/>
        </w:rPr>
      </w:r>
      <w:r>
        <w:rPr/>
        <w:t>金额亿元以上的重大系统集成项目最多的企业之一，公司两次荣登《福布斯》</w:t>
      </w:r>
      <w:r>
        <w:rPr>
          <w:rFonts w:ascii="Times New Roman" w:hAnsi="Times New Roman" w:cs="Times New Roman" w:eastAsia="Times New Roman" w:hint="default"/>
        </w:rPr>
        <w:t>“</w:t>
      </w:r>
      <w:r>
        <w:rPr/>
        <w:t>中国潜力</w:t>
      </w:r>
      <w:r>
        <w:rPr>
          <w:rFonts w:ascii="Times New Roman" w:hAnsi="Times New Roman" w:cs="Times New Roman" w:eastAsia="Times New Roman" w:hint="default"/>
        </w:rPr>
        <w:t>100”</w:t>
      </w:r>
      <w:r>
        <w:rPr/>
        <w:t>排行榜；</w:t>
      </w:r>
      <w:r>
        <w:rPr>
          <w:rFonts w:ascii="Times New Roman" w:hAnsi="Times New Roman" w:cs="Times New Roman" w:eastAsia="Times New Roman" w:hint="default"/>
        </w:rPr>
        <w:t>2017</w:t>
      </w:r>
      <w:r>
        <w:rPr/>
        <w:t>年度入选全球智 慧城市解决方案供应商百强榜；</w:t>
      </w:r>
      <w:r>
        <w:rPr>
          <w:rFonts w:ascii="Times New Roman" w:hAnsi="Times New Roman" w:cs="Times New Roman" w:eastAsia="Times New Roman" w:hint="default"/>
        </w:rPr>
        <w:t>2017</w:t>
      </w:r>
      <w:r>
        <w:rPr/>
        <w:t>和</w:t>
      </w:r>
      <w:r>
        <w:rPr>
          <w:rFonts w:ascii="Times New Roman" w:hAnsi="Times New Roman" w:cs="Times New Roman" w:eastAsia="Times New Roman" w:hint="default"/>
        </w:rPr>
        <w:t>2018</w:t>
      </w:r>
      <w:r>
        <w:rPr/>
        <w:t>年度连续入选世界物联网发展潜力百强榜；在</w:t>
      </w:r>
      <w:r>
        <w:rPr>
          <w:rFonts w:ascii="Times New Roman" w:hAnsi="Times New Roman" w:cs="Times New Roman" w:eastAsia="Times New Roman" w:hint="default"/>
        </w:rPr>
        <w:t>2017</w:t>
      </w:r>
      <w:r>
        <w:rPr/>
        <w:t>年度</w:t>
      </w:r>
      <w:r>
        <w:rPr>
          <w:rFonts w:ascii="Times New Roman" w:hAnsi="Times New Roman" w:cs="Times New Roman" w:eastAsia="Times New Roman" w:hint="default"/>
        </w:rPr>
        <w:t>a&amp;s</w:t>
      </w:r>
      <w:r>
        <w:rPr/>
        <w:t>中国平安城市十大品 牌评选中排名第一；</w:t>
      </w:r>
      <w:r>
        <w:rPr>
          <w:rFonts w:ascii="Times New Roman" w:hAnsi="Times New Roman" w:cs="Times New Roman" w:eastAsia="Times New Roman" w:hint="default"/>
        </w:rPr>
        <w:t>2018</w:t>
      </w:r>
      <w:r>
        <w:rPr/>
        <w:t>年度再次获得</w:t>
      </w:r>
      <w:r>
        <w:rPr>
          <w:rFonts w:ascii="Times New Roman" w:hAnsi="Times New Roman" w:cs="Times New Roman" w:eastAsia="Times New Roman" w:hint="default"/>
        </w:rPr>
        <w:t>a&amp;s“</w:t>
      </w:r>
      <w:r>
        <w:rPr/>
        <w:t>中国百大智能集成商</w:t>
      </w:r>
      <w:r>
        <w:rPr>
          <w:rFonts w:ascii="Times New Roman" w:hAnsi="Times New Roman" w:cs="Times New Roman" w:eastAsia="Times New Roman" w:hint="default"/>
        </w:rPr>
        <w:t>”</w:t>
      </w:r>
      <w:r>
        <w:rPr/>
        <w:t>殊荣，并在细分行业的</w:t>
      </w:r>
      <w:r>
        <w:rPr>
          <w:rFonts w:ascii="Times New Roman" w:hAnsi="Times New Roman" w:cs="Times New Roman" w:eastAsia="Times New Roman" w:hint="default"/>
        </w:rPr>
        <w:t>“</w:t>
      </w:r>
      <w:r>
        <w:rPr/>
        <w:t>平安城市</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智慧交通</w:t>
      </w:r>
      <w:r>
        <w:rPr>
          <w:rFonts w:ascii="Times New Roman" w:hAnsi="Times New Roman" w:cs="Times New Roman" w:eastAsia="Times New Roman" w:hint="default"/>
        </w:rPr>
        <w:t>”</w:t>
      </w:r>
      <w:r>
        <w:rPr/>
        <w:t>两大板块 中名列</w:t>
      </w:r>
      <w:r>
        <w:rPr>
          <w:rFonts w:ascii="Times New Roman" w:hAnsi="Times New Roman" w:cs="Times New Roman" w:eastAsia="Times New Roman" w:hint="default"/>
        </w:rPr>
        <w:t>TOP20</w:t>
      </w:r>
      <w:r>
        <w:rPr/>
        <w:t>榜单，在</w:t>
      </w:r>
      <w:r>
        <w:rPr>
          <w:rFonts w:ascii="Times New Roman" w:hAnsi="Times New Roman" w:cs="Times New Roman" w:eastAsia="Times New Roman" w:hint="default"/>
        </w:rPr>
        <w:t>“</w:t>
      </w:r>
      <w:r>
        <w:rPr/>
        <w:t>安防系统集成</w:t>
      </w:r>
      <w:r>
        <w:rPr>
          <w:rFonts w:ascii="Times New Roman" w:hAnsi="Times New Roman" w:cs="Times New Roman" w:eastAsia="Times New Roman" w:hint="default"/>
        </w:rPr>
        <w:t>”</w:t>
      </w:r>
      <w:r>
        <w:rPr/>
        <w:t>板块中名列</w:t>
      </w:r>
      <w:r>
        <w:rPr>
          <w:rFonts w:ascii="Times New Roman" w:hAnsi="Times New Roman" w:cs="Times New Roman" w:eastAsia="Times New Roman" w:hint="default"/>
        </w:rPr>
        <w:t>TOP50</w:t>
      </w:r>
      <w:r>
        <w:rPr/>
        <w:t>榜单。</w:t>
      </w:r>
    </w:p>
    <w:p>
      <w:pPr>
        <w:pStyle w:val="BodyText"/>
        <w:spacing w:line="304" w:lineRule="auto" w:before="11"/>
        <w:ind w:right="1032" w:firstLine="360"/>
        <w:jc w:val="left"/>
      </w:pPr>
      <w:r>
        <w:rPr/>
        <w:t>公司还累计完成了以中央军委办公厅</w:t>
      </w:r>
      <w:r>
        <w:rPr>
          <w:rFonts w:ascii="Times New Roman" w:hAnsi="Times New Roman" w:cs="Times New Roman" w:eastAsia="Times New Roman" w:hint="default"/>
        </w:rPr>
        <w:t>9191</w:t>
      </w:r>
      <w:r>
        <w:rPr/>
        <w:t>涉密信息化工程为代表的逾</w:t>
      </w:r>
      <w:r>
        <w:rPr>
          <w:rFonts w:ascii="Times New Roman" w:hAnsi="Times New Roman" w:cs="Times New Roman" w:eastAsia="Times New Roman" w:hint="default"/>
        </w:rPr>
        <w:t>180</w:t>
      </w:r>
      <w:r>
        <w:rPr/>
        <w:t>项军队信息化项目，以全国海关信息数据备份 </w:t>
      </w:r>
      <w:r>
        <w:rPr>
          <w:spacing w:val="-2"/>
        </w:rPr>
        <w:t>中心为代表的</w:t>
      </w:r>
      <w:r>
        <w:rPr>
          <w:rFonts w:ascii="Times New Roman" w:hAnsi="Times New Roman" w:cs="Times New Roman" w:eastAsia="Times New Roman" w:hint="default"/>
          <w:spacing w:val="-2"/>
        </w:rPr>
        <w:t>30</w:t>
      </w:r>
      <w:r>
        <w:rPr>
          <w:spacing w:val="-2"/>
        </w:rPr>
        <w:t>余个大数据中心建设项目，以安徽省政务服务中心为代表的逾百个智慧政务项目，以福建福清核电站、国家</w:t>
      </w:r>
      <w:r>
        <w:rPr>
          <w:spacing w:val="-64"/>
        </w:rPr>
        <w:t> </w:t>
      </w:r>
      <w:r>
        <w:rPr>
          <w:spacing w:val="-64"/>
        </w:rPr>
      </w:r>
      <w:r>
        <w:rPr/>
        <w:t>南水北调中线干线工程为代表的</w:t>
      </w:r>
      <w:r>
        <w:rPr>
          <w:rFonts w:ascii="Times New Roman" w:hAnsi="Times New Roman" w:cs="Times New Roman" w:eastAsia="Times New Roman" w:hint="default"/>
        </w:rPr>
        <w:t>50</w:t>
      </w:r>
      <w:r>
        <w:rPr/>
        <w:t>余个国家战略设施安全物联网项目，以及近百个智慧警务、智慧应急项目，在智慧交通、 </w:t>
      </w:r>
      <w:r>
        <w:rPr>
          <w:spacing w:val="-4"/>
        </w:rPr>
        <w:t>智慧文体、智慧国土、智慧法院、智慧司法、智慧科研、智慧教育、智慧医疗、智慧社区、智慧楼宇、智慧会展、智慧用能、</w:t>
      </w:r>
      <w:r>
        <w:rPr>
          <w:spacing w:val="-42"/>
        </w:rPr>
        <w:t> </w:t>
      </w:r>
      <w:r>
        <w:rPr>
          <w:spacing w:val="-42"/>
        </w:rPr>
      </w:r>
      <w:r>
        <w:rPr/>
        <w:t>智慧金融等诸多智慧应用领域，北京中电兴发皆有着丰富的投资、建设和运营经验，为构建全域智慧城市打下了坚实基础。</w:t>
      </w:r>
    </w:p>
    <w:p>
      <w:pPr>
        <w:pStyle w:val="BodyText"/>
        <w:spacing w:line="300" w:lineRule="auto" w:before="28"/>
        <w:ind w:right="1129" w:firstLine="360"/>
        <w:jc w:val="both"/>
      </w:pPr>
      <w:r>
        <w:rPr>
          <w:spacing w:val="-2"/>
        </w:rPr>
        <w:t>报告期内，贵州省六盘水</w:t>
      </w:r>
      <w:r>
        <w:rPr>
          <w:rFonts w:ascii="Times New Roman" w:hAnsi="Times New Roman" w:cs="Times New Roman" w:eastAsia="Times New Roman" w:hint="default"/>
          <w:spacing w:val="-2"/>
        </w:rPr>
        <w:t>“</w:t>
      </w:r>
      <w:r>
        <w:rPr>
          <w:spacing w:val="-2"/>
        </w:rPr>
        <w:t>天网</w:t>
      </w:r>
      <w:r>
        <w:rPr>
          <w:rFonts w:ascii="Times New Roman" w:hAnsi="Times New Roman" w:cs="Times New Roman" w:eastAsia="Times New Roman" w:hint="default"/>
          <w:spacing w:val="-2"/>
        </w:rPr>
        <w:t>”</w:t>
      </w:r>
      <w:r>
        <w:rPr>
          <w:spacing w:val="-2"/>
        </w:rPr>
        <w:t>工程总集成项目荣获</w:t>
      </w:r>
      <w:r>
        <w:rPr>
          <w:rFonts w:ascii="Times New Roman" w:hAnsi="Times New Roman" w:cs="Times New Roman" w:eastAsia="Times New Roman" w:hint="default"/>
          <w:spacing w:val="-2"/>
        </w:rPr>
        <w:t>2018</w:t>
      </w:r>
      <w:r>
        <w:rPr>
          <w:spacing w:val="-2"/>
        </w:rPr>
        <w:t>年度中国电子信息行业创新成果（创新应用类）盘古奖；黑龙</w:t>
      </w:r>
      <w:r>
        <w:rPr/>
        <w:t> </w:t>
      </w:r>
      <w:r>
        <w:rPr>
          <w:spacing w:val="-2"/>
        </w:rPr>
        <w:t>江省人民检察院电子检务工程（网络与检察专用信息系统建设项目）在中央政法委机关报《法制日报》主办的</w:t>
      </w:r>
      <w:r>
        <w:rPr>
          <w:rFonts w:ascii="Times New Roman" w:hAnsi="Times New Roman" w:cs="Times New Roman" w:eastAsia="Times New Roman" w:hint="default"/>
          <w:spacing w:val="-2"/>
        </w:rPr>
        <w:t>2018</w:t>
      </w:r>
      <w:r>
        <w:rPr>
          <w:spacing w:val="-2"/>
        </w:rPr>
        <w:t>全国政法</w:t>
      </w:r>
      <w:r>
        <w:rPr>
          <w:spacing w:val="-62"/>
        </w:rPr>
        <w:t> </w:t>
      </w:r>
      <w:r>
        <w:rPr>
          <w:spacing w:val="-1"/>
        </w:rPr>
        <w:t>智能化建设创新案例评选活动中荣获</w:t>
      </w:r>
      <w:r>
        <w:rPr>
          <w:rFonts w:ascii="Times New Roman" w:hAnsi="Times New Roman" w:cs="Times New Roman" w:eastAsia="Times New Roman" w:hint="default"/>
          <w:spacing w:val="-1"/>
        </w:rPr>
        <w:t>“</w:t>
      </w:r>
      <w:r>
        <w:rPr>
          <w:spacing w:val="-1"/>
        </w:rPr>
        <w:t>智慧检务十大解决方案提供商</w:t>
      </w:r>
      <w:r>
        <w:rPr>
          <w:rFonts w:ascii="Times New Roman" w:hAnsi="Times New Roman" w:cs="Times New Roman" w:eastAsia="Times New Roman" w:hint="default"/>
          <w:spacing w:val="-1"/>
        </w:rPr>
        <w:t>”</w:t>
      </w:r>
      <w:r>
        <w:rPr>
          <w:spacing w:val="-1"/>
        </w:rPr>
        <w:t>称号。此外，公司还获评国家优质工程</w:t>
      </w:r>
      <w:r>
        <w:rPr>
          <w:rFonts w:ascii="Times New Roman" w:hAnsi="Times New Roman" w:cs="Times New Roman" w:eastAsia="Times New Roman" w:hint="default"/>
          <w:spacing w:val="-1"/>
        </w:rPr>
        <w:t>“</w:t>
      </w:r>
      <w:r>
        <w:rPr>
          <w:spacing w:val="-1"/>
        </w:rPr>
        <w:t>鲁班奖</w:t>
      </w:r>
      <w:r>
        <w:rPr>
          <w:rFonts w:ascii="Times New Roman" w:hAnsi="Times New Roman" w:cs="Times New Roman" w:eastAsia="Times New Roman" w:hint="default"/>
          <w:spacing w:val="-1"/>
        </w:rPr>
        <w:t>”</w:t>
      </w:r>
      <w:r>
        <w:rPr>
          <w:spacing w:val="-1"/>
        </w:rPr>
        <w:t>、北京</w:t>
      </w:r>
      <w:r>
        <w:rPr>
          <w:spacing w:val="-78"/>
        </w:rPr>
        <w:t> </w:t>
      </w:r>
      <w:r>
        <w:rPr>
          <w:spacing w:val="-78"/>
        </w:rPr>
      </w:r>
      <w:r>
        <w:rPr>
          <w:spacing w:val="-1"/>
        </w:rPr>
        <w:t>市工程质量最高奖</w:t>
      </w:r>
      <w:r>
        <w:rPr>
          <w:rFonts w:ascii="Times New Roman" w:hAnsi="Times New Roman" w:cs="Times New Roman" w:eastAsia="Times New Roman" w:hint="default"/>
          <w:spacing w:val="-1"/>
        </w:rPr>
        <w:t>“</w:t>
      </w:r>
      <w:r>
        <w:rPr>
          <w:spacing w:val="-1"/>
        </w:rPr>
        <w:t>长城杯</w:t>
      </w:r>
      <w:r>
        <w:rPr>
          <w:rFonts w:ascii="Times New Roman" w:hAnsi="Times New Roman" w:cs="Times New Roman" w:eastAsia="Times New Roman" w:hint="default"/>
          <w:spacing w:val="-1"/>
        </w:rPr>
        <w:t>”</w:t>
      </w:r>
      <w:r>
        <w:rPr>
          <w:spacing w:val="-1"/>
        </w:rPr>
        <w:t>、甘肃省工程质量最高奖</w:t>
      </w:r>
      <w:r>
        <w:rPr>
          <w:rFonts w:ascii="Times New Roman" w:hAnsi="Times New Roman" w:cs="Times New Roman" w:eastAsia="Times New Roman" w:hint="default"/>
          <w:spacing w:val="-1"/>
        </w:rPr>
        <w:t>“</w:t>
      </w:r>
      <w:r>
        <w:rPr>
          <w:spacing w:val="-1"/>
        </w:rPr>
        <w:t>飞天奖</w:t>
      </w:r>
      <w:r>
        <w:rPr>
          <w:rFonts w:ascii="Times New Roman" w:hAnsi="Times New Roman" w:cs="Times New Roman" w:eastAsia="Times New Roman" w:hint="default"/>
          <w:spacing w:val="-1"/>
        </w:rPr>
        <w:t>”</w:t>
      </w:r>
      <w:r>
        <w:rPr>
          <w:spacing w:val="-1"/>
        </w:rPr>
        <w:t>、贵州省建设工程质量最高奖</w:t>
      </w:r>
      <w:r>
        <w:rPr>
          <w:rFonts w:ascii="Times New Roman" w:hAnsi="Times New Roman" w:cs="Times New Roman" w:eastAsia="Times New Roman" w:hint="default"/>
          <w:spacing w:val="-1"/>
        </w:rPr>
        <w:t>“</w:t>
      </w:r>
      <w:r>
        <w:rPr>
          <w:spacing w:val="-1"/>
        </w:rPr>
        <w:t>黄果树杯</w:t>
      </w:r>
      <w:r>
        <w:rPr>
          <w:rFonts w:ascii="Times New Roman" w:hAnsi="Times New Roman" w:cs="Times New Roman" w:eastAsia="Times New Roman" w:hint="default"/>
          <w:spacing w:val="-1"/>
        </w:rPr>
        <w:t>”</w:t>
      </w:r>
      <w:r>
        <w:rPr>
          <w:spacing w:val="-1"/>
        </w:rPr>
        <w:t>、北京市安装工程优</w:t>
      </w:r>
      <w:r>
        <w:rPr>
          <w:spacing w:val="-58"/>
        </w:rPr>
        <w:t> </w:t>
      </w:r>
      <w:r>
        <w:rPr>
          <w:spacing w:val="-58"/>
        </w:rPr>
      </w:r>
      <w:r>
        <w:rPr>
          <w:spacing w:val="-1"/>
        </w:rPr>
        <w:t>质奖、</w:t>
      </w:r>
      <w:r>
        <w:rPr>
          <w:rFonts w:ascii="Times New Roman" w:hAnsi="Times New Roman" w:cs="Times New Roman" w:eastAsia="Times New Roman" w:hint="default"/>
          <w:spacing w:val="-1"/>
        </w:rPr>
        <w:t>“2018</w:t>
      </w:r>
      <w:r>
        <w:rPr>
          <w:spacing w:val="-1"/>
        </w:rPr>
        <w:t>中国百大智能集成商</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“2018</w:t>
      </w:r>
      <w:r>
        <w:rPr>
          <w:spacing w:val="-1"/>
        </w:rPr>
        <w:t>中国平安城市</w:t>
      </w:r>
      <w:r>
        <w:rPr>
          <w:rFonts w:ascii="Times New Roman" w:hAnsi="Times New Roman" w:cs="Times New Roman" w:eastAsia="Times New Roman" w:hint="default"/>
          <w:spacing w:val="-1"/>
        </w:rPr>
        <w:t>TOP20</w:t>
      </w:r>
      <w:r>
        <w:rPr>
          <w:spacing w:val="-1"/>
        </w:rPr>
        <w:t>品牌</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“2018</w:t>
      </w:r>
      <w:r>
        <w:rPr>
          <w:spacing w:val="-1"/>
        </w:rPr>
        <w:t>中国智慧交通</w:t>
      </w:r>
      <w:r>
        <w:rPr>
          <w:rFonts w:ascii="Times New Roman" w:hAnsi="Times New Roman" w:cs="Times New Roman" w:eastAsia="Times New Roman" w:hint="default"/>
          <w:spacing w:val="-1"/>
        </w:rPr>
        <w:t>TOP20</w:t>
      </w:r>
      <w:r>
        <w:rPr>
          <w:spacing w:val="-1"/>
        </w:rPr>
        <w:t>品牌</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“2018</w:t>
      </w:r>
      <w:r>
        <w:rPr>
          <w:spacing w:val="-1"/>
        </w:rPr>
        <w:t>中国安防系统</w:t>
      </w:r>
      <w:r>
        <w:rPr>
          <w:spacing w:val="-87"/>
        </w:rPr>
        <w:t> </w:t>
      </w:r>
      <w:r>
        <w:rPr>
          <w:spacing w:val="-87"/>
        </w:rPr>
      </w:r>
      <w:r>
        <w:rPr/>
        <w:t>集成</w:t>
      </w:r>
      <w:r>
        <w:rPr>
          <w:rFonts w:ascii="Times New Roman" w:hAnsi="Times New Roman" w:cs="Times New Roman" w:eastAsia="Times New Roman" w:hint="default"/>
        </w:rPr>
        <w:t>TOP50</w:t>
      </w:r>
      <w:r>
        <w:rPr/>
        <w:t>品牌</w:t>
      </w:r>
      <w:r>
        <w:rPr>
          <w:rFonts w:ascii="Times New Roman" w:hAnsi="Times New Roman" w:cs="Times New Roman" w:eastAsia="Times New Roman" w:hint="default"/>
        </w:rPr>
        <w:t>”</w:t>
      </w:r>
      <w:r>
        <w:rPr/>
        <w:t>、</w:t>
      </w:r>
      <w:r>
        <w:rPr>
          <w:rFonts w:ascii="Times New Roman" w:hAnsi="Times New Roman" w:cs="Times New Roman" w:eastAsia="Times New Roman" w:hint="default"/>
        </w:rPr>
        <w:t>“2017</w:t>
      </w:r>
      <w:r>
        <w:rPr/>
        <w:t>中国信息技术服务卓越企业</w:t>
      </w:r>
      <w:r>
        <w:rPr>
          <w:rFonts w:ascii="Times New Roman" w:hAnsi="Times New Roman" w:cs="Times New Roman" w:eastAsia="Times New Roman" w:hint="default"/>
        </w:rPr>
        <w:t>”</w:t>
      </w:r>
      <w:r>
        <w:rPr/>
        <w:t>、</w:t>
      </w:r>
      <w:r>
        <w:rPr>
          <w:rFonts w:ascii="Times New Roman" w:hAnsi="Times New Roman" w:cs="Times New Roman" w:eastAsia="Times New Roman" w:hint="default"/>
        </w:rPr>
        <w:t>“2016</w:t>
      </w:r>
      <w:r>
        <w:rPr/>
        <w:t>中国安防行业十大集成商</w:t>
      </w:r>
      <w:r>
        <w:rPr>
          <w:rFonts w:ascii="Times New Roman" w:hAnsi="Times New Roman" w:cs="Times New Roman" w:eastAsia="Times New Roman" w:hint="default"/>
        </w:rPr>
        <w:t>”</w:t>
      </w:r>
      <w:r>
        <w:rPr/>
        <w:t>、</w:t>
      </w:r>
      <w:r>
        <w:rPr>
          <w:rFonts w:ascii="Times New Roman" w:hAnsi="Times New Roman" w:cs="Times New Roman" w:eastAsia="Times New Roman" w:hint="default"/>
        </w:rPr>
        <w:t>“2016“</w:t>
      </w:r>
      <w:r>
        <w:rPr/>
        <w:t>平安建设</w:t>
      </w:r>
      <w:r>
        <w:rPr>
          <w:rFonts w:ascii="Times New Roman" w:hAnsi="Times New Roman" w:cs="Times New Roman" w:eastAsia="Times New Roman" w:hint="default"/>
        </w:rPr>
        <w:t>”</w:t>
      </w:r>
      <w:r>
        <w:rPr/>
        <w:t>推荐优秀安防企 </w:t>
      </w:r>
      <w:r>
        <w:rPr>
          <w:spacing w:val="-6"/>
          <w:w w:val="100"/>
        </w:rPr>
        <w:t>业</w:t>
      </w:r>
      <w:r>
        <w:rPr>
          <w:rFonts w:ascii="Times New Roman" w:hAnsi="Times New Roman" w:cs="Times New Roman" w:eastAsia="Times New Roman" w:hint="default"/>
          <w:spacing w:val="-6"/>
          <w:w w:val="100"/>
        </w:rPr>
        <w:t>”</w:t>
      </w:r>
      <w:r>
        <w:rPr>
          <w:spacing w:val="-6"/>
          <w:w w:val="100"/>
        </w:rPr>
        <w:t>、</w:t>
      </w:r>
      <w:r>
        <w:rPr>
          <w:rFonts w:ascii="Times New Roman" w:hAnsi="Times New Roman" w:cs="Times New Roman" w:eastAsia="Times New Roman" w:hint="default"/>
          <w:spacing w:val="-6"/>
          <w:w w:val="100"/>
        </w:rPr>
        <w:t>“2016“</w:t>
      </w:r>
      <w:r>
        <w:rPr>
          <w:spacing w:val="-6"/>
          <w:w w:val="100"/>
        </w:rPr>
        <w:t>平安建设</w:t>
      </w:r>
      <w:r>
        <w:rPr>
          <w:rFonts w:ascii="Times New Roman" w:hAnsi="Times New Roman" w:cs="Times New Roman" w:eastAsia="Times New Roman" w:hint="default"/>
          <w:spacing w:val="-6"/>
          <w:w w:val="100"/>
        </w:rPr>
        <w:t>”</w:t>
      </w:r>
      <w:r>
        <w:rPr>
          <w:spacing w:val="-6"/>
          <w:w w:val="100"/>
        </w:rPr>
        <w:t>推荐优秀行业解决方案提供商</w:t>
      </w:r>
      <w:r>
        <w:rPr>
          <w:rFonts w:ascii="Times New Roman" w:hAnsi="Times New Roman" w:cs="Times New Roman" w:eastAsia="Times New Roman" w:hint="default"/>
          <w:spacing w:val="-6"/>
          <w:w w:val="100"/>
        </w:rPr>
        <w:t>”</w:t>
      </w:r>
      <w:r>
        <w:rPr>
          <w:spacing w:val="-6"/>
          <w:w w:val="100"/>
        </w:rPr>
        <w:t>、</w:t>
      </w:r>
      <w:r>
        <w:rPr>
          <w:rFonts w:ascii="Times New Roman" w:hAnsi="Times New Roman" w:cs="Times New Roman" w:eastAsia="Times New Roman" w:hint="default"/>
          <w:spacing w:val="-6"/>
          <w:w w:val="100"/>
        </w:rPr>
        <w:t>“2015</w:t>
      </w:r>
      <w:r>
        <w:rPr>
          <w:spacing w:val="-6"/>
          <w:w w:val="100"/>
        </w:rPr>
        <w:t>中国百大智能集成企业</w:t>
      </w:r>
      <w:r>
        <w:rPr>
          <w:rFonts w:ascii="Times New Roman" w:hAnsi="Times New Roman" w:cs="Times New Roman" w:eastAsia="Times New Roman" w:hint="default"/>
          <w:spacing w:val="-6"/>
          <w:w w:val="100"/>
        </w:rPr>
        <w:t>”</w:t>
      </w:r>
      <w:r>
        <w:rPr>
          <w:spacing w:val="-6"/>
          <w:w w:val="100"/>
        </w:rPr>
        <w:t>、</w:t>
      </w:r>
      <w:r>
        <w:rPr>
          <w:rFonts w:ascii="Times New Roman" w:hAnsi="Times New Roman" w:cs="Times New Roman" w:eastAsia="Times New Roman" w:hint="default"/>
          <w:spacing w:val="-6"/>
          <w:w w:val="100"/>
        </w:rPr>
        <w:t>“2015</w:t>
      </w:r>
      <w:r>
        <w:rPr>
          <w:spacing w:val="-6"/>
          <w:w w:val="100"/>
        </w:rPr>
        <w:t>中国智能集成创新应用奖</w:t>
      </w:r>
      <w:r>
        <w:rPr>
          <w:rFonts w:ascii="Times New Roman" w:hAnsi="Times New Roman" w:cs="Times New Roman" w:eastAsia="Times New Roman" w:hint="default"/>
          <w:spacing w:val="-6"/>
          <w:w w:val="100"/>
        </w:rPr>
        <w:t>”</w:t>
      </w:r>
      <w:r>
        <w:rPr>
          <w:spacing w:val="-6"/>
          <w:w w:val="100"/>
        </w:rPr>
        <w:t>、</w:t>
      </w:r>
      <w:r>
        <w:rPr>
          <w:rFonts w:ascii="Times New Roman" w:hAnsi="Times New Roman" w:cs="Times New Roman" w:eastAsia="Times New Roman" w:hint="default"/>
          <w:spacing w:val="-6"/>
          <w:w w:val="100"/>
        </w:rPr>
        <w:t>“2013</w:t>
      </w:r>
      <w:r>
        <w:rPr>
          <w:rFonts w:ascii="Times New Roman" w:hAnsi="Times New Roman" w:cs="Times New Roman" w:eastAsia="Times New Roman" w:hint="default"/>
          <w:spacing w:val="20"/>
          <w:w w:val="100"/>
        </w:rPr>
        <w:t> </w:t>
      </w:r>
      <w:r>
        <w:rPr>
          <w:rFonts w:ascii="Times New Roman" w:hAnsi="Times New Roman" w:cs="Times New Roman" w:eastAsia="Times New Roman" w:hint="default"/>
          <w:spacing w:val="20"/>
          <w:w w:val="100"/>
        </w:rPr>
      </w:r>
      <w:r>
        <w:rPr/>
        <w:t>智慧城市优秀解决方案奖</w:t>
      </w:r>
      <w:r>
        <w:rPr>
          <w:rFonts w:ascii="Times New Roman" w:hAnsi="Times New Roman" w:cs="Times New Roman" w:eastAsia="Times New Roman" w:hint="default"/>
        </w:rPr>
        <w:t>”</w:t>
      </w:r>
      <w:r>
        <w:rPr/>
        <w:t>等荣誉。</w:t>
      </w:r>
    </w:p>
    <w:p>
      <w:pPr>
        <w:pStyle w:val="Heading5"/>
        <w:spacing w:line="240" w:lineRule="auto" w:before="13"/>
        <w:ind w:right="0"/>
        <w:jc w:val="left"/>
        <w:rPr>
          <w:b w:val="0"/>
          <w:bCs w:val="0"/>
        </w:rPr>
      </w:pPr>
      <w:r>
        <w:rPr/>
        <w:t>三、技术及研发优势</w:t>
      </w:r>
      <w:r>
        <w:rPr>
          <w:b w:val="0"/>
          <w:bCs w:val="0"/>
        </w:rPr>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b/>
          <w:bCs/>
          <w:sz w:val="25"/>
          <w:szCs w:val="25"/>
        </w:rPr>
      </w:pPr>
    </w:p>
    <w:p>
      <w:pPr>
        <w:pStyle w:val="BodyText"/>
        <w:spacing w:line="312" w:lineRule="auto"/>
        <w:ind w:right="0" w:firstLine="360"/>
        <w:jc w:val="left"/>
      </w:pPr>
      <w:r>
        <w:rPr>
          <w:spacing w:val="-2"/>
        </w:rPr>
        <w:t>公司专注于智慧城市方向的人工智能、物联网、大数据和云计算等关键技术的研究和开发，专注于智慧城市的建设、投</w:t>
      </w:r>
      <w:r>
        <w:rPr/>
        <w:t> </w:t>
      </w:r>
      <w:r>
        <w:rPr>
          <w:spacing w:val="-2"/>
        </w:rPr>
        <w:t>资与运营，以信息化、大数据和云计算为支撑，已形成面向智慧社会治理、智慧民生服务、智慧产业经济等三位一体的完全</w:t>
      </w:r>
      <w:r>
        <w:rPr>
          <w:spacing w:val="-66"/>
        </w:rPr>
        <w:t> </w:t>
      </w:r>
      <w:r>
        <w:rPr>
          <w:spacing w:val="-66"/>
        </w:rPr>
      </w:r>
      <w:r>
        <w:rPr>
          <w:spacing w:val="-2"/>
        </w:rPr>
        <w:t>自主可控、国内领先且具有国际竞争力的核心技术、产品和全面解决方案。公司是国家级高新技术企业、国家级知识产权示</w:t>
      </w:r>
      <w:r>
        <w:rPr>
          <w:spacing w:val="-66"/>
        </w:rPr>
        <w:t> </w:t>
      </w:r>
      <w:r>
        <w:rPr>
          <w:spacing w:val="-66"/>
        </w:rPr>
      </w:r>
      <w:r>
        <w:rPr>
          <w:spacing w:val="-4"/>
        </w:rPr>
        <w:t>范企业和双软企业，拥有国家级企业技术中心、国家级博士后科研工作站、两个省级重点实验室以及北京市级企业技术中心，</w:t>
      </w:r>
      <w:r>
        <w:rPr>
          <w:spacing w:val="-44"/>
        </w:rPr>
        <w:t> </w:t>
      </w:r>
      <w:r>
        <w:rPr>
          <w:spacing w:val="-44"/>
        </w:rPr>
      </w:r>
      <w:r>
        <w:rPr/>
        <w:t>是全球软件能力成熟度集成模型</w:t>
      </w:r>
      <w:r>
        <w:rPr>
          <w:rFonts w:ascii="Times New Roman" w:hAnsi="Times New Roman" w:cs="Times New Roman" w:eastAsia="Times New Roman" w:hint="default"/>
        </w:rPr>
        <w:t>CMMI5</w:t>
      </w:r>
      <w:r>
        <w:rPr/>
        <w:t>顶级认证企业。报告期内，公司被认定为国家技术创新示范企业，是公司可持续创</w:t>
      </w:r>
      <w:r>
        <w:rPr>
          <w:w w:val="99"/>
        </w:rPr>
        <w:t> </w:t>
      </w:r>
      <w:r>
        <w:rPr/>
        <w:t>新发展能力的综合体现，为实施创新驱动发展战略提供有力地支撑。截止报告期末，公司拥有</w:t>
      </w:r>
      <w:r>
        <w:rPr>
          <w:rFonts w:ascii="Times New Roman" w:hAnsi="Times New Roman" w:cs="Times New Roman" w:eastAsia="Times New Roman" w:hint="default"/>
        </w:rPr>
        <w:t>393</w:t>
      </w:r>
      <w:r>
        <w:rPr/>
        <w:t>项有效专利，其中：</w:t>
      </w:r>
      <w:r>
        <w:rPr>
          <w:rFonts w:ascii="Times New Roman" w:hAnsi="Times New Roman" w:cs="Times New Roman" w:eastAsia="Times New Roman" w:hint="default"/>
        </w:rPr>
        <w:t>87</w:t>
      </w:r>
      <w:r>
        <w:rPr/>
        <w:t>项</w:t>
      </w:r>
      <w:r>
        <w:rPr>
          <w:w w:val="99"/>
        </w:rPr>
        <w:t> </w:t>
      </w:r>
      <w:r>
        <w:rPr/>
        <w:t>发明专利、</w:t>
      </w:r>
      <w:r>
        <w:rPr>
          <w:rFonts w:ascii="Times New Roman" w:hAnsi="Times New Roman" w:cs="Times New Roman" w:eastAsia="Times New Roman" w:hint="default"/>
        </w:rPr>
        <w:t>292</w:t>
      </w:r>
      <w:r>
        <w:rPr/>
        <w:t>项实用新型专利、</w:t>
      </w:r>
      <w:r>
        <w:rPr>
          <w:rFonts w:ascii="Times New Roman" w:hAnsi="Times New Roman" w:cs="Times New Roman" w:eastAsia="Times New Roman" w:hint="default"/>
        </w:rPr>
        <w:t>14</w:t>
      </w:r>
      <w:r>
        <w:rPr/>
        <w:t>项外观设计专利。</w:t>
      </w:r>
    </w:p>
    <w:p>
      <w:pPr>
        <w:pStyle w:val="BodyText"/>
        <w:spacing w:line="307" w:lineRule="auto" w:before="3"/>
        <w:ind w:right="1040" w:firstLine="360"/>
        <w:jc w:val="left"/>
      </w:pPr>
      <w:r>
        <w:rPr/>
        <w:t>公司拥有的核心技术贯穿了</w:t>
      </w:r>
      <w:r>
        <w:rPr>
          <w:rFonts w:ascii="Times New Roman" w:hAnsi="Times New Roman" w:cs="Times New Roman" w:eastAsia="Times New Roman" w:hint="default"/>
        </w:rPr>
        <w:t>“</w:t>
      </w:r>
      <w:r>
        <w:rPr/>
        <w:t>从前端智能感知到后端智慧应用</w:t>
      </w:r>
      <w:r>
        <w:rPr>
          <w:rFonts w:ascii="Times New Roman" w:hAnsi="Times New Roman" w:cs="Times New Roman" w:eastAsia="Times New Roman" w:hint="default"/>
        </w:rPr>
        <w:t>”</w:t>
      </w:r>
      <w:r>
        <w:rPr/>
        <w:t>的整个智慧城市业务体系，前端智能感知产品包括超微光 感知摄像机、全景摄像机、透雾摄像机、路边停车自动识别摄像机、智慧交通一体机、红外热像仪、</w:t>
      </w:r>
      <w:r>
        <w:rPr>
          <w:spacing w:val="-21"/>
        </w:rPr>
        <w:t> </w:t>
      </w:r>
      <w:r>
        <w:rPr>
          <w:rFonts w:ascii="Times New Roman" w:hAnsi="Times New Roman" w:cs="Times New Roman" w:eastAsia="Times New Roman" w:hint="default"/>
        </w:rPr>
        <w:t>WIFI</w:t>
      </w:r>
      <w:r>
        <w:rPr/>
        <w:t>探针、物联网采 集器及物联网网关等；后端智慧应用软件包括智慧城市云计算中心平台、三维实景云</w:t>
      </w:r>
      <w:r>
        <w:rPr>
          <w:rFonts w:ascii="Times New Roman" w:hAnsi="Times New Roman" w:cs="Times New Roman" w:eastAsia="Times New Roman" w:hint="default"/>
        </w:rPr>
        <w:t>GIS</w:t>
      </w:r>
      <w:r>
        <w:rPr/>
        <w:t>平台、智慧社会综合治理平台、智 </w:t>
      </w:r>
      <w:r>
        <w:rPr>
          <w:spacing w:val="-2"/>
        </w:rPr>
        <w:t>慧城市综合管理平台、互联网</w:t>
      </w:r>
      <w:r>
        <w:rPr>
          <w:rFonts w:ascii="Times New Roman" w:hAnsi="Times New Roman" w:cs="Times New Roman" w:eastAsia="Times New Roman" w:hint="default"/>
          <w:spacing w:val="-2"/>
        </w:rPr>
        <w:t>+</w:t>
      </w:r>
      <w:r>
        <w:rPr>
          <w:spacing w:val="-2"/>
        </w:rPr>
        <w:t>政务服务平台；另有智慧教育、智慧医疗、智慧农业、智慧旅游等涵盖城市治理、民生服务、</w:t>
      </w:r>
      <w:r>
        <w:rPr>
          <w:spacing w:val="-76"/>
        </w:rPr>
        <w:t> </w:t>
      </w:r>
      <w:r>
        <w:rPr>
          <w:spacing w:val="-76"/>
        </w:rPr>
      </w:r>
      <w:r>
        <w:rPr>
          <w:spacing w:val="-2"/>
        </w:rPr>
        <w:t>产业发展等的各类智慧应用平台。警（军）用装备包括全智能反恐机器人、排爆机器人、涵道式四旋翼无人机、通讯设备取</w:t>
      </w:r>
      <w:r>
        <w:rPr>
          <w:spacing w:val="-67"/>
        </w:rPr>
        <w:t> </w:t>
      </w:r>
      <w:r>
        <w:rPr>
          <w:spacing w:val="-67"/>
        </w:rPr>
      </w:r>
      <w:r>
        <w:rPr>
          <w:spacing w:val="-4"/>
        </w:rPr>
        <w:t>证器、警用一体化采集应用分析仪及各式新型单警装备等。项目建设和运营方面可提供包括顶层规划、勘察设计、深化设计、</w:t>
      </w:r>
      <w:r>
        <w:rPr>
          <w:spacing w:val="-46"/>
        </w:rPr>
        <w:t> </w:t>
      </w:r>
      <w:r>
        <w:rPr>
          <w:spacing w:val="-46"/>
        </w:rPr>
      </w:r>
      <w:r>
        <w:rPr/>
        <w:t>产品采购、项目建设和运营等为一体的全生命周期服务。</w:t>
      </w:r>
    </w:p>
    <w:p>
      <w:pPr>
        <w:pStyle w:val="BodyText"/>
        <w:spacing w:line="316" w:lineRule="auto" w:before="26"/>
        <w:ind w:left="514" w:right="0" w:firstLine="1"/>
        <w:jc w:val="left"/>
      </w:pPr>
      <w:r>
        <w:rPr>
          <w:rFonts w:ascii="宋体" w:hAnsi="宋体" w:cs="宋体" w:eastAsia="宋体" w:hint="default"/>
          <w:b/>
          <w:bCs/>
        </w:rPr>
        <w:t>四、品牌及质量优势</w:t>
      </w:r>
      <w:r>
        <w:rPr>
          <w:rFonts w:ascii="宋体" w:hAnsi="宋体" w:cs="宋体" w:eastAsia="宋体" w:hint="default"/>
          <w:b/>
          <w:bCs/>
          <w:w w:val="99"/>
        </w:rPr>
        <w:t> </w:t>
      </w:r>
      <w:r>
        <w:rPr>
          <w:spacing w:val="-2"/>
        </w:rPr>
        <w:t>公司是国家火炬计划重点高新技术企业、国家级创新型示范企业、全国知识产权示范企业，公司拥有国家级企业技术中</w:t>
      </w:r>
    </w:p>
    <w:p>
      <w:pPr>
        <w:pStyle w:val="BodyText"/>
        <w:spacing w:line="309" w:lineRule="auto" w:before="19"/>
        <w:ind w:right="1132"/>
        <w:jc w:val="both"/>
      </w:pPr>
      <w:r>
        <w:rPr>
          <w:spacing w:val="-2"/>
        </w:rPr>
        <w:t>心、拥有国家级博士后科研工作站、省级重点实验室和省级工程技术研究中心、并与电子科技大学联合成立了反恐装备研究</w:t>
      </w:r>
      <w:r>
        <w:rPr>
          <w:spacing w:val="-66"/>
        </w:rPr>
        <w:t> </w:t>
      </w:r>
      <w:r>
        <w:rPr>
          <w:spacing w:val="-66"/>
        </w:rPr>
      </w:r>
      <w:r>
        <w:rPr/>
        <w:t>联合实验室，两次荣登《福布斯》中文版</w:t>
      </w:r>
      <w:r>
        <w:rPr>
          <w:rFonts w:ascii="Times New Roman" w:hAnsi="Times New Roman" w:cs="Times New Roman" w:eastAsia="Times New Roman" w:hint="default"/>
        </w:rPr>
        <w:t>“</w:t>
      </w:r>
      <w:r>
        <w:rPr/>
        <w:t>中国潜力</w:t>
      </w:r>
      <w:r>
        <w:rPr>
          <w:rFonts w:ascii="Times New Roman" w:hAnsi="Times New Roman" w:cs="Times New Roman" w:eastAsia="Times New Roman" w:hint="default"/>
        </w:rPr>
        <w:t>100”</w:t>
      </w:r>
      <w:r>
        <w:rPr/>
        <w:t>排行榜。报告期内，公司被工业和信息化部、财政部联合认定为国 家技术创新示范企业。</w:t>
      </w:r>
    </w:p>
    <w:p>
      <w:pPr>
        <w:pStyle w:val="BodyText"/>
        <w:spacing w:line="307" w:lineRule="auto" w:before="24"/>
        <w:ind w:right="1131" w:firstLine="360"/>
        <w:jc w:val="both"/>
      </w:pPr>
      <w:r>
        <w:rPr>
          <w:spacing w:val="-2"/>
        </w:rPr>
        <w:t>公司高度重视品牌建设，一直将品牌建设列入企业战略目标，实行</w:t>
      </w:r>
      <w:r>
        <w:rPr>
          <w:rFonts w:ascii="Times New Roman" w:hAnsi="Times New Roman" w:cs="Times New Roman" w:eastAsia="Times New Roman" w:hint="default"/>
          <w:spacing w:val="-2"/>
        </w:rPr>
        <w:t>“</w:t>
      </w:r>
      <w:r>
        <w:rPr>
          <w:spacing w:val="-2"/>
        </w:rPr>
        <w:t>重质量、创名牌</w:t>
      </w:r>
      <w:r>
        <w:rPr>
          <w:rFonts w:ascii="Times New Roman" w:hAnsi="Times New Roman" w:cs="Times New Roman" w:eastAsia="Times New Roman" w:hint="default"/>
          <w:spacing w:val="-2"/>
        </w:rPr>
        <w:t>”</w:t>
      </w:r>
      <w:r>
        <w:rPr>
          <w:spacing w:val="-2"/>
        </w:rPr>
        <w:t>的经营方针。通过内部管理，切实</w:t>
      </w:r>
      <w:r>
        <w:rPr/>
        <w:t> </w:t>
      </w:r>
      <w:r>
        <w:rPr>
          <w:spacing w:val="-2"/>
        </w:rPr>
        <w:t>加强对产品质量的监控。公司还全面落实国家的强制性产品实施细则的要求，层层把关，严格考核。公司全智能反恐机器人</w:t>
      </w:r>
      <w:r>
        <w:rPr>
          <w:spacing w:val="-66"/>
        </w:rPr>
        <w:t> </w:t>
      </w:r>
      <w:r>
        <w:rPr>
          <w:spacing w:val="-66"/>
        </w:rPr>
      </w:r>
      <w:r>
        <w:rPr>
          <w:spacing w:val="-2"/>
        </w:rPr>
        <w:t>系列产品荣获中国国际社会公共安全产品博览会创新产品特等奖、全国公安科技创新成果奖、北京市新技术新产品认证。公</w:t>
      </w:r>
      <w:r>
        <w:rPr>
          <w:spacing w:val="-66"/>
        </w:rPr>
        <w:t> </w:t>
      </w:r>
      <w:r>
        <w:rPr>
          <w:spacing w:val="-66"/>
        </w:rPr>
      </w:r>
      <w:r>
        <w:rPr/>
        <w:t>司超微光感知高清网络摄像机系列产品在业内权威机构《</w:t>
      </w:r>
      <w:r>
        <w:rPr>
          <w:rFonts w:ascii="Times New Roman" w:hAnsi="Times New Roman" w:cs="Times New Roman" w:eastAsia="Times New Roman" w:hint="default"/>
        </w:rPr>
        <w:t>a&amp;s</w:t>
      </w:r>
      <w:r>
        <w:rPr/>
        <w:t>》和</w:t>
      </w:r>
      <w:r>
        <w:rPr>
          <w:rFonts w:ascii="Times New Roman" w:hAnsi="Times New Roman" w:cs="Times New Roman" w:eastAsia="Times New Roman" w:hint="default"/>
        </w:rPr>
        <w:t>“</w:t>
      </w:r>
      <w:r>
        <w:rPr/>
        <w:t>安防知识网</w:t>
      </w:r>
      <w:r>
        <w:rPr>
          <w:rFonts w:ascii="Times New Roman" w:hAnsi="Times New Roman" w:cs="Times New Roman" w:eastAsia="Times New Roman" w:hint="default"/>
        </w:rPr>
        <w:t>”</w:t>
      </w:r>
      <w:r>
        <w:rPr/>
        <w:t>低照度性能测评中连续获得行业第一，并连 </w:t>
      </w:r>
      <w:r>
        <w:rPr>
          <w:spacing w:val="-2"/>
        </w:rPr>
        <w:t>续获评</w:t>
      </w:r>
      <w:r>
        <w:rPr>
          <w:rFonts w:ascii="Times New Roman" w:hAnsi="Times New Roman" w:cs="Times New Roman" w:eastAsia="Times New Roman" w:hint="default"/>
          <w:spacing w:val="-2"/>
        </w:rPr>
        <w:t>“</w:t>
      </w:r>
      <w:r>
        <w:rPr>
          <w:spacing w:val="-2"/>
        </w:rPr>
        <w:t>平安建设</w:t>
      </w:r>
      <w:r>
        <w:rPr>
          <w:rFonts w:ascii="Times New Roman" w:hAnsi="Times New Roman" w:cs="Times New Roman" w:eastAsia="Times New Roman" w:hint="default"/>
          <w:spacing w:val="-2"/>
        </w:rPr>
        <w:t>”</w:t>
      </w:r>
      <w:r>
        <w:rPr>
          <w:spacing w:val="-2"/>
        </w:rPr>
        <w:t>优秀安防产品、智能建筑优质产品。公司三台合一接处警系统，荣获北京市新技术新产品认证；城市安全</w:t>
      </w:r>
      <w:r>
        <w:rPr>
          <w:spacing w:val="-44"/>
        </w:rPr>
        <w:t> </w:t>
      </w:r>
      <w:r>
        <w:rPr>
          <w:spacing w:val="-44"/>
        </w:rPr>
      </w:r>
      <w:r>
        <w:rPr>
          <w:spacing w:val="-2"/>
        </w:rPr>
        <w:t>监控与报警中央管控平台软件获评</w:t>
      </w:r>
      <w:r>
        <w:rPr>
          <w:rFonts w:ascii="Times New Roman" w:hAnsi="Times New Roman" w:cs="Times New Roman" w:eastAsia="Times New Roman" w:hint="default"/>
          <w:spacing w:val="-2"/>
        </w:rPr>
        <w:t>“</w:t>
      </w:r>
      <w:r>
        <w:rPr>
          <w:spacing w:val="-2"/>
        </w:rPr>
        <w:t>平安建设</w:t>
      </w:r>
      <w:r>
        <w:rPr>
          <w:rFonts w:ascii="Times New Roman" w:hAnsi="Times New Roman" w:cs="Times New Roman" w:eastAsia="Times New Roman" w:hint="default"/>
          <w:spacing w:val="-2"/>
        </w:rPr>
        <w:t>”</w:t>
      </w:r>
      <w:r>
        <w:rPr>
          <w:spacing w:val="-2"/>
        </w:rPr>
        <w:t>优秀安防产品；全智能报警与视频应用聚效平台获评中国最佳口碑区域联网报</w:t>
      </w:r>
      <w:r>
        <w:rPr>
          <w:spacing w:val="-44"/>
        </w:rPr>
        <w:t> </w:t>
      </w:r>
      <w:r>
        <w:rPr>
          <w:spacing w:val="-44"/>
        </w:rPr>
      </w:r>
      <w:r>
        <w:rPr>
          <w:spacing w:val="-2"/>
        </w:rPr>
        <w:t>警中心管理平台软件。公司排爆机器人、涵道式四旋翼无人机、手持式穿墙雷达等多款警（军）用装备进入了公安部列装名</w:t>
      </w:r>
      <w:r>
        <w:rPr>
          <w:spacing w:val="-66"/>
        </w:rPr>
        <w:t> </w:t>
      </w:r>
      <w:r>
        <w:rPr>
          <w:spacing w:val="-66"/>
        </w:rPr>
      </w:r>
      <w:r>
        <w:rPr/>
        <w:t>录。公司是北京市委市政府</w:t>
      </w:r>
      <w:r>
        <w:rPr>
          <w:rFonts w:ascii="Times New Roman" w:hAnsi="Times New Roman" w:cs="Times New Roman" w:eastAsia="Times New Roman" w:hint="default"/>
        </w:rPr>
        <w:t>“</w:t>
      </w:r>
      <w:r>
        <w:rPr/>
        <w:t>四个一批工程</w:t>
      </w:r>
      <w:r>
        <w:rPr>
          <w:rFonts w:ascii="Times New Roman" w:hAnsi="Times New Roman" w:cs="Times New Roman" w:eastAsia="Times New Roman" w:hint="default"/>
        </w:rPr>
        <w:t>”</w:t>
      </w:r>
      <w:r>
        <w:rPr/>
        <w:t>首批入选的</w:t>
      </w:r>
      <w:r>
        <w:rPr>
          <w:rFonts w:ascii="Times New Roman" w:hAnsi="Times New Roman" w:cs="Times New Roman" w:eastAsia="Times New Roman" w:hint="default"/>
        </w:rPr>
        <w:t>72</w:t>
      </w:r>
      <w:r>
        <w:rPr/>
        <w:t>家重点支持企业之一，是北京市重点总部企业、中关村</w:t>
      </w:r>
      <w:r>
        <w:rPr>
          <w:rFonts w:ascii="Times New Roman" w:hAnsi="Times New Roman" w:cs="Times New Roman" w:eastAsia="Times New Roman" w:hint="default"/>
        </w:rPr>
        <w:t>“</w:t>
      </w:r>
      <w:r>
        <w:rPr/>
        <w:t>十百千工 程</w:t>
      </w:r>
      <w:r>
        <w:rPr>
          <w:rFonts w:ascii="Times New Roman" w:hAnsi="Times New Roman" w:cs="Times New Roman" w:eastAsia="Times New Roman" w:hint="default"/>
        </w:rPr>
        <w:t>”</w:t>
      </w:r>
      <w:r>
        <w:rPr/>
        <w:t>企业，公司连续多年获评中关村信用培育双百工程</w:t>
      </w:r>
      <w:r>
        <w:rPr>
          <w:rFonts w:ascii="Times New Roman" w:hAnsi="Times New Roman" w:cs="Times New Roman" w:eastAsia="Times New Roman" w:hint="default"/>
        </w:rPr>
        <w:t>“</w:t>
      </w:r>
      <w:r>
        <w:rPr/>
        <w:t>百家最具影响力信用企业</w:t>
      </w:r>
      <w:r>
        <w:rPr>
          <w:rFonts w:ascii="Times New Roman" w:hAnsi="Times New Roman" w:cs="Times New Roman" w:eastAsia="Times New Roman" w:hint="default"/>
        </w:rPr>
        <w:t>”</w:t>
      </w:r>
      <w:r>
        <w:rPr/>
        <w:t>、北京市重质量守信用企业、北京市信用 企业、北京市诚信长城杯企业、北京市诚信创建企业等荣誉称号。</w:t>
      </w:r>
    </w:p>
    <w:p>
      <w:pPr>
        <w:pStyle w:val="BodyText"/>
        <w:spacing w:line="300" w:lineRule="auto" w:before="26"/>
        <w:ind w:right="1022" w:firstLine="360"/>
        <w:jc w:val="left"/>
      </w:pPr>
      <w:r>
        <w:rPr/>
        <w:t>多年来，公司始终秉承</w:t>
      </w:r>
      <w:r>
        <w:rPr>
          <w:rFonts w:ascii="Times New Roman" w:hAnsi="Times New Roman" w:cs="Times New Roman" w:eastAsia="Times New Roman" w:hint="default"/>
        </w:rPr>
        <w:t>“</w:t>
      </w:r>
      <w:r>
        <w:rPr/>
        <w:t>质量至上，追求完美，并无微不至</w:t>
      </w:r>
      <w:r>
        <w:rPr>
          <w:rFonts w:ascii="Times New Roman" w:hAnsi="Times New Roman" w:cs="Times New Roman" w:eastAsia="Times New Roman" w:hint="default"/>
        </w:rPr>
        <w:t>”</w:t>
      </w:r>
      <w:r>
        <w:rPr/>
        <w:t>的服务方针。遍布全国的营销与服务网络已累计为公司承揽 了</w:t>
      </w:r>
      <w:r>
        <w:rPr>
          <w:rFonts w:ascii="Times New Roman" w:hAnsi="Times New Roman" w:cs="Times New Roman" w:eastAsia="Times New Roman" w:hint="default"/>
        </w:rPr>
        <w:t>2000</w:t>
      </w:r>
      <w:r>
        <w:rPr/>
        <w:t>余个项目，并始终保持</w:t>
      </w:r>
      <w:r>
        <w:rPr>
          <w:rFonts w:ascii="Times New Roman" w:hAnsi="Times New Roman" w:cs="Times New Roman" w:eastAsia="Times New Roman" w:hint="default"/>
        </w:rPr>
        <w:t>100%</w:t>
      </w:r>
      <w:r>
        <w:rPr/>
        <w:t>验收通过率和</w:t>
      </w:r>
      <w:r>
        <w:rPr>
          <w:rFonts w:ascii="Times New Roman" w:hAnsi="Times New Roman" w:cs="Times New Roman" w:eastAsia="Times New Roman" w:hint="default"/>
        </w:rPr>
        <w:t>0</w:t>
      </w:r>
      <w:r>
        <w:rPr/>
        <w:t>重大投诉率的业内记录，为此获得了质量</w:t>
      </w:r>
      <w:r>
        <w:rPr>
          <w:rFonts w:ascii="Times New Roman" w:hAnsi="Times New Roman" w:cs="Times New Roman" w:eastAsia="Times New Roman" w:hint="default"/>
        </w:rPr>
        <w:t>3A</w:t>
      </w:r>
      <w:r>
        <w:rPr/>
        <w:t>级单位、重质量守信用企业、 质量卓越单位等荣誉。</w:t>
      </w:r>
    </w:p>
    <w:p>
      <w:pPr>
        <w:pStyle w:val="BodyText"/>
        <w:spacing w:line="316" w:lineRule="auto" w:before="31"/>
        <w:ind w:left="514" w:right="1126" w:firstLine="1"/>
        <w:jc w:val="left"/>
      </w:pPr>
      <w:r>
        <w:rPr>
          <w:rFonts w:ascii="宋体" w:hAnsi="宋体" w:cs="宋体" w:eastAsia="宋体" w:hint="default"/>
          <w:b/>
          <w:bCs/>
        </w:rPr>
        <w:t>五、市场营销优势</w:t>
      </w:r>
      <w:r>
        <w:rPr>
          <w:rFonts w:ascii="宋体" w:hAnsi="宋体" w:cs="宋体" w:eastAsia="宋体" w:hint="default"/>
          <w:b/>
          <w:bCs/>
          <w:w w:val="99"/>
        </w:rPr>
        <w:t> </w:t>
      </w:r>
      <w:r>
        <w:rPr>
          <w:spacing w:val="-1"/>
        </w:rPr>
        <w:t>公司具有业内仅有的</w:t>
      </w:r>
      <w:r>
        <w:rPr>
          <w:rFonts w:ascii="Times New Roman" w:hAnsi="Times New Roman" w:cs="Times New Roman" w:eastAsia="Times New Roman" w:hint="default"/>
          <w:spacing w:val="-1"/>
        </w:rPr>
        <w:t>“</w:t>
      </w:r>
      <w:r>
        <w:rPr>
          <w:spacing w:val="-1"/>
        </w:rPr>
        <w:t>九甲</w:t>
      </w:r>
      <w:r>
        <w:rPr>
          <w:rFonts w:ascii="Times New Roman" w:hAnsi="Times New Roman" w:cs="Times New Roman" w:eastAsia="Times New Roman" w:hint="default"/>
          <w:spacing w:val="-1"/>
        </w:rPr>
        <w:t>”</w:t>
      </w:r>
      <w:r>
        <w:rPr>
          <w:spacing w:val="-1"/>
        </w:rPr>
        <w:t>资质优势，构建了行业信息化项目招投标最全面、最顶级的竞争门槛。</w:t>
      </w:r>
      <w:r>
        <w:rPr>
          <w:rFonts w:ascii="Times New Roman" w:hAnsi="Times New Roman" w:cs="Times New Roman" w:eastAsia="Times New Roman" w:hint="default"/>
          <w:spacing w:val="-1"/>
        </w:rPr>
        <w:t>“</w:t>
      </w:r>
      <w:r>
        <w:rPr>
          <w:spacing w:val="-1"/>
        </w:rPr>
        <w:t>九甲</w:t>
      </w:r>
      <w:r>
        <w:rPr>
          <w:rFonts w:ascii="Times New Roman" w:hAnsi="Times New Roman" w:cs="Times New Roman" w:eastAsia="Times New Roman" w:hint="default"/>
          <w:spacing w:val="-1"/>
        </w:rPr>
        <w:t>”</w:t>
      </w:r>
      <w:r>
        <w:rPr>
          <w:spacing w:val="-1"/>
        </w:rPr>
        <w:t>资质为公司不</w:t>
      </w:r>
    </w:p>
    <w:p>
      <w:pPr>
        <w:pStyle w:val="BodyText"/>
        <w:spacing w:line="300" w:lineRule="auto" w:before="0"/>
        <w:ind w:right="1121"/>
        <w:jc w:val="left"/>
      </w:pPr>
      <w:r>
        <w:rPr/>
        <w:t>断承揽工程总承包</w:t>
      </w:r>
      <w:r>
        <w:rPr>
          <w:rFonts w:ascii="Times New Roman" w:hAnsi="Times New Roman" w:cs="Times New Roman" w:eastAsia="Times New Roman" w:hint="default"/>
        </w:rPr>
        <w:t>EPC</w:t>
      </w:r>
      <w:r>
        <w:rPr/>
        <w:t>业务奠定了坚实基础，在此基础上，公司适时把握国家大力推广</w:t>
      </w:r>
      <w:r>
        <w:rPr>
          <w:rFonts w:ascii="Times New Roman" w:hAnsi="Times New Roman" w:cs="Times New Roman" w:eastAsia="Times New Roman" w:hint="default"/>
        </w:rPr>
        <w:t>PPP</w:t>
      </w:r>
      <w:r>
        <w:rPr/>
        <w:t>模式的战略机遇，提出在智慧城 市领域主推</w:t>
      </w:r>
      <w:r>
        <w:rPr>
          <w:rFonts w:ascii="Times New Roman" w:hAnsi="Times New Roman" w:cs="Times New Roman" w:eastAsia="Times New Roman" w:hint="default"/>
        </w:rPr>
        <w:t>PPP+EPC</w:t>
      </w:r>
      <w:r>
        <w:rPr/>
        <w:t>项目模式。公司在中国平安城市行业年营业额排名第</w:t>
      </w:r>
      <w:r>
        <w:rPr>
          <w:rFonts w:ascii="Times New Roman" w:hAnsi="Times New Roman" w:cs="Times New Roman" w:eastAsia="Times New Roman" w:hint="default"/>
        </w:rPr>
        <w:t>1</w:t>
      </w:r>
      <w:r>
        <w:rPr/>
        <w:t>位，在中国安防系统集成行业年营业额排名第</w:t>
      </w:r>
      <w:r>
        <w:rPr>
          <w:rFonts w:ascii="Times New Roman" w:hAnsi="Times New Roman" w:cs="Times New Roman" w:eastAsia="Times New Roman" w:hint="default"/>
        </w:rPr>
        <w:t>3 </w:t>
      </w:r>
      <w:r>
        <w:rPr>
          <w:spacing w:val="-2"/>
        </w:rPr>
        <w:t>位，在中国智能交通行业年营业额排名第</w:t>
      </w:r>
      <w:r>
        <w:rPr>
          <w:rFonts w:ascii="Times New Roman" w:hAnsi="Times New Roman" w:cs="Times New Roman" w:eastAsia="Times New Roman" w:hint="default"/>
          <w:spacing w:val="-2"/>
        </w:rPr>
        <w:t>3</w:t>
      </w:r>
      <w:r>
        <w:rPr>
          <w:spacing w:val="-2"/>
        </w:rPr>
        <w:t>位，在中国智能集成行业总营业额排名第</w:t>
      </w:r>
      <w:r>
        <w:rPr>
          <w:rFonts w:ascii="Times New Roman" w:hAnsi="Times New Roman" w:cs="Times New Roman" w:eastAsia="Times New Roman" w:hint="default"/>
          <w:spacing w:val="-2"/>
        </w:rPr>
        <w:t>5</w:t>
      </w:r>
      <w:r>
        <w:rPr>
          <w:spacing w:val="-2"/>
        </w:rPr>
        <w:t>位。</w:t>
      </w:r>
      <w:r>
        <w:rPr>
          <w:rFonts w:ascii="Times New Roman" w:hAnsi="Times New Roman" w:cs="Times New Roman" w:eastAsia="Times New Roman" w:hint="default"/>
          <w:spacing w:val="-2"/>
        </w:rPr>
        <w:t>“</w:t>
      </w:r>
      <w:r>
        <w:rPr>
          <w:spacing w:val="-2"/>
        </w:rPr>
        <w:t>九甲</w:t>
      </w:r>
      <w:r>
        <w:rPr>
          <w:rFonts w:ascii="Times New Roman" w:hAnsi="Times New Roman" w:cs="Times New Roman" w:eastAsia="Times New Roman" w:hint="default"/>
          <w:spacing w:val="-2"/>
        </w:rPr>
        <w:t>”</w:t>
      </w:r>
      <w:r>
        <w:rPr>
          <w:spacing w:val="-2"/>
        </w:rPr>
        <w:t>资质、自主核心技术与智能</w:t>
      </w:r>
      <w:r>
        <w:rPr>
          <w:spacing w:val="-43"/>
        </w:rPr>
        <w:t> </w:t>
      </w:r>
      <w:r>
        <w:rPr>
          <w:spacing w:val="-43"/>
        </w:rPr>
      </w:r>
      <w:r>
        <w:rPr/>
        <w:t>化软硬件产品、端到端先进解决方案、持续快速增长的项目业绩、高瞻远瞩的</w:t>
      </w:r>
      <w:r>
        <w:rPr>
          <w:rFonts w:ascii="Times New Roman" w:hAnsi="Times New Roman" w:cs="Times New Roman" w:eastAsia="Times New Roman" w:hint="default"/>
        </w:rPr>
        <w:t>PPP+EPC</w:t>
      </w:r>
      <w:r>
        <w:rPr/>
        <w:t>业务战略等多重企业特质，筑牢了 公司在智慧城市、公共安全与智能反恐维稳领域的无可比拟的复合型市场营销优势。</w:t>
      </w:r>
    </w:p>
    <w:p>
      <w:pPr>
        <w:pStyle w:val="BodyText"/>
        <w:spacing w:line="304" w:lineRule="auto" w:before="31"/>
        <w:ind w:right="1032" w:firstLine="360"/>
        <w:jc w:val="left"/>
      </w:pPr>
      <w:r>
        <w:rPr/>
        <w:t>在智慧城市和平安中国建设领域，公司是业内极少数具备单体十亿元级项目建设经验的总集成服务企业，典型业绩有： </w:t>
      </w:r>
      <w:r>
        <w:rPr>
          <w:rFonts w:ascii="Times New Roman" w:hAnsi="Times New Roman" w:cs="Times New Roman" w:eastAsia="Times New Roman" w:hint="default"/>
        </w:rPr>
        <w:t>20</w:t>
      </w:r>
      <w:r>
        <w:rPr/>
        <w:t>亿规模的湖南凤凰县智慧城市建设</w:t>
      </w:r>
      <w:r>
        <w:rPr>
          <w:rFonts w:ascii="Times New Roman" w:hAnsi="Times New Roman" w:cs="Times New Roman" w:eastAsia="Times New Roman" w:hint="default"/>
        </w:rPr>
        <w:t>PPP</w:t>
      </w:r>
      <w:r>
        <w:rPr/>
        <w:t>项目、已完成实施的中国目前单体最大的</w:t>
      </w:r>
      <w:r>
        <w:rPr>
          <w:rFonts w:ascii="Times New Roman" w:hAnsi="Times New Roman" w:cs="Times New Roman" w:eastAsia="Times New Roman" w:hint="default"/>
        </w:rPr>
        <w:t>13</w:t>
      </w:r>
      <w:r>
        <w:rPr/>
        <w:t>亿规模的贵州省六盘水市天网工程总集 成项目、云南省</w:t>
      </w:r>
      <w:r>
        <w:rPr>
          <w:rFonts w:ascii="Times New Roman" w:hAnsi="Times New Roman" w:cs="Times New Roman" w:eastAsia="Times New Roman" w:hint="default"/>
        </w:rPr>
        <w:t>“</w:t>
      </w:r>
      <w:r>
        <w:rPr/>
        <w:t>智慧红河</w:t>
      </w:r>
      <w:r>
        <w:rPr>
          <w:rFonts w:ascii="Times New Roman" w:hAnsi="Times New Roman" w:cs="Times New Roman" w:eastAsia="Times New Roman" w:hint="default"/>
        </w:rPr>
        <w:t>”</w:t>
      </w:r>
      <w:r>
        <w:rPr/>
        <w:t>项目、</w:t>
      </w:r>
      <w:r>
        <w:rPr>
          <w:rFonts w:ascii="Times New Roman" w:hAnsi="Times New Roman" w:cs="Times New Roman" w:eastAsia="Times New Roman" w:hint="default"/>
        </w:rPr>
        <w:t>11.75</w:t>
      </w:r>
      <w:r>
        <w:rPr/>
        <w:t>亿规模的凤凰工业园市政基础设施建设智慧园区项目、</w:t>
      </w:r>
      <w:r>
        <w:rPr>
          <w:rFonts w:ascii="Times New Roman" w:hAnsi="Times New Roman" w:cs="Times New Roman" w:eastAsia="Times New Roman" w:hint="default"/>
        </w:rPr>
        <w:t>6</w:t>
      </w:r>
      <w:r>
        <w:rPr/>
        <w:t>亿规模的云南联通移动业务 社会化服务合作项目、</w:t>
      </w:r>
      <w:r>
        <w:rPr>
          <w:rFonts w:ascii="Times New Roman" w:hAnsi="Times New Roman" w:cs="Times New Roman" w:eastAsia="Times New Roman" w:hint="default"/>
        </w:rPr>
        <w:t>2.92</w:t>
      </w:r>
      <w:r>
        <w:rPr/>
        <w:t>亿规模的安徽省芜湖市雪亮工程项目、</w:t>
      </w:r>
      <w:r>
        <w:rPr>
          <w:rFonts w:ascii="Times New Roman" w:hAnsi="Times New Roman" w:cs="Times New Roman" w:eastAsia="Times New Roman" w:hint="default"/>
        </w:rPr>
        <w:t>2.23</w:t>
      </w:r>
      <w:r>
        <w:rPr/>
        <w:t>亿规模的新疆</w:t>
      </w:r>
      <w:r>
        <w:rPr>
          <w:rFonts w:ascii="Times New Roman" w:hAnsi="Times New Roman" w:cs="Times New Roman" w:eastAsia="Times New Roman" w:hint="default"/>
        </w:rPr>
        <w:t>“</w:t>
      </w:r>
      <w:r>
        <w:rPr/>
        <w:t>智慧伊宁县</w:t>
      </w:r>
      <w:r>
        <w:rPr>
          <w:rFonts w:ascii="Times New Roman" w:hAnsi="Times New Roman" w:cs="Times New Roman" w:eastAsia="Times New Roman" w:hint="default"/>
        </w:rPr>
        <w:t>”</w:t>
      </w:r>
      <w:r>
        <w:rPr/>
        <w:t>公共安全综合平台（雪亮 工程）项目、</w:t>
      </w:r>
      <w:r>
        <w:rPr>
          <w:rFonts w:ascii="Times New Roman" w:hAnsi="Times New Roman" w:cs="Times New Roman" w:eastAsia="Times New Roman" w:hint="default"/>
        </w:rPr>
        <w:t>2.09</w:t>
      </w:r>
      <w:r>
        <w:rPr/>
        <w:t>亿规模的安徽淮南（平安淮南）二期工程项目（第一标包和第二标包）、新疆乌鲁木齐市综治视联网建设</w:t>
      </w:r>
    </w:p>
    <w:p>
      <w:pPr>
        <w:spacing w:after="0" w:line="304"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ind w:left="514" w:right="0" w:hanging="360"/>
        <w:jc w:val="left"/>
      </w:pPr>
      <w:r>
        <w:rPr/>
        <w:t>项目等。此外，公司还为</w:t>
      </w:r>
      <w:r>
        <w:rPr>
          <w:rFonts w:ascii="Times New Roman" w:hAnsi="Times New Roman" w:cs="Times New Roman" w:eastAsia="Times New Roman" w:hint="default"/>
        </w:rPr>
        <w:t>APEC</w:t>
      </w:r>
      <w:r>
        <w:rPr/>
        <w:t>峰会、</w:t>
      </w:r>
      <w:r>
        <w:rPr>
          <w:rFonts w:ascii="Times New Roman" w:hAnsi="Times New Roman" w:cs="Times New Roman" w:eastAsia="Times New Roman" w:hint="default"/>
        </w:rPr>
        <w:t>G20</w:t>
      </w:r>
      <w:r>
        <w:rPr/>
        <w:t>峰会等国际重大活动保驾护航。 </w:t>
      </w:r>
      <w:r>
        <w:rPr>
          <w:spacing w:val="-1"/>
        </w:rPr>
        <w:t>报告期内，公司作为联合体成员在庄河市智慧城市一期工程</w:t>
      </w:r>
      <w:r>
        <w:rPr>
          <w:rFonts w:ascii="Times New Roman" w:hAnsi="Times New Roman" w:cs="Times New Roman" w:eastAsia="Times New Roman" w:hint="default"/>
          <w:spacing w:val="-1"/>
        </w:rPr>
        <w:t>PPP</w:t>
      </w:r>
      <w:r>
        <w:rPr>
          <w:spacing w:val="-1"/>
        </w:rPr>
        <w:t>项目中标，中标金额为人民币</w:t>
      </w:r>
      <w:r>
        <w:rPr>
          <w:rFonts w:ascii="Times New Roman" w:hAnsi="Times New Roman" w:cs="Times New Roman" w:eastAsia="Times New Roman" w:hint="default"/>
          <w:spacing w:val="-1"/>
        </w:rPr>
        <w:t>30,870.27</w:t>
      </w:r>
      <w:r>
        <w:rPr>
          <w:spacing w:val="-1"/>
        </w:rPr>
        <w:t>万元；公司作为</w:t>
      </w:r>
    </w:p>
    <w:p>
      <w:pPr>
        <w:pStyle w:val="BodyText"/>
        <w:spacing w:line="300" w:lineRule="auto" w:before="13"/>
        <w:ind w:right="1122"/>
        <w:jc w:val="left"/>
      </w:pPr>
      <w:r>
        <w:rPr/>
        <w:t>联合体成员在河北省枣强县雪亮工程</w:t>
      </w:r>
      <w:r>
        <w:rPr>
          <w:rFonts w:ascii="Times New Roman" w:hAnsi="Times New Roman" w:cs="Times New Roman" w:eastAsia="Times New Roman" w:hint="default"/>
        </w:rPr>
        <w:t>PPP</w:t>
      </w:r>
      <w:r>
        <w:rPr/>
        <w:t>项目社会资本方采购招标中中标，项目总投资为人民币</w:t>
      </w:r>
      <w:r>
        <w:rPr>
          <w:rFonts w:ascii="Times New Roman" w:hAnsi="Times New Roman" w:cs="Times New Roman" w:eastAsia="Times New Roman" w:hint="default"/>
        </w:rPr>
        <w:t>6,225.69</w:t>
      </w:r>
      <w:r>
        <w:rPr/>
        <w:t>万元；公司在芜湖 </w:t>
      </w:r>
      <w:r>
        <w:rPr>
          <w:spacing w:val="-2"/>
        </w:rPr>
        <w:t>市公共安全视频监控建设联网应用项目（雪亮工程）中标，中标金额为人民币</w:t>
      </w:r>
      <w:r>
        <w:rPr>
          <w:rFonts w:ascii="Times New Roman" w:hAnsi="Times New Roman" w:cs="Times New Roman" w:eastAsia="Times New Roman" w:hint="default"/>
          <w:spacing w:val="-2"/>
        </w:rPr>
        <w:t>29,205.20</w:t>
      </w:r>
      <w:r>
        <w:rPr>
          <w:spacing w:val="-2"/>
        </w:rPr>
        <w:t>万元；公司在凤凰工业园市政基础设</w:t>
      </w:r>
      <w:r>
        <w:rPr>
          <w:spacing w:val="-60"/>
        </w:rPr>
        <w:t> </w:t>
      </w:r>
      <w:r>
        <w:rPr>
          <w:spacing w:val="-60"/>
        </w:rPr>
      </w:r>
      <w:r>
        <w:rPr/>
        <w:t>施建设项目（二期）</w:t>
      </w:r>
      <w:r>
        <w:rPr>
          <w:rFonts w:ascii="Times New Roman" w:hAnsi="Times New Roman" w:cs="Times New Roman" w:eastAsia="Times New Roman" w:hint="default"/>
        </w:rPr>
        <w:t>EPC</w:t>
      </w:r>
      <w:r>
        <w:rPr/>
        <w:t>总承包工程项目招标采购中被确定为联合体中标单位，中标总金额为人民币</w:t>
      </w:r>
      <w:r>
        <w:rPr>
          <w:rFonts w:ascii="Times New Roman" w:hAnsi="Times New Roman" w:cs="Times New Roman" w:eastAsia="Times New Roman" w:hint="default"/>
        </w:rPr>
        <w:t>117,563.71</w:t>
      </w:r>
      <w:r>
        <w:rPr/>
        <w:t>万元；公司 中标国家某单位安全联网应用涉密项目，中标金额合计为人民币</w:t>
      </w:r>
      <w:r>
        <w:rPr>
          <w:rFonts w:ascii="Times New Roman" w:hAnsi="Times New Roman" w:cs="Times New Roman" w:eastAsia="Times New Roman" w:hint="default"/>
        </w:rPr>
        <w:t>9,460.54</w:t>
      </w:r>
      <w:r>
        <w:rPr/>
        <w:t>万元；公司作为牵头方在贵州省毕节市大方县全域 智慧旅游信息化平台建设</w:t>
      </w:r>
      <w:r>
        <w:rPr>
          <w:rFonts w:ascii="Times New Roman" w:hAnsi="Times New Roman" w:cs="Times New Roman" w:eastAsia="Times New Roman" w:hint="default"/>
        </w:rPr>
        <w:t>PPP</w:t>
      </w:r>
      <w:r>
        <w:rPr/>
        <w:t>项目招标采购中联合预中标。</w:t>
      </w:r>
    </w:p>
    <w:p>
      <w:pPr>
        <w:pStyle w:val="BodyText"/>
        <w:spacing w:line="316" w:lineRule="auto" w:before="13"/>
        <w:ind w:left="514" w:right="1152" w:firstLine="1"/>
        <w:jc w:val="left"/>
      </w:pPr>
      <w:r>
        <w:rPr>
          <w:rFonts w:ascii="宋体" w:hAnsi="宋体" w:cs="宋体" w:eastAsia="宋体" w:hint="default"/>
          <w:b/>
          <w:bCs/>
        </w:rPr>
        <w:t>六、人才团队优势</w:t>
      </w:r>
      <w:r>
        <w:rPr>
          <w:rFonts w:ascii="宋体" w:hAnsi="宋体" w:cs="宋体" w:eastAsia="宋体" w:hint="default"/>
          <w:b/>
          <w:bCs/>
          <w:w w:val="99"/>
        </w:rPr>
        <w:t> </w:t>
      </w:r>
      <w:r>
        <w:rPr/>
        <w:t>一流的品牌由一流的人才打造，人才是企业发展的核心竞争力。公司坚持</w:t>
      </w:r>
      <w:r>
        <w:rPr>
          <w:rFonts w:ascii="Times New Roman" w:hAnsi="Times New Roman" w:cs="Times New Roman" w:eastAsia="Times New Roman" w:hint="default"/>
        </w:rPr>
        <w:t>“</w:t>
      </w:r>
      <w:r>
        <w:rPr/>
        <w:t>以人为本</w:t>
      </w:r>
      <w:r>
        <w:rPr>
          <w:rFonts w:ascii="Times New Roman" w:hAnsi="Times New Roman" w:cs="Times New Roman" w:eastAsia="Times New Roman" w:hint="default"/>
        </w:rPr>
        <w:t>”</w:t>
      </w:r>
      <w:r>
        <w:rPr/>
        <w:t>的基本原则，</w:t>
      </w:r>
      <w:r>
        <w:rPr>
          <w:rFonts w:ascii="Times New Roman" w:hAnsi="Times New Roman" w:cs="Times New Roman" w:eastAsia="Times New Roman" w:hint="default"/>
        </w:rPr>
        <w:t>“</w:t>
      </w:r>
      <w:r>
        <w:rPr/>
        <w:t>以奋斗者为本并坚</w:t>
      </w:r>
    </w:p>
    <w:p>
      <w:pPr>
        <w:pStyle w:val="BodyText"/>
        <w:spacing w:line="314" w:lineRule="auto" w:before="0"/>
        <w:ind w:right="1032"/>
        <w:jc w:val="left"/>
      </w:pPr>
      <w:r>
        <w:rPr/>
        <w:t>持长期艰苦奋斗</w:t>
      </w:r>
      <w:r>
        <w:rPr>
          <w:rFonts w:ascii="Times New Roman" w:hAnsi="Times New Roman" w:cs="Times New Roman" w:eastAsia="Times New Roman" w:hint="default"/>
        </w:rPr>
        <w:t>”</w:t>
      </w:r>
      <w:r>
        <w:rPr/>
        <w:t>。注重人才的引进和培养，先后引进多名高端人才、领军人才，每年从高校招聘大量优秀毕业生，并投入 </w:t>
      </w:r>
      <w:r>
        <w:rPr>
          <w:spacing w:val="-4"/>
        </w:rPr>
        <w:t>大量经费对员工进行业务技能、企业文化、经营管理等培训，保证员工队伍的高效与稳定。一方面采用走出去迎进来的办法，</w:t>
      </w:r>
      <w:r>
        <w:rPr>
          <w:spacing w:val="-46"/>
        </w:rPr>
        <w:t> </w:t>
      </w:r>
      <w:r>
        <w:rPr>
          <w:spacing w:val="-46"/>
        </w:rPr>
      </w:r>
      <w:r>
        <w:rPr>
          <w:spacing w:val="-2"/>
        </w:rPr>
        <w:t>不断提高科技人员的研发水平，通过校企科研合作，不断取得创新成果；另一方面持续引进高新技术及高端人才，努力提高</w:t>
      </w:r>
      <w:r>
        <w:rPr>
          <w:spacing w:val="-66"/>
        </w:rPr>
        <w:t> </w:t>
      </w:r>
      <w:r>
        <w:rPr>
          <w:spacing w:val="-66"/>
        </w:rPr>
      </w:r>
      <w:r>
        <w:rPr/>
        <w:t>在同行中的科研竞争力。高举</w:t>
      </w:r>
      <w:r>
        <w:rPr>
          <w:rFonts w:ascii="Times New Roman" w:hAnsi="Times New Roman" w:cs="Times New Roman" w:eastAsia="Times New Roman" w:hint="default"/>
        </w:rPr>
        <w:t>“</w:t>
      </w:r>
      <w:r>
        <w:rPr/>
        <w:t>服务创新</w:t>
      </w:r>
      <w:r>
        <w:rPr>
          <w:rFonts w:ascii="Times New Roman" w:hAnsi="Times New Roman" w:cs="Times New Roman" w:eastAsia="Times New Roman" w:hint="default"/>
        </w:rPr>
        <w:t>”</w:t>
      </w:r>
      <w:r>
        <w:rPr/>
        <w:t>旗帜，落实技术研发政策，积极强化研发职能，并提升高新技术含量产品的开发， </w:t>
      </w:r>
      <w:r>
        <w:rPr>
          <w:spacing w:val="-2"/>
        </w:rPr>
        <w:t>实现技术规范与产品标准化、国际化。公司多名专家分别入选中国警用装备标准化委员通信委员、能源等行业国家级标准化</w:t>
      </w:r>
      <w:r>
        <w:rPr>
          <w:spacing w:val="-66"/>
        </w:rPr>
        <w:t> </w:t>
      </w:r>
      <w:r>
        <w:rPr>
          <w:spacing w:val="-66"/>
        </w:rPr>
      </w:r>
      <w:r>
        <w:rPr/>
        <w:t>技术委员会专家委员，公司先后多次制定和参与制定国家标准及行业标准。公司成功打造一支高绩效、高素质的管理团队， 培养了一批执行力高、凝聚力强的骨干人才，吸引了一批有潜力、有思想的储备人才，人才队伍始终具有活力和可持续性， </w:t>
      </w:r>
      <w:r>
        <w:rPr>
          <w:spacing w:val="-2"/>
        </w:rPr>
        <w:t>使公司始终保持技术领先和具有推动行业技术进步、把握行业发展趋势的能力，大量懂技术、善经营、会管理的行业精英分</w:t>
      </w:r>
      <w:r>
        <w:rPr>
          <w:spacing w:val="-66"/>
        </w:rPr>
        <w:t> </w:t>
      </w:r>
      <w:r>
        <w:rPr>
          <w:spacing w:val="-66"/>
        </w:rPr>
      </w:r>
      <w:r>
        <w:rPr/>
        <w:t>布在公司各部门、各岗位。</w:t>
      </w:r>
    </w:p>
    <w:p>
      <w:pPr>
        <w:pStyle w:val="BodyText"/>
        <w:spacing w:line="316" w:lineRule="auto" w:before="20"/>
        <w:ind w:right="1131" w:firstLine="360"/>
        <w:jc w:val="both"/>
      </w:pPr>
      <w:r>
        <w:rPr>
          <w:spacing w:val="-2"/>
        </w:rPr>
        <w:t>在智慧城市、公共安全与智能反恐维稳业务方面，公司拥有强大的内生团队和外聚整合能力，公司的研究开发、规划设</w:t>
      </w:r>
      <w:r>
        <w:rPr/>
        <w:t> </w:t>
      </w:r>
      <w:r>
        <w:rPr>
          <w:spacing w:val="-2"/>
        </w:rPr>
        <w:t>计及建设运营团队由诸如：中国科学院院士、中国工程院院士、国家信息化专家委员会、国家智能化专家委员会、公安部科</w:t>
      </w:r>
      <w:r>
        <w:rPr>
          <w:spacing w:val="-66"/>
        </w:rPr>
        <w:t> </w:t>
      </w:r>
      <w:r>
        <w:rPr>
          <w:spacing w:val="-66"/>
        </w:rPr>
      </w:r>
      <w:r>
        <w:rPr>
          <w:spacing w:val="-2"/>
        </w:rPr>
        <w:t>技信息化专家委员会、中国警用装备标准化技术委员会等老、中、青三代专家领衔。公司还与电子科技大学、清华大学等知</w:t>
      </w:r>
      <w:r>
        <w:rPr>
          <w:spacing w:val="-66"/>
        </w:rPr>
        <w:t> </w:t>
      </w:r>
      <w:r>
        <w:rPr>
          <w:spacing w:val="-66"/>
        </w:rPr>
      </w:r>
      <w:r>
        <w:rPr/>
        <w:t>名高校紧密合作，聘请博士团队和院士智力加盟，聚力国内优质智囊组建科研创新高地。</w:t>
      </w:r>
    </w:p>
    <w:p>
      <w:pPr>
        <w:spacing w:after="0" w:line="316"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6" w:right="0"/>
        <w:jc w:val="left"/>
        <w:rPr>
          <w:b w:val="0"/>
          <w:bCs w:val="0"/>
        </w:rPr>
      </w:pPr>
      <w:bookmarkStart w:name="_TOC_250008" w:id="23"/>
      <w:bookmarkStart w:name="第四节 经营情况讨论与分析" w:id="24"/>
      <w:r>
        <w:rPr>
          <w:b w:val="0"/>
          <w:bCs w:val="0"/>
        </w:rPr>
      </w:r>
      <w:r>
        <w:rPr/>
        <w:t>第四节</w:t>
      </w:r>
      <w:r>
        <w:rPr>
          <w:spacing w:val="-10"/>
        </w:rPr>
        <w:t> </w:t>
      </w:r>
      <w:r>
        <w:rPr/>
        <w:t>经营情况讨论与分析</w:t>
      </w:r>
      <w:bookmarkEnd w:id="23"/>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bookmarkStart w:name="一、概述" w:id="25"/>
      <w:bookmarkEnd w:id="25"/>
      <w:r>
        <w:rPr>
          <w:b w:val="0"/>
          <w:bCs w:val="0"/>
        </w:rPr>
      </w:r>
      <w:r>
        <w:rPr/>
        <w:t>一、概述</w:t>
      </w:r>
      <w:r>
        <w:rPr>
          <w:b w:val="0"/>
          <w:bCs w:val="0"/>
        </w:rPr>
      </w:r>
    </w:p>
    <w:p>
      <w:pPr>
        <w:spacing w:line="240" w:lineRule="auto" w:before="7"/>
        <w:rPr>
          <w:rFonts w:ascii="宋体" w:hAnsi="宋体" w:cs="宋体" w:eastAsia="宋体" w:hint="default"/>
          <w:b/>
          <w:bCs/>
          <w:sz w:val="26"/>
          <w:szCs w:val="26"/>
        </w:rPr>
      </w:pPr>
    </w:p>
    <w:p>
      <w:pPr>
        <w:pStyle w:val="BodyText"/>
        <w:spacing w:line="314" w:lineRule="auto" w:before="0"/>
        <w:ind w:right="1032" w:firstLine="578"/>
        <w:jc w:val="left"/>
      </w:pPr>
      <w:r>
        <w:rPr>
          <w:rFonts w:ascii="Times New Roman" w:hAnsi="Times New Roman" w:cs="Times New Roman" w:eastAsia="Times New Roman" w:hint="default"/>
        </w:rPr>
        <w:t>2018</w:t>
      </w:r>
      <w:r>
        <w:rPr/>
        <w:t>年，面对经济全球化遭遇波折、国际金融市场震荡的外部环境，特别是中美经贸摩擦带来不利影响，以及内部 </w:t>
      </w:r>
      <w:r>
        <w:rPr>
          <w:spacing w:val="-2"/>
        </w:rPr>
        <w:t>经济面临下行压力、转型升级攻坚的严峻形势。同时，也是全面贯彻党的十九大精神的开局之年，国家坚持稳中求进的工作</w:t>
      </w:r>
      <w:r>
        <w:rPr>
          <w:spacing w:val="-66"/>
        </w:rPr>
        <w:t> </w:t>
      </w:r>
      <w:r>
        <w:rPr>
          <w:spacing w:val="-66"/>
        </w:rPr>
      </w:r>
      <w:r>
        <w:rPr>
          <w:spacing w:val="-2"/>
        </w:rPr>
        <w:t>总基调、高质量发展的总要求。公司适应于时代发展的新局面，全面开启公司发展的新征程，认真履行《公司法》、《证券</w:t>
      </w:r>
      <w:r>
        <w:rPr>
          <w:spacing w:val="-68"/>
        </w:rPr>
        <w:t> </w:t>
      </w:r>
      <w:r>
        <w:rPr>
          <w:spacing w:val="-68"/>
        </w:rPr>
      </w:r>
      <w:r>
        <w:rPr/>
        <w:t>法》、《公司章程》等法律、法规赋予的职责，公司严格按照董事会发展战略，依照经营计划，内部控制建设进一步加强， 公司规范运作水平进一步提高，紧紧围绕全年经营目标，审时度势，统筹全面均衡发展。</w:t>
      </w:r>
    </w:p>
    <w:p>
      <w:pPr>
        <w:pStyle w:val="BodyText"/>
        <w:spacing w:line="312" w:lineRule="auto" w:before="20"/>
        <w:ind w:right="1130" w:firstLine="360"/>
        <w:jc w:val="both"/>
      </w:pPr>
      <w:r>
        <w:rPr>
          <w:spacing w:val="-2"/>
        </w:rPr>
        <w:t>报告期内，一方面，公司作为目前中国智慧城市建设行业具有</w:t>
      </w:r>
      <w:r>
        <w:rPr>
          <w:rFonts w:ascii="Times New Roman" w:hAnsi="Times New Roman" w:cs="Times New Roman" w:eastAsia="Times New Roman" w:hint="default"/>
          <w:spacing w:val="-2"/>
        </w:rPr>
        <w:t>“</w:t>
      </w:r>
      <w:r>
        <w:rPr>
          <w:spacing w:val="-2"/>
        </w:rPr>
        <w:t>九甲</w:t>
      </w:r>
      <w:r>
        <w:rPr>
          <w:rFonts w:ascii="Times New Roman" w:hAnsi="Times New Roman" w:cs="Times New Roman" w:eastAsia="Times New Roman" w:hint="default"/>
          <w:spacing w:val="-2"/>
        </w:rPr>
        <w:t>”</w:t>
      </w:r>
      <w:r>
        <w:rPr>
          <w:spacing w:val="-2"/>
        </w:rPr>
        <w:t>资质的智慧城市服务商，充分把握国家大力发展智</w:t>
      </w:r>
      <w:r>
        <w:rPr/>
        <w:t> </w:t>
      </w:r>
      <w:r>
        <w:rPr>
          <w:spacing w:val="-2"/>
        </w:rPr>
        <w:t>慧城市的市场机遇，专注于智慧城市方向的人工智能、物联网、大数据和云计算等关键技术的研究和开发，专注于智慧城市</w:t>
      </w:r>
      <w:r>
        <w:rPr>
          <w:spacing w:val="-65"/>
        </w:rPr>
        <w:t> </w:t>
      </w:r>
      <w:r>
        <w:rPr>
          <w:spacing w:val="-65"/>
        </w:rPr>
      </w:r>
      <w:r>
        <w:rPr>
          <w:spacing w:val="-2"/>
        </w:rPr>
        <w:t>的建设、投资与运营，以信息化、大数据和云计算为支撑，已形成面向智慧社会治理、智慧民生服务、智慧产业经济等三位</w:t>
      </w:r>
      <w:r>
        <w:rPr>
          <w:spacing w:val="-68"/>
        </w:rPr>
        <w:t> </w:t>
      </w:r>
      <w:r>
        <w:rPr>
          <w:spacing w:val="-68"/>
        </w:rPr>
      </w:r>
      <w:r>
        <w:rPr>
          <w:spacing w:val="-2"/>
        </w:rPr>
        <w:t>一体的完全自主可控、国内领先且具有国际竞争力的核心技术、产品和全面解决方案，在智慧城市领域积累丰富的市场经验</w:t>
      </w:r>
      <w:r>
        <w:rPr>
          <w:spacing w:val="-66"/>
        </w:rPr>
        <w:t> </w:t>
      </w:r>
      <w:r>
        <w:rPr>
          <w:spacing w:val="-66"/>
        </w:rPr>
      </w:r>
      <w:r>
        <w:rPr>
          <w:spacing w:val="-2"/>
        </w:rPr>
        <w:t>和应用经验，并不断精益求精地复制，促进公司在智慧城市业务的建设、投资与运营等方面的更好发展，以加速形成并夯实</w:t>
      </w:r>
      <w:r>
        <w:rPr>
          <w:spacing w:val="-66"/>
        </w:rPr>
        <w:t> </w:t>
      </w:r>
      <w:r>
        <w:rPr>
          <w:spacing w:val="-66"/>
        </w:rPr>
      </w:r>
      <w:r>
        <w:rPr>
          <w:rFonts w:ascii="Times New Roman" w:hAnsi="Times New Roman" w:cs="Times New Roman" w:eastAsia="Times New Roman" w:hint="default"/>
          <w:spacing w:val="-2"/>
        </w:rPr>
        <w:t>“</w:t>
      </w:r>
      <w:r>
        <w:rPr>
          <w:spacing w:val="-2"/>
        </w:rPr>
        <w:t>中国最好的智慧城市建设与运营服务商</w:t>
      </w:r>
      <w:r>
        <w:rPr>
          <w:rFonts w:ascii="Times New Roman" w:hAnsi="Times New Roman" w:cs="Times New Roman" w:eastAsia="Times New Roman" w:hint="default"/>
          <w:spacing w:val="-2"/>
        </w:rPr>
        <w:t>”</w:t>
      </w:r>
      <w:r>
        <w:rPr>
          <w:spacing w:val="-2"/>
        </w:rPr>
        <w:t>的行业龙头品牌地位；另一方面，加强精细化管理，对内挖潜增效、去存降本，对</w:t>
      </w:r>
      <w:r>
        <w:rPr>
          <w:spacing w:val="-46"/>
        </w:rPr>
        <w:t> </w:t>
      </w:r>
      <w:r>
        <w:rPr>
          <w:spacing w:val="-46"/>
        </w:rPr>
      </w:r>
      <w:r>
        <w:rPr>
          <w:spacing w:val="-2"/>
        </w:rPr>
        <w:t>外开拓市场，坚持</w:t>
      </w:r>
      <w:r>
        <w:rPr>
          <w:rFonts w:ascii="Times New Roman" w:hAnsi="Times New Roman" w:cs="Times New Roman" w:eastAsia="Times New Roman" w:hint="default"/>
          <w:spacing w:val="-2"/>
        </w:rPr>
        <w:t>“</w:t>
      </w:r>
      <w:r>
        <w:rPr>
          <w:spacing w:val="-2"/>
        </w:rPr>
        <w:t>客户导向、求实创新、诚实守信、合作共赢</w:t>
      </w:r>
      <w:r>
        <w:rPr>
          <w:rFonts w:ascii="Times New Roman" w:hAnsi="Times New Roman" w:cs="Times New Roman" w:eastAsia="Times New Roman" w:hint="default"/>
          <w:spacing w:val="-2"/>
        </w:rPr>
        <w:t>”</w:t>
      </w:r>
      <w:r>
        <w:rPr>
          <w:spacing w:val="-2"/>
        </w:rPr>
        <w:t>的市场价值观，增强研创能力，扩大市场份额，较好的完成</w:t>
      </w:r>
      <w:r>
        <w:rPr>
          <w:spacing w:val="-46"/>
        </w:rPr>
        <w:t> </w:t>
      </w:r>
      <w:r>
        <w:rPr>
          <w:spacing w:val="-46"/>
        </w:rPr>
      </w:r>
      <w:r>
        <w:rPr>
          <w:spacing w:val="-2"/>
        </w:rPr>
        <w:t>了年初确定的各项经济指标和管理目标，公司综合实力水平进一步提升，公司整体经营业绩取得进一步发展，进一步提高公</w:t>
      </w:r>
      <w:r>
        <w:rPr>
          <w:spacing w:val="-66"/>
        </w:rPr>
        <w:t> </w:t>
      </w:r>
      <w:r>
        <w:rPr>
          <w:spacing w:val="-66"/>
        </w:rPr>
      </w:r>
      <w:r>
        <w:rPr/>
        <w:t>司规范运作水平，更好地促进公司合规经营。</w:t>
      </w:r>
    </w:p>
    <w:p>
      <w:pPr>
        <w:pStyle w:val="BodyText"/>
        <w:spacing w:line="300" w:lineRule="auto" w:before="22"/>
        <w:ind w:right="1032" w:firstLine="360"/>
        <w:jc w:val="left"/>
      </w:pPr>
      <w:r>
        <w:rPr>
          <w:spacing w:val="-4"/>
        </w:rPr>
        <w:t>经大华会计师事务所（特殊普通合伙）审计，</w:t>
      </w:r>
      <w:r>
        <w:rPr>
          <w:rFonts w:ascii="Times New Roman" w:hAnsi="Times New Roman" w:cs="Times New Roman" w:eastAsia="Times New Roman" w:hint="default"/>
          <w:spacing w:val="-4"/>
        </w:rPr>
        <w:t>2018</w:t>
      </w:r>
      <w:r>
        <w:rPr>
          <w:spacing w:val="-4"/>
        </w:rPr>
        <w:t>年度，公司实现营业总收入</w:t>
      </w:r>
      <w:r>
        <w:rPr>
          <w:rFonts w:ascii="Times New Roman" w:hAnsi="Times New Roman" w:cs="Times New Roman" w:eastAsia="Times New Roman" w:hint="default"/>
          <w:spacing w:val="-4"/>
        </w:rPr>
        <w:t>245,595.85</w:t>
      </w:r>
      <w:r>
        <w:rPr>
          <w:spacing w:val="-4"/>
        </w:rPr>
        <w:t>万元，比上年同期增长</w:t>
      </w:r>
      <w:r>
        <w:rPr>
          <w:spacing w:val="29"/>
        </w:rPr>
        <w:t> </w:t>
      </w:r>
      <w:r>
        <w:rPr>
          <w:rFonts w:ascii="Times New Roman" w:hAnsi="Times New Roman" w:cs="Times New Roman" w:eastAsia="Times New Roman" w:hint="default"/>
        </w:rPr>
        <w:t>21.25%</w:t>
      </w:r>
      <w:r>
        <w:rPr/>
        <w:t>； 实现营业利润</w:t>
      </w:r>
      <w:r>
        <w:rPr>
          <w:rFonts w:ascii="Times New Roman" w:hAnsi="Times New Roman" w:cs="Times New Roman" w:eastAsia="Times New Roman" w:hint="default"/>
        </w:rPr>
        <w:t>22,277.68</w:t>
      </w:r>
      <w:r>
        <w:rPr/>
        <w:t>万元，比上年同期下降</w:t>
      </w:r>
      <w:r>
        <w:rPr>
          <w:rFonts w:ascii="Times New Roman" w:hAnsi="Times New Roman" w:cs="Times New Roman" w:eastAsia="Times New Roman" w:hint="default"/>
        </w:rPr>
        <w:t>0.38%</w:t>
      </w:r>
      <w:r>
        <w:rPr/>
        <w:t>；实现利润总额</w:t>
      </w:r>
      <w:r>
        <w:rPr>
          <w:rFonts w:ascii="Times New Roman" w:hAnsi="Times New Roman" w:cs="Times New Roman" w:eastAsia="Times New Roman" w:hint="default"/>
        </w:rPr>
        <w:t>21,921.21</w:t>
      </w:r>
      <w:r>
        <w:rPr/>
        <w:t>万元，比上年同期下降</w:t>
      </w:r>
      <w:r>
        <w:rPr>
          <w:rFonts w:ascii="Times New Roman" w:hAnsi="Times New Roman" w:cs="Times New Roman" w:eastAsia="Times New Roman" w:hint="default"/>
        </w:rPr>
        <w:t>3.33%</w:t>
      </w:r>
      <w:r>
        <w:rPr/>
        <w:t>；实现净利润 </w:t>
      </w:r>
      <w:r>
        <w:rPr>
          <w:rFonts w:ascii="Times New Roman" w:hAnsi="Times New Roman" w:cs="Times New Roman" w:eastAsia="Times New Roman" w:hint="default"/>
        </w:rPr>
        <w:t>18,836.55</w:t>
      </w:r>
      <w:r>
        <w:rPr/>
        <w:t>万元，比上年同期下降</w:t>
      </w:r>
      <w:r>
        <w:rPr>
          <w:rFonts w:ascii="Times New Roman" w:hAnsi="Times New Roman" w:cs="Times New Roman" w:eastAsia="Times New Roman" w:hint="default"/>
        </w:rPr>
        <w:t>2.57%</w:t>
      </w:r>
      <w:r>
        <w:rPr/>
        <w:t>；其中，归属于上市公司股东的净利润</w:t>
      </w:r>
      <w:r>
        <w:rPr>
          <w:spacing w:val="-26"/>
        </w:rPr>
        <w:t> </w:t>
      </w:r>
      <w:r>
        <w:rPr>
          <w:rFonts w:ascii="Times New Roman" w:hAnsi="Times New Roman" w:cs="Times New Roman" w:eastAsia="Times New Roman" w:hint="default"/>
        </w:rPr>
        <w:t>17,476.27</w:t>
      </w:r>
      <w:r>
        <w:rPr/>
        <w:t>万元，比上年同期增长</w:t>
      </w:r>
      <w:r>
        <w:rPr>
          <w:rFonts w:ascii="Times New Roman" w:hAnsi="Times New Roman" w:cs="Times New Roman" w:eastAsia="Times New Roman" w:hint="default"/>
        </w:rPr>
        <w:t>1.48%</w:t>
      </w:r>
      <w:r>
        <w:rPr/>
        <w:t>。</w:t>
      </w:r>
    </w:p>
    <w:p>
      <w:pPr>
        <w:spacing w:line="316" w:lineRule="auto" w:before="13"/>
        <w:ind w:left="515" w:right="6793" w:hanging="2"/>
        <w:jc w:val="left"/>
        <w:rPr>
          <w:rFonts w:ascii="宋体" w:hAnsi="宋体" w:cs="宋体" w:eastAsia="宋体" w:hint="default"/>
          <w:sz w:val="18"/>
          <w:szCs w:val="18"/>
        </w:rPr>
      </w:pPr>
      <w:r>
        <w:rPr>
          <w:rFonts w:ascii="宋体" w:hAnsi="宋体" w:cs="宋体" w:eastAsia="宋体" w:hint="default"/>
          <w:sz w:val="18"/>
          <w:szCs w:val="18"/>
        </w:rPr>
        <w:t>公司回顾总结报告期内披露的主要工作情况： </w:t>
      </w:r>
      <w:r>
        <w:rPr>
          <w:rFonts w:ascii="宋体" w:hAnsi="宋体" w:cs="宋体" w:eastAsia="宋体" w:hint="default"/>
          <w:b/>
          <w:bCs/>
          <w:sz w:val="18"/>
          <w:szCs w:val="18"/>
        </w:rPr>
        <w:t>一、完成定期报告披露工作</w:t>
      </w:r>
      <w:r>
        <w:rPr>
          <w:rFonts w:ascii="宋体" w:hAnsi="宋体" w:cs="宋体" w:eastAsia="宋体" w:hint="default"/>
          <w:sz w:val="18"/>
          <w:szCs w:val="18"/>
        </w:rPr>
      </w:r>
    </w:p>
    <w:p>
      <w:pPr>
        <w:pStyle w:val="BodyText"/>
        <w:spacing w:line="240" w:lineRule="auto" w:before="19"/>
        <w:ind w:left="514"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年度报告：报告期内，公司按照定期报告的相关规定以及报告预约时间，分别于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28</w:t>
      </w:r>
      <w:r>
        <w:rPr/>
        <w:t>日完成业绩快报及</w:t>
      </w:r>
    </w:p>
    <w:p>
      <w:pPr>
        <w:pStyle w:val="BodyText"/>
        <w:spacing w:line="240" w:lineRule="auto" w:before="63"/>
        <w:ind w:right="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25</w:t>
      </w:r>
      <w:r>
        <w:rPr/>
        <w:t>日完成了年报披露工作；</w:t>
      </w:r>
    </w:p>
    <w:p>
      <w:pPr>
        <w:pStyle w:val="BodyText"/>
        <w:spacing w:line="300" w:lineRule="auto" w:before="63"/>
        <w:ind w:right="0" w:firstLine="360"/>
        <w:jc w:val="left"/>
      </w:pP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2018</w:t>
      </w:r>
      <w:r>
        <w:rPr>
          <w:spacing w:val="-2"/>
        </w:rPr>
        <w:t>年一季度报告：报告期内，公司按照定期报告的相关规定以及报告预约时间，于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27</w:t>
      </w:r>
      <w:r>
        <w:rPr>
          <w:spacing w:val="-2"/>
        </w:rPr>
        <w:t>日完成了</w:t>
      </w:r>
      <w:r>
        <w:rPr>
          <w:rFonts w:ascii="Times New Roman" w:hAnsi="Times New Roman" w:cs="Times New Roman" w:eastAsia="Times New Roman" w:hint="default"/>
          <w:spacing w:val="-2"/>
        </w:rPr>
        <w:t>2018</w:t>
      </w:r>
      <w:r>
        <w:rPr>
          <w:spacing w:val="-2"/>
        </w:rPr>
        <w:t>年一</w:t>
      </w:r>
      <w:r>
        <w:rPr/>
        <w:t> 季度报告的披露工作；</w:t>
      </w:r>
    </w:p>
    <w:p>
      <w:pPr>
        <w:pStyle w:val="BodyText"/>
        <w:spacing w:line="300" w:lineRule="auto" w:before="31"/>
        <w:ind w:right="0" w:firstLine="360"/>
        <w:jc w:val="left"/>
      </w:pP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2018</w:t>
      </w:r>
      <w:r>
        <w:rPr>
          <w:spacing w:val="-2"/>
        </w:rPr>
        <w:t>年半年度报告：报告期内，公司按照定期报告的相关规定以及报告预约时间，于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22</w:t>
      </w:r>
      <w:r>
        <w:rPr>
          <w:spacing w:val="-2"/>
        </w:rPr>
        <w:t>日完成了</w:t>
      </w:r>
      <w:r>
        <w:rPr>
          <w:rFonts w:ascii="Times New Roman" w:hAnsi="Times New Roman" w:cs="Times New Roman" w:eastAsia="Times New Roman" w:hint="default"/>
          <w:spacing w:val="-2"/>
        </w:rPr>
        <w:t>2018</w:t>
      </w:r>
      <w:r>
        <w:rPr>
          <w:spacing w:val="-2"/>
        </w:rPr>
        <w:t>年半</w:t>
      </w:r>
      <w:r>
        <w:rPr/>
        <w:t> 年度报告的披露工作；</w:t>
      </w:r>
    </w:p>
    <w:p>
      <w:pPr>
        <w:pStyle w:val="BodyText"/>
        <w:spacing w:line="300" w:lineRule="auto" w:before="31"/>
        <w:ind w:right="1122" w:firstLine="360"/>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2018</w:t>
      </w:r>
      <w:r>
        <w:rPr/>
        <w:t>年三季度报告：报告期内，公司按照定期报告的相关规定以及报告预约时间，于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25</w:t>
      </w:r>
      <w:r>
        <w:rPr/>
        <w:t>日完成了</w:t>
      </w:r>
      <w:r>
        <w:rPr>
          <w:rFonts w:ascii="Times New Roman" w:hAnsi="Times New Roman" w:cs="Times New Roman" w:eastAsia="Times New Roman" w:hint="default"/>
        </w:rPr>
        <w:t>2018</w:t>
      </w:r>
      <w:r>
        <w:rPr/>
        <w:t>年 三季度报告的披露工作。</w:t>
      </w:r>
    </w:p>
    <w:p>
      <w:pPr>
        <w:pStyle w:val="BodyText"/>
        <w:spacing w:line="316" w:lineRule="auto" w:before="31"/>
        <w:ind w:left="514" w:right="0" w:firstLine="1"/>
        <w:jc w:val="left"/>
      </w:pPr>
      <w:r>
        <w:rPr>
          <w:rFonts w:ascii="宋体" w:hAnsi="宋体" w:cs="宋体" w:eastAsia="宋体" w:hint="default"/>
          <w:b/>
          <w:bCs/>
        </w:rPr>
        <w:t>二、变更证券简称</w:t>
      </w:r>
      <w:r>
        <w:rPr>
          <w:rFonts w:ascii="宋体" w:hAnsi="宋体" w:cs="宋体" w:eastAsia="宋体" w:hint="default"/>
          <w:b/>
          <w:bCs/>
          <w:w w:val="99"/>
        </w:rPr>
        <w:t> </w:t>
      </w:r>
      <w:r>
        <w:rPr>
          <w:spacing w:val="-2"/>
        </w:rPr>
        <w:t>根据公司的发展战略，更加有利于全面拓展在智慧城市领域的业务，进一步提高在智慧城市领域中的品牌知名度、市场</w:t>
      </w:r>
    </w:p>
    <w:p>
      <w:pPr>
        <w:pStyle w:val="BodyText"/>
        <w:spacing w:line="309" w:lineRule="auto" w:before="19"/>
        <w:ind w:right="1133"/>
        <w:jc w:val="both"/>
      </w:pPr>
      <w:r>
        <w:rPr>
          <w:spacing w:val="-2"/>
        </w:rPr>
        <w:t>影响力及示范作用，进一步增强自身的综合实力和市场竞争力，提高公司在智慧城市的运行效率并不断精益求精地复制，更</w:t>
      </w:r>
      <w:r>
        <w:rPr>
          <w:spacing w:val="-66"/>
        </w:rPr>
        <w:t> </w:t>
      </w:r>
      <w:r>
        <w:rPr>
          <w:spacing w:val="-66"/>
        </w:rPr>
      </w:r>
      <w:r>
        <w:rPr/>
        <w:t>好的促进公司在智慧城市业务的投资、建设与运营等方面的更好发展，以加速形成并夯实</w:t>
      </w:r>
      <w:r>
        <w:rPr>
          <w:rFonts w:ascii="Times New Roman" w:hAnsi="Times New Roman" w:cs="Times New Roman" w:eastAsia="Times New Roman" w:hint="default"/>
        </w:rPr>
        <w:t>“</w:t>
      </w:r>
      <w:r>
        <w:rPr/>
        <w:t>中国最好的智慧城市建设与运营 服务商</w:t>
      </w:r>
      <w:r>
        <w:rPr>
          <w:rFonts w:ascii="Times New Roman" w:hAnsi="Times New Roman" w:cs="Times New Roman" w:eastAsia="Times New Roman" w:hint="default"/>
        </w:rPr>
        <w:t>”</w:t>
      </w:r>
      <w:r>
        <w:rPr/>
        <w:t>的行业龙头品牌地位。</w:t>
      </w:r>
    </w:p>
    <w:p>
      <w:pPr>
        <w:pStyle w:val="BodyText"/>
        <w:spacing w:line="304" w:lineRule="auto" w:before="5"/>
        <w:ind w:right="1130" w:firstLine="360"/>
        <w:jc w:val="left"/>
      </w:pPr>
      <w:r>
        <w:rPr>
          <w:spacing w:val="-2"/>
        </w:rPr>
        <w:t>公司分别于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6</w:t>
      </w:r>
      <w:r>
        <w:rPr>
          <w:spacing w:val="-2"/>
        </w:rPr>
        <w:t>日召开的第七届董事会第十六次会议、</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26</w:t>
      </w:r>
      <w:r>
        <w:rPr>
          <w:spacing w:val="-2"/>
        </w:rPr>
        <w:t>日召开的</w:t>
      </w:r>
      <w:r>
        <w:rPr>
          <w:rFonts w:ascii="Times New Roman" w:hAnsi="Times New Roman" w:cs="Times New Roman" w:eastAsia="Times New Roman" w:hint="default"/>
          <w:spacing w:val="-2"/>
        </w:rPr>
        <w:t>2018</w:t>
      </w:r>
      <w:r>
        <w:rPr>
          <w:rFonts w:ascii="Times New Roman" w:hAnsi="Times New Roman" w:cs="Times New Roman" w:eastAsia="Times New Roman" w:hint="default"/>
          <w:spacing w:val="16"/>
        </w:rPr>
        <w:t> </w:t>
      </w:r>
      <w:r>
        <w:rPr>
          <w:spacing w:val="-1"/>
        </w:rPr>
        <w:t>年第二次临时股东大会审议通</w:t>
      </w:r>
      <w:r>
        <w:rPr/>
        <w:t> 过了《关于公司变更证券简称及修订相应条款的议案》，同时，披露了《关于公司变更证券简称及修订</w:t>
      </w:r>
      <w:r>
        <w:rPr>
          <w:rFonts w:ascii="Times New Roman" w:hAnsi="Times New Roman" w:cs="Times New Roman" w:eastAsia="Times New Roman" w:hint="default"/>
        </w:rPr>
        <w:t>&lt;</w:t>
      </w:r>
      <w:r>
        <w:rPr/>
        <w:t>公司章程</w:t>
      </w:r>
      <w:r>
        <w:rPr>
          <w:rFonts w:ascii="Times New Roman" w:hAnsi="Times New Roman" w:cs="Times New Roman" w:eastAsia="Times New Roman" w:hint="default"/>
        </w:rPr>
        <w:t>&gt;</w:t>
      </w:r>
      <w:r>
        <w:rPr/>
        <w:t>相应条 </w:t>
      </w:r>
      <w:r>
        <w:rPr>
          <w:spacing w:val="-1"/>
        </w:rPr>
        <w:t>款的公告》（公告编号：</w:t>
      </w:r>
      <w:r>
        <w:rPr>
          <w:rFonts w:ascii="Times New Roman" w:hAnsi="Times New Roman" w:cs="Times New Roman" w:eastAsia="Times New Roman" w:hint="default"/>
          <w:spacing w:val="-1"/>
        </w:rPr>
        <w:t>2018-045</w:t>
      </w:r>
      <w:r>
        <w:rPr>
          <w:spacing w:val="-1"/>
        </w:rPr>
        <w:t>），公司将证券简称由</w:t>
      </w:r>
      <w:r>
        <w:rPr>
          <w:rFonts w:ascii="Times New Roman" w:hAnsi="Times New Roman" w:cs="Times New Roman" w:eastAsia="Times New Roman" w:hint="default"/>
          <w:spacing w:val="-1"/>
        </w:rPr>
        <w:t>“</w:t>
      </w:r>
      <w:r>
        <w:rPr>
          <w:spacing w:val="-1"/>
        </w:rPr>
        <w:t>中电鑫龙</w:t>
      </w:r>
      <w:r>
        <w:rPr>
          <w:rFonts w:ascii="Times New Roman" w:hAnsi="Times New Roman" w:cs="Times New Roman" w:eastAsia="Times New Roman" w:hint="default"/>
          <w:spacing w:val="-1"/>
        </w:rPr>
        <w:t>”</w:t>
      </w:r>
      <w:r>
        <w:rPr>
          <w:spacing w:val="-1"/>
        </w:rPr>
        <w:t>变更为</w:t>
      </w:r>
      <w:r>
        <w:rPr>
          <w:rFonts w:ascii="Times New Roman" w:hAnsi="Times New Roman" w:cs="Times New Roman" w:eastAsia="Times New Roman" w:hint="default"/>
          <w:spacing w:val="-1"/>
        </w:rPr>
        <w:t>“</w:t>
      </w:r>
      <w:r>
        <w:rPr>
          <w:spacing w:val="-1"/>
        </w:rPr>
        <w:t>中电兴发</w:t>
      </w:r>
      <w:r>
        <w:rPr>
          <w:rFonts w:ascii="Times New Roman" w:hAnsi="Times New Roman" w:cs="Times New Roman" w:eastAsia="Times New Roman" w:hint="default"/>
          <w:spacing w:val="-1"/>
        </w:rPr>
        <w:t>”</w:t>
      </w:r>
      <w:r>
        <w:rPr>
          <w:spacing w:val="-1"/>
        </w:rPr>
        <w:t>，公司全称和证券代码不变。经公司</w:t>
      </w:r>
      <w:r>
        <w:rPr>
          <w:spacing w:val="-47"/>
        </w:rPr>
        <w:t> </w:t>
      </w:r>
      <w:r>
        <w:rPr>
          <w:spacing w:val="-47"/>
        </w:rPr>
      </w:r>
      <w:r>
        <w:rPr>
          <w:spacing w:val="-1"/>
        </w:rPr>
        <w:t>申请，并经深圳证券交易所核准，公司证券简称自</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2</w:t>
      </w:r>
      <w:r>
        <w:rPr>
          <w:spacing w:val="-1"/>
        </w:rPr>
        <w:t>日起由</w:t>
      </w:r>
      <w:r>
        <w:rPr>
          <w:rFonts w:ascii="Times New Roman" w:hAnsi="Times New Roman" w:cs="Times New Roman" w:eastAsia="Times New Roman" w:hint="default"/>
          <w:spacing w:val="-1"/>
        </w:rPr>
        <w:t>“</w:t>
      </w:r>
      <w:r>
        <w:rPr>
          <w:spacing w:val="-1"/>
        </w:rPr>
        <w:t>中电鑫龙</w:t>
      </w:r>
      <w:r>
        <w:rPr>
          <w:rFonts w:ascii="Times New Roman" w:hAnsi="Times New Roman" w:cs="Times New Roman" w:eastAsia="Times New Roman" w:hint="default"/>
          <w:spacing w:val="-1"/>
        </w:rPr>
        <w:t>”</w:t>
      </w:r>
      <w:r>
        <w:rPr>
          <w:spacing w:val="-1"/>
        </w:rPr>
        <w:t>变更为</w:t>
      </w:r>
      <w:r>
        <w:rPr>
          <w:rFonts w:ascii="Times New Roman" w:hAnsi="Times New Roman" w:cs="Times New Roman" w:eastAsia="Times New Roman" w:hint="default"/>
          <w:spacing w:val="-1"/>
        </w:rPr>
        <w:t>“</w:t>
      </w:r>
      <w:r>
        <w:rPr>
          <w:spacing w:val="-1"/>
        </w:rPr>
        <w:t>中电兴发</w:t>
      </w:r>
      <w:r>
        <w:rPr>
          <w:rFonts w:ascii="Times New Roman" w:hAnsi="Times New Roman" w:cs="Times New Roman" w:eastAsia="Times New Roman" w:hint="default"/>
          <w:spacing w:val="-1"/>
        </w:rPr>
        <w:t>”</w:t>
      </w:r>
      <w:r>
        <w:rPr>
          <w:spacing w:val="-1"/>
        </w:rPr>
        <w:t>，公司全称和证券代码不</w:t>
      </w:r>
      <w:r>
        <w:rPr>
          <w:spacing w:val="-76"/>
        </w:rPr>
        <w:t> </w:t>
      </w:r>
      <w:r>
        <w:rPr>
          <w:spacing w:val="-76"/>
        </w:rPr>
      </w:r>
      <w:r>
        <w:rPr>
          <w:spacing w:val="-2"/>
        </w:rPr>
        <w:t>变。本次证券简称变更，将更加有利于公司加快全面拓展在智慧城市领域的业务市场，进一步提高在智慧城市领域中的品牌</w:t>
      </w:r>
      <w:r>
        <w:rPr>
          <w:spacing w:val="-66"/>
        </w:rPr>
        <w:t> </w:t>
      </w:r>
      <w:r>
        <w:rPr>
          <w:spacing w:val="-66"/>
        </w:rPr>
      </w:r>
      <w:r>
        <w:rPr>
          <w:spacing w:val="-2"/>
        </w:rPr>
        <w:t>知名度、市场影响力及示范作用，提高公司在智慧城市的运行效率并不断精益求精地复制，更好的促进公司在智慧城市业务</w:t>
      </w:r>
    </w:p>
    <w:p>
      <w:pPr>
        <w:spacing w:after="0" w:line="304"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ind w:left="514" w:right="1052" w:hanging="360"/>
        <w:jc w:val="left"/>
      </w:pPr>
      <w:r>
        <w:rPr/>
        <w:t>的投资、建设与运营等方面的更好发展，以加速形成并夯实</w:t>
      </w:r>
      <w:r>
        <w:rPr>
          <w:rFonts w:ascii="Times New Roman" w:hAnsi="Times New Roman" w:cs="Times New Roman" w:eastAsia="Times New Roman" w:hint="default"/>
        </w:rPr>
        <w:t>“</w:t>
      </w:r>
      <w:r>
        <w:rPr/>
        <w:t>中国最好的智慧城市建设与运营服务商</w:t>
      </w:r>
      <w:r>
        <w:rPr>
          <w:rFonts w:ascii="Times New Roman" w:hAnsi="Times New Roman" w:cs="Times New Roman" w:eastAsia="Times New Roman" w:hint="default"/>
        </w:rPr>
        <w:t>”</w:t>
      </w:r>
      <w:r>
        <w:rPr/>
        <w:t>的行业龙头品牌地位。 </w:t>
      </w:r>
      <w:r>
        <w:rPr>
          <w:rFonts w:ascii="宋体" w:hAnsi="宋体" w:cs="宋体" w:eastAsia="宋体" w:hint="default"/>
          <w:b/>
          <w:bCs/>
        </w:rPr>
        <w:t>三、完成了</w:t>
      </w:r>
      <w:r>
        <w:rPr>
          <w:rFonts w:ascii="Times New Roman" w:hAnsi="Times New Roman" w:cs="Times New Roman" w:eastAsia="Times New Roman" w:hint="default"/>
          <w:b/>
          <w:bCs/>
        </w:rPr>
        <w:t>2017</w:t>
      </w:r>
      <w:r>
        <w:rPr>
          <w:rFonts w:ascii="宋体" w:hAnsi="宋体" w:cs="宋体" w:eastAsia="宋体" w:hint="default"/>
          <w:b/>
          <w:bCs/>
        </w:rPr>
        <w:t>年度利润分配</w:t>
      </w:r>
      <w:r>
        <w:rPr>
          <w:rFonts w:ascii="宋体" w:hAnsi="宋体" w:cs="宋体" w:eastAsia="宋体" w:hint="default"/>
          <w:b/>
          <w:bCs/>
          <w:w w:val="99"/>
        </w:rPr>
        <w:t> </w:t>
      </w:r>
      <w:r>
        <w:rPr>
          <w:spacing w:val="-2"/>
        </w:rPr>
        <w:t>经公司</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24</w:t>
      </w:r>
      <w:r>
        <w:rPr>
          <w:spacing w:val="-2"/>
        </w:rPr>
        <w:t>日召开的第七届董事会第十四次会议和</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18</w:t>
      </w:r>
      <w:r>
        <w:rPr>
          <w:spacing w:val="-2"/>
        </w:rPr>
        <w:t>日召开的</w:t>
      </w:r>
      <w:r>
        <w:rPr>
          <w:rFonts w:ascii="Times New Roman" w:hAnsi="Times New Roman" w:cs="Times New Roman" w:eastAsia="Times New Roman" w:hint="default"/>
          <w:spacing w:val="-2"/>
        </w:rPr>
        <w:t>2017</w:t>
      </w:r>
      <w:r>
        <w:rPr>
          <w:spacing w:val="-2"/>
        </w:rPr>
        <w:t>年年度股东大会审议通过了《关于</w:t>
      </w:r>
    </w:p>
    <w:p>
      <w:pPr>
        <w:pStyle w:val="BodyText"/>
        <w:spacing w:line="300" w:lineRule="auto" w:before="13"/>
        <w:ind w:right="1130"/>
        <w:jc w:val="both"/>
      </w:pPr>
      <w:r>
        <w:rPr>
          <w:rFonts w:ascii="Times New Roman" w:hAnsi="Times New Roman" w:cs="Times New Roman" w:eastAsia="Times New Roman" w:hint="default"/>
          <w:spacing w:val="-2"/>
        </w:rPr>
        <w:t>2017</w:t>
      </w:r>
      <w:r>
        <w:rPr>
          <w:spacing w:val="-2"/>
        </w:rPr>
        <w:t>年度利润分配的预案》。</w:t>
      </w:r>
      <w:r>
        <w:rPr>
          <w:rFonts w:ascii="Times New Roman" w:hAnsi="Times New Roman" w:cs="Times New Roman" w:eastAsia="Times New Roman" w:hint="default"/>
          <w:spacing w:val="-2"/>
        </w:rPr>
        <w:t>2017</w:t>
      </w:r>
      <w:r>
        <w:rPr>
          <w:spacing w:val="-2"/>
        </w:rPr>
        <w:t>年度分配预案为：以</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日总股</w:t>
      </w:r>
      <w:r>
        <w:rPr>
          <w:rFonts w:ascii="Times New Roman" w:hAnsi="Times New Roman" w:cs="Times New Roman" w:eastAsia="Times New Roman" w:hint="default"/>
          <w:spacing w:val="-2"/>
        </w:rPr>
        <w:t>703,960,660</w:t>
      </w:r>
      <w:r>
        <w:rPr>
          <w:spacing w:val="-2"/>
        </w:rPr>
        <w:t>股为基数，向全体股东每</w:t>
      </w:r>
      <w:r>
        <w:rPr>
          <w:rFonts w:ascii="Times New Roman" w:hAnsi="Times New Roman" w:cs="Times New Roman" w:eastAsia="Times New Roman" w:hint="default"/>
          <w:spacing w:val="-2"/>
        </w:rPr>
        <w:t>10</w:t>
      </w:r>
      <w:r>
        <w:rPr>
          <w:spacing w:val="-2"/>
        </w:rPr>
        <w:t>股派送现</w:t>
      </w:r>
      <w:r>
        <w:rPr>
          <w:spacing w:val="-37"/>
        </w:rPr>
        <w:t> </w:t>
      </w:r>
      <w:r>
        <w:rPr/>
        <w:t>金股利</w:t>
      </w:r>
      <w:r>
        <w:rPr>
          <w:rFonts w:ascii="Times New Roman" w:hAnsi="Times New Roman" w:cs="Times New Roman" w:eastAsia="Times New Roman" w:hint="default"/>
        </w:rPr>
        <w:t>0.50</w:t>
      </w:r>
      <w:r>
        <w:rPr/>
        <w:t>元（含税），不送红股，不以公积金转增股本，合计派发现金股利</w:t>
      </w:r>
      <w:r>
        <w:rPr>
          <w:rFonts w:ascii="Times New Roman" w:hAnsi="Times New Roman" w:cs="Times New Roman" w:eastAsia="Times New Roman" w:hint="default"/>
        </w:rPr>
        <w:t>35,198,033.00</w:t>
      </w:r>
      <w:r>
        <w:rPr/>
        <w:t>元。剩余未分配利润留待以后年 度分配。报告期内，公司按照利润分配的程序，分别向交易所和登记公司申请办理了利润分配事宜，并于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27</w:t>
      </w:r>
      <w:r>
        <w:rPr/>
        <w:t>日披 露《</w:t>
      </w:r>
      <w:r>
        <w:rPr>
          <w:rFonts w:ascii="Times New Roman" w:hAnsi="Times New Roman" w:cs="Times New Roman" w:eastAsia="Times New Roman" w:hint="default"/>
        </w:rPr>
        <w:t>2017</w:t>
      </w:r>
      <w:r>
        <w:rPr/>
        <w:t>年度权益分配公告》，于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4</w:t>
      </w:r>
      <w:r>
        <w:rPr/>
        <w:t>日完成了分配事宜。</w:t>
      </w:r>
    </w:p>
    <w:p>
      <w:pPr>
        <w:pStyle w:val="BodyText"/>
        <w:spacing w:line="316" w:lineRule="auto" w:before="13"/>
        <w:ind w:left="514" w:right="1152" w:firstLine="1"/>
        <w:jc w:val="left"/>
      </w:pPr>
      <w:r>
        <w:rPr>
          <w:rFonts w:ascii="宋体" w:hAnsi="宋体" w:cs="宋体" w:eastAsia="宋体" w:hint="default"/>
          <w:b/>
          <w:bCs/>
        </w:rPr>
        <w:t>四、完成锁定股份限售解禁工作</w:t>
      </w:r>
      <w:r>
        <w:rPr>
          <w:rFonts w:ascii="宋体" w:hAnsi="宋体" w:cs="宋体" w:eastAsia="宋体" w:hint="default"/>
          <w:b/>
          <w:bCs/>
          <w:w w:val="99"/>
        </w:rPr>
        <w:t> </w:t>
      </w:r>
      <w:r>
        <w:rPr/>
        <w:t>根据公司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月份完成收购中电兴发</w:t>
      </w:r>
      <w:r>
        <w:rPr>
          <w:rFonts w:ascii="Times New Roman" w:hAnsi="Times New Roman" w:cs="Times New Roman" w:eastAsia="Times New Roman" w:hint="default"/>
        </w:rPr>
        <w:t>100%</w:t>
      </w:r>
      <w:r>
        <w:rPr/>
        <w:t>股权，其中通过发行股份</w:t>
      </w:r>
      <w:r>
        <w:rPr>
          <w:rFonts w:ascii="Times New Roman" w:hAnsi="Times New Roman" w:cs="Times New Roman" w:eastAsia="Times New Roman" w:hint="default"/>
        </w:rPr>
        <w:t>211,538,460</w:t>
      </w:r>
      <w:r>
        <w:rPr/>
        <w:t>股，于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28</w:t>
      </w:r>
      <w:r>
        <w:rPr/>
        <w:t>日在深圳证券交</w:t>
      </w:r>
    </w:p>
    <w:p>
      <w:pPr>
        <w:pStyle w:val="BodyText"/>
        <w:spacing w:line="300" w:lineRule="auto" w:before="0"/>
        <w:ind w:right="1132"/>
        <w:jc w:val="both"/>
      </w:pPr>
      <w:r>
        <w:rPr/>
        <w:t>易所上市，该次解除限售股份可上市流通日为分别为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29</w:t>
      </w:r>
      <w:r>
        <w:rPr/>
        <w:t>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30</w:t>
      </w:r>
      <w:r>
        <w:rPr/>
        <w:t>日和</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28</w:t>
      </w:r>
      <w:r>
        <w:rPr/>
        <w:t>日。公司按照证监会、 </w:t>
      </w:r>
      <w:r>
        <w:rPr>
          <w:spacing w:val="-3"/>
        </w:rPr>
        <w:t>深交所以及登记结算公司的相关规定和股份解禁程序，于</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28</w:t>
      </w:r>
      <w:r>
        <w:rPr>
          <w:spacing w:val="-3"/>
        </w:rPr>
        <w:t>日成功完成解除限售并在深交所上市流通。至此，</w:t>
      </w:r>
      <w:r>
        <w:rPr>
          <w:rFonts w:ascii="Times New Roman" w:hAnsi="Times New Roman" w:cs="Times New Roman" w:eastAsia="Times New Roman" w:hint="default"/>
          <w:spacing w:val="-3"/>
        </w:rPr>
        <w:t>2015</w:t>
      </w:r>
      <w:r>
        <w:rPr>
          <w:rFonts w:ascii="Times New Roman" w:hAnsi="Times New Roman" w:cs="Times New Roman" w:eastAsia="Times New Roman" w:hint="default"/>
          <w:spacing w:val="-39"/>
        </w:rPr>
        <w:t> </w:t>
      </w:r>
      <w:r>
        <w:rPr/>
        <w:t>年因重大资产重组产生的非公开发行的股份全部解除限售并在深交所上市流通。</w:t>
      </w:r>
    </w:p>
    <w:p>
      <w:pPr>
        <w:pStyle w:val="Heading5"/>
        <w:spacing w:line="240" w:lineRule="auto" w:before="31"/>
        <w:ind w:left="385" w:right="0"/>
        <w:jc w:val="left"/>
        <w:rPr>
          <w:b w:val="0"/>
          <w:bCs w:val="0"/>
        </w:rPr>
      </w:pPr>
      <w:r>
        <w:rPr/>
        <w:t>五、回购股份情况</w:t>
      </w:r>
      <w:r>
        <w:rPr>
          <w:b w:val="0"/>
          <w:bCs w:val="0"/>
        </w:rPr>
      </w:r>
    </w:p>
    <w:p>
      <w:pPr>
        <w:pStyle w:val="Heading5"/>
        <w:spacing w:line="240" w:lineRule="auto" w:before="76"/>
        <w:ind w:right="0"/>
        <w:jc w:val="left"/>
        <w:rPr>
          <w:b w:val="0"/>
          <w:bCs w:val="0"/>
        </w:rPr>
      </w:pPr>
      <w:r>
        <w:rPr/>
        <w:t>（一）首次股份回购</w:t>
      </w:r>
      <w:r>
        <w:rPr>
          <w:b w:val="0"/>
          <w:bCs w:val="0"/>
        </w:rPr>
      </w:r>
    </w:p>
    <w:p>
      <w:pPr>
        <w:pStyle w:val="BodyText"/>
        <w:spacing w:line="304" w:lineRule="auto" w:before="76"/>
        <w:ind w:right="1122" w:firstLine="360"/>
        <w:jc w:val="left"/>
      </w:pPr>
      <w:r>
        <w:rPr>
          <w:rFonts w:ascii="Times New Roman" w:hAnsi="Times New Roman" w:cs="Times New Roman" w:eastAsia="Times New Roman" w:hint="default"/>
        </w:rPr>
        <w:t>1</w:t>
      </w:r>
      <w:r>
        <w:rPr/>
        <w:t>、为了稳定投资者的投资预期，维护广大投资者利益，增强投资者对公司的投资信心，维护公司股价，切实提高公司 </w:t>
      </w:r>
      <w:r>
        <w:rPr>
          <w:spacing w:val="-2"/>
        </w:rPr>
        <w:t>股东的投资回报。公司按照证监会《上市公司回购社会公众股份管理办法（试行）》、《关于上市公司以集中竞价交易方式</w:t>
      </w:r>
      <w:r>
        <w:rPr>
          <w:spacing w:val="-69"/>
        </w:rPr>
        <w:t> </w:t>
      </w:r>
      <w:r>
        <w:rPr>
          <w:spacing w:val="-69"/>
        </w:rPr>
      </w:r>
      <w:r>
        <w:rPr/>
        <w:t>回购股份的补充规定》、《深圳证券交易所上市公司以集中竞价方式回购股份业务指引》等法律法规的规定，分别于</w:t>
      </w:r>
      <w:r>
        <w:rPr>
          <w:rFonts w:ascii="Times New Roman" w:hAnsi="Times New Roman" w:cs="Times New Roman" w:eastAsia="Times New Roman" w:hint="default"/>
        </w:rPr>
        <w:t>2018 </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5</w:t>
      </w:r>
      <w:r>
        <w:rPr/>
        <w:t>日召开的第七届董事会第十三次会议、</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23</w:t>
      </w:r>
      <w:r>
        <w:rPr/>
        <w:t>日召开的</w:t>
      </w:r>
      <w:r>
        <w:rPr>
          <w:rFonts w:ascii="Times New Roman" w:hAnsi="Times New Roman" w:cs="Times New Roman" w:eastAsia="Times New Roman" w:hint="default"/>
        </w:rPr>
        <w:t>2018</w:t>
      </w:r>
      <w:r>
        <w:rPr/>
        <w:t>年第一次临时股东大会审议通过《关于以集中竞价 交易方式回购公司股份的预案》，拟以不低于人民币</w:t>
      </w:r>
      <w:r>
        <w:rPr>
          <w:rFonts w:ascii="Times New Roman" w:hAnsi="Times New Roman" w:cs="Times New Roman" w:eastAsia="Times New Roman" w:hint="default"/>
        </w:rPr>
        <w:t>9,000</w:t>
      </w:r>
      <w:r>
        <w:rPr/>
        <w:t>万元（含</w:t>
      </w:r>
      <w:r>
        <w:rPr>
          <w:rFonts w:ascii="Times New Roman" w:hAnsi="Times New Roman" w:cs="Times New Roman" w:eastAsia="Times New Roman" w:hint="default"/>
        </w:rPr>
        <w:t>9,000</w:t>
      </w:r>
      <w:r>
        <w:rPr/>
        <w:t>万元）、不超过人民币</w:t>
      </w:r>
      <w:r>
        <w:rPr>
          <w:rFonts w:ascii="Times New Roman" w:hAnsi="Times New Roman" w:cs="Times New Roman" w:eastAsia="Times New Roman" w:hint="default"/>
        </w:rPr>
        <w:t>1</w:t>
      </w:r>
      <w:r>
        <w:rPr/>
        <w:t>亿元（含</w:t>
      </w:r>
      <w:r>
        <w:rPr>
          <w:rFonts w:ascii="Times New Roman" w:hAnsi="Times New Roman" w:cs="Times New Roman" w:eastAsia="Times New Roman" w:hint="default"/>
        </w:rPr>
        <w:t>1</w:t>
      </w:r>
      <w:r>
        <w:rPr/>
        <w:t>亿元）的金额进 行回购；</w:t>
      </w:r>
    </w:p>
    <w:p>
      <w:pPr>
        <w:pStyle w:val="BodyText"/>
        <w:spacing w:line="300" w:lineRule="auto" w:before="28"/>
        <w:ind w:right="1132" w:firstLine="360"/>
        <w:jc w:val="both"/>
      </w:pPr>
      <w:r>
        <w:rPr>
          <w:rFonts w:ascii="Times New Roman" w:hAnsi="Times New Roman" w:cs="Times New Roman" w:eastAsia="Times New Roman" w:hint="default"/>
        </w:rPr>
        <w:t>2</w:t>
      </w:r>
      <w:r>
        <w:rPr/>
        <w:t>、报告期内，公司按照回购股份的相关规定，公司分别于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19</w:t>
      </w:r>
      <w:r>
        <w:rPr/>
        <w:t>日和</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23</w:t>
      </w:r>
      <w:r>
        <w:rPr/>
        <w:t>日，披露了《关于回购股票事 </w:t>
      </w:r>
      <w:r>
        <w:rPr>
          <w:spacing w:val="-2"/>
        </w:rPr>
        <w:t>项前十名股东持股信息的公告》和《关于回购股份的债权人通知的公告》；分别于</w:t>
      </w:r>
      <w:r>
        <w:rPr>
          <w:rFonts w:ascii="Times New Roman" w:hAnsi="Times New Roman" w:cs="Times New Roman" w:eastAsia="Times New Roman" w:hint="default"/>
          <w:spacing w:val="-2"/>
        </w:rPr>
        <w:t>2018</w:t>
      </w:r>
      <w:r>
        <w:rPr>
          <w:rFonts w:ascii="Times New Roman" w:hAnsi="Times New Roman" w:cs="Times New Roman" w:eastAsia="Times New Roman" w:hint="default"/>
          <w:spacing w:val="32"/>
        </w:rPr>
        <w:t> </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4</w:t>
      </w:r>
      <w:r>
        <w:rPr>
          <w:spacing w:val="-2"/>
        </w:rPr>
        <w:t>日、</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4</w:t>
      </w:r>
      <w:r>
        <w:rPr>
          <w:spacing w:val="-2"/>
        </w:rPr>
        <w:t>日、</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8</w:t>
      </w:r>
      <w:r>
        <w:rPr>
          <w:rFonts w:ascii="Times New Roman" w:hAnsi="Times New Roman" w:cs="Times New Roman" w:eastAsia="Times New Roman" w:hint="default"/>
          <w:spacing w:val="-39"/>
        </w:rPr>
        <w:t> </w:t>
      </w:r>
      <w:r>
        <w:rPr/>
        <w:t>月</w:t>
      </w:r>
      <w:r>
        <w:rPr>
          <w:rFonts w:ascii="Times New Roman" w:hAnsi="Times New Roman" w:cs="Times New Roman" w:eastAsia="Times New Roman" w:hint="default"/>
        </w:rPr>
        <w:t>2</w:t>
      </w:r>
      <w:r>
        <w:rPr/>
        <w:t>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4</w:t>
      </w:r>
      <w:r>
        <w:rPr/>
        <w:t>日及时披露了《关于回购的股份的进展公告》；</w:t>
      </w:r>
    </w:p>
    <w:p>
      <w:pPr>
        <w:pStyle w:val="BodyText"/>
        <w:spacing w:line="300" w:lineRule="auto" w:before="13"/>
        <w:ind w:right="1140" w:firstLine="360"/>
        <w:jc w:val="both"/>
      </w:pPr>
      <w:r>
        <w:rPr>
          <w:rFonts w:ascii="Times New Roman" w:hAnsi="Times New Roman" w:cs="Times New Roman" w:eastAsia="Times New Roman" w:hint="default"/>
        </w:rPr>
        <w:t>3</w:t>
      </w:r>
      <w:r>
        <w:rPr/>
        <w:t>、截止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14</w:t>
      </w:r>
      <w:r>
        <w:rPr/>
        <w:t>日，公司累计通过股票回购专用证券账户以集中竞价交易方式回购股份数量</w:t>
      </w:r>
      <w:r>
        <w:rPr>
          <w:rFonts w:ascii="Times New Roman" w:hAnsi="Times New Roman" w:cs="Times New Roman" w:eastAsia="Times New Roman" w:hint="default"/>
        </w:rPr>
        <w:t>12,454,745</w:t>
      </w:r>
      <w:r>
        <w:rPr/>
        <w:t>股，占公司 总股本的</w:t>
      </w:r>
      <w:r>
        <w:rPr>
          <w:rFonts w:ascii="Times New Roman" w:hAnsi="Times New Roman" w:cs="Times New Roman" w:eastAsia="Times New Roman" w:hint="default"/>
        </w:rPr>
        <w:t>1.77%</w:t>
      </w:r>
      <w:r>
        <w:rPr/>
        <w:t>，最高成交价为</w:t>
      </w:r>
      <w:r>
        <w:rPr>
          <w:rFonts w:ascii="Times New Roman" w:hAnsi="Times New Roman" w:cs="Times New Roman" w:eastAsia="Times New Roman" w:hint="default"/>
        </w:rPr>
        <w:t>8.65</w:t>
      </w:r>
      <w:r>
        <w:rPr/>
        <w:t>元</w:t>
      </w:r>
      <w:r>
        <w:rPr>
          <w:rFonts w:ascii="Times New Roman" w:hAnsi="Times New Roman" w:cs="Times New Roman" w:eastAsia="Times New Roman" w:hint="default"/>
        </w:rPr>
        <w:t>/</w:t>
      </w:r>
      <w:r>
        <w:rPr/>
        <w:t>股，最低成交价为</w:t>
      </w:r>
      <w:r>
        <w:rPr>
          <w:rFonts w:ascii="Times New Roman" w:hAnsi="Times New Roman" w:cs="Times New Roman" w:eastAsia="Times New Roman" w:hint="default"/>
        </w:rPr>
        <w:t>6.53</w:t>
      </w:r>
      <w:r>
        <w:rPr/>
        <w:t>元</w:t>
      </w:r>
      <w:r>
        <w:rPr>
          <w:rFonts w:ascii="Times New Roman" w:hAnsi="Times New Roman" w:cs="Times New Roman" w:eastAsia="Times New Roman" w:hint="default"/>
        </w:rPr>
        <w:t>/</w:t>
      </w:r>
      <w:r>
        <w:rPr/>
        <w:t>股，回购总金额为</w:t>
      </w:r>
      <w:r>
        <w:rPr>
          <w:rFonts w:ascii="Times New Roman" w:hAnsi="Times New Roman" w:cs="Times New Roman" w:eastAsia="Times New Roman" w:hint="default"/>
        </w:rPr>
        <w:t>90,027,336.01</w:t>
      </w:r>
      <w:r>
        <w:rPr/>
        <w:t>元（含交易费用），本次回 购股份事项已实施完毕，并于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17</w:t>
      </w:r>
      <w:r>
        <w:rPr/>
        <w:t>日披露了《关于回购公司股份完成及股份变动报告的公告》；</w:t>
      </w:r>
    </w:p>
    <w:p>
      <w:pPr>
        <w:pStyle w:val="BodyText"/>
        <w:spacing w:line="300" w:lineRule="auto" w:before="13"/>
        <w:ind w:right="0" w:firstLine="360"/>
        <w:jc w:val="left"/>
      </w:pP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9</w:t>
      </w:r>
      <w:r>
        <w:rPr>
          <w:spacing w:val="-2"/>
        </w:rPr>
        <w:t>日，公司已在中国证券登记结算有限责任公司深圳分公司办理完毕上述</w:t>
      </w:r>
      <w:r>
        <w:rPr>
          <w:rFonts w:ascii="Times New Roman" w:hAnsi="Times New Roman" w:cs="Times New Roman" w:eastAsia="Times New Roman" w:hint="default"/>
          <w:spacing w:val="-2"/>
        </w:rPr>
        <w:t>12,454,745</w:t>
      </w:r>
      <w:r>
        <w:rPr>
          <w:spacing w:val="-2"/>
        </w:rPr>
        <w:t>股回购股份注销手续，</w:t>
      </w:r>
      <w:r>
        <w:rPr/>
        <w:t> </w:t>
      </w:r>
      <w:r>
        <w:rPr>
          <w:spacing w:val="-2"/>
        </w:rPr>
        <w:t>并于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10</w:t>
      </w:r>
      <w:r>
        <w:rPr>
          <w:spacing w:val="-2"/>
        </w:rPr>
        <w:t>日披露了《关于回购股份注销完成暨股份变动的公告》。本次注销完成后，公司股份总额、股份结构相应</w:t>
      </w:r>
      <w:r>
        <w:rPr>
          <w:spacing w:val="-58"/>
        </w:rPr>
        <w:t> </w:t>
      </w:r>
      <w:r>
        <w:rPr>
          <w:spacing w:val="-58"/>
        </w:rPr>
      </w:r>
      <w:r>
        <w:rPr/>
        <w:t>发生变化，截止披露日，公司已经完成了工商变更相关手续，公司注册资本由</w:t>
      </w:r>
      <w:r>
        <w:rPr>
          <w:rFonts w:ascii="Times New Roman" w:hAnsi="Times New Roman" w:cs="Times New Roman" w:eastAsia="Times New Roman" w:hint="default"/>
        </w:rPr>
        <w:t>703,960,660</w:t>
      </w:r>
      <w:r>
        <w:rPr/>
        <w:t>元减少至</w:t>
      </w:r>
      <w:r>
        <w:rPr>
          <w:rFonts w:ascii="Times New Roman" w:hAnsi="Times New Roman" w:cs="Times New Roman" w:eastAsia="Times New Roman" w:hint="default"/>
        </w:rPr>
        <w:t>691,505,915</w:t>
      </w:r>
      <w:r>
        <w:rPr/>
        <w:t>元。</w:t>
      </w:r>
    </w:p>
    <w:p>
      <w:pPr>
        <w:pStyle w:val="Heading5"/>
        <w:spacing w:line="240" w:lineRule="auto" w:before="13"/>
        <w:ind w:right="0"/>
        <w:jc w:val="left"/>
        <w:rPr>
          <w:b w:val="0"/>
          <w:bCs w:val="0"/>
        </w:rPr>
      </w:pPr>
      <w:r>
        <w:rPr/>
        <w:t>（二）第二次股份回购</w:t>
      </w:r>
      <w:r>
        <w:rPr>
          <w:b w:val="0"/>
          <w:bCs w:val="0"/>
        </w:rPr>
      </w:r>
    </w:p>
    <w:p>
      <w:pPr>
        <w:pStyle w:val="BodyText"/>
        <w:spacing w:line="300" w:lineRule="auto" w:before="76"/>
        <w:ind w:right="1130" w:firstLine="360"/>
        <w:jc w:val="both"/>
      </w:pPr>
      <w:r>
        <w:rPr>
          <w:rFonts w:ascii="Times New Roman" w:hAnsi="Times New Roman" w:cs="Times New Roman" w:eastAsia="Times New Roman" w:hint="default"/>
        </w:rPr>
        <w:t>1</w:t>
      </w:r>
      <w:r>
        <w:rPr/>
        <w:t>、为了继续稳定投资者的投资预期，维护广大投资者利益，增强投资者对公司的投资信心，维护公司股价，切实提高 </w:t>
      </w:r>
      <w:r>
        <w:rPr>
          <w:spacing w:val="-2"/>
        </w:rPr>
        <w:t>公司股东的投资回报。分别于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18</w:t>
      </w:r>
      <w:r>
        <w:rPr>
          <w:spacing w:val="-2"/>
        </w:rPr>
        <w:t>日召开的第七届董事会第十八次会议、</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13</w:t>
      </w:r>
      <w:r>
        <w:rPr>
          <w:spacing w:val="-2"/>
        </w:rPr>
        <w:t>日召开的</w:t>
      </w:r>
      <w:r>
        <w:rPr>
          <w:rFonts w:ascii="Times New Roman" w:hAnsi="Times New Roman" w:cs="Times New Roman" w:eastAsia="Times New Roman" w:hint="default"/>
          <w:spacing w:val="-2"/>
        </w:rPr>
        <w:t>2018</w:t>
      </w:r>
      <w:r>
        <w:rPr>
          <w:spacing w:val="-2"/>
        </w:rPr>
        <w:t>年第四次临时</w:t>
      </w:r>
      <w:r>
        <w:rPr>
          <w:spacing w:val="-44"/>
        </w:rPr>
        <w:t> </w:t>
      </w:r>
      <w:r>
        <w:rPr>
          <w:spacing w:val="-1"/>
        </w:rPr>
        <w:t>股东大会审议通过《关于以集中竞价交易方式回购公司股份的预案》，拟以不低于人民币</w:t>
      </w:r>
      <w:r>
        <w:rPr>
          <w:rFonts w:ascii="Times New Roman" w:hAnsi="Times New Roman" w:cs="Times New Roman" w:eastAsia="Times New Roman" w:hint="default"/>
          <w:spacing w:val="-1"/>
        </w:rPr>
        <w:t>1.5</w:t>
      </w:r>
      <w:r>
        <w:rPr>
          <w:spacing w:val="-1"/>
        </w:rPr>
        <w:t>亿元、不超过人民币</w:t>
      </w:r>
      <w:r>
        <w:rPr>
          <w:rFonts w:ascii="Times New Roman" w:hAnsi="Times New Roman" w:cs="Times New Roman" w:eastAsia="Times New Roman" w:hint="default"/>
          <w:spacing w:val="-1"/>
        </w:rPr>
        <w:t>3</w:t>
      </w:r>
      <w:r>
        <w:rPr>
          <w:spacing w:val="-1"/>
        </w:rPr>
        <w:t>亿元的金</w:t>
      </w:r>
      <w:r>
        <w:rPr>
          <w:spacing w:val="-74"/>
        </w:rPr>
        <w:t> </w:t>
      </w:r>
      <w:r>
        <w:rPr>
          <w:spacing w:val="-74"/>
        </w:rPr>
      </w:r>
      <w:r>
        <w:rPr/>
        <w:t>额进行回购。公司旨在通过制定此股份回购计划，体现公司对长期内在价值的坚定信心，提升投资者对公司的投资信心。</w:t>
      </w:r>
    </w:p>
    <w:p>
      <w:pPr>
        <w:pStyle w:val="BodyText"/>
        <w:spacing w:line="240" w:lineRule="auto" w:before="31"/>
        <w:ind w:left="514" w:right="0"/>
        <w:jc w:val="left"/>
      </w:pPr>
      <w:r>
        <w:rPr>
          <w:rFonts w:ascii="Times New Roman" w:hAnsi="Times New Roman" w:cs="Times New Roman" w:eastAsia="Times New Roman" w:hint="default"/>
        </w:rPr>
        <w:t>2</w:t>
      </w:r>
      <w:r>
        <w:rPr/>
        <w:t>、在回购期间内，公司及时履行了信息披露义务。</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27</w:t>
      </w:r>
      <w:r>
        <w:rPr/>
        <w:t>日披露了《关于回购公司股份比例达到</w:t>
      </w:r>
      <w:r>
        <w:rPr>
          <w:spacing w:val="-56"/>
        </w:rPr>
        <w:t> </w:t>
      </w:r>
      <w:r>
        <w:rPr>
          <w:rFonts w:ascii="Times New Roman" w:hAnsi="Times New Roman" w:cs="Times New Roman" w:eastAsia="Times New Roman" w:hint="default"/>
        </w:rPr>
        <w:t>1%</w:t>
      </w:r>
      <w:r>
        <w:rPr/>
        <w:t>的公告》、</w:t>
      </w:r>
    </w:p>
    <w:p>
      <w:pPr>
        <w:pStyle w:val="BodyText"/>
        <w:spacing w:line="240" w:lineRule="auto" w:before="63"/>
        <w:ind w:right="0"/>
        <w:jc w:val="both"/>
        <w:rPr>
          <w:rFonts w:ascii="Times New Roman" w:hAnsi="Times New Roman" w:cs="Times New Roman" w:eastAsia="Times New Roman" w:hint="default"/>
        </w:rPr>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w:t>
      </w:r>
      <w:r>
        <w:rPr/>
        <w:t>日披露了《关于回购公司股份比例达到 </w:t>
      </w:r>
      <w:r>
        <w:rPr>
          <w:rFonts w:ascii="Times New Roman" w:hAnsi="Times New Roman" w:cs="Times New Roman" w:eastAsia="Times New Roman" w:hint="default"/>
        </w:rPr>
        <w:t>2%</w:t>
      </w:r>
      <w:r>
        <w:rPr/>
        <w:t>的公告》、</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5</w:t>
      </w:r>
      <w:r>
        <w:rPr/>
        <w:t>日披露了《关于回购公司股份比例达到</w:t>
      </w:r>
      <w:r>
        <w:rPr>
          <w:spacing w:val="-36"/>
        </w:rPr>
        <w:t> </w:t>
      </w:r>
      <w:r>
        <w:rPr>
          <w:rFonts w:ascii="Times New Roman" w:hAnsi="Times New Roman" w:cs="Times New Roman" w:eastAsia="Times New Roman" w:hint="default"/>
        </w:rPr>
        <w:t>3%</w:t>
      </w:r>
    </w:p>
    <w:p>
      <w:pPr>
        <w:pStyle w:val="BodyText"/>
        <w:spacing w:line="240" w:lineRule="auto" w:before="63"/>
        <w:ind w:right="0"/>
        <w:jc w:val="both"/>
      </w:pPr>
      <w:r>
        <w:rPr/>
        <w:t>暨回购进展公告》。</w:t>
      </w:r>
    </w:p>
    <w:p>
      <w:pPr>
        <w:pStyle w:val="BodyText"/>
        <w:spacing w:line="300" w:lineRule="auto" w:before="76"/>
        <w:ind w:right="1130" w:firstLine="360"/>
        <w:jc w:val="both"/>
      </w:pPr>
      <w:r>
        <w:rPr>
          <w:rFonts w:ascii="Times New Roman" w:hAnsi="Times New Roman" w:cs="Times New Roman" w:eastAsia="Times New Roman" w:hint="default"/>
          <w:spacing w:val="-1"/>
        </w:rPr>
        <w:t>3</w:t>
      </w:r>
      <w:r>
        <w:rPr>
          <w:spacing w:val="-1"/>
        </w:rPr>
        <w:t>、截止</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5</w:t>
      </w:r>
      <w:r>
        <w:rPr>
          <w:spacing w:val="-1"/>
        </w:rPr>
        <w:t>日，公司累计通过股票回购专用证券账户以集中竞价交易方式回购股份数量</w:t>
      </w:r>
      <w:r>
        <w:rPr>
          <w:spacing w:val="-8"/>
        </w:rPr>
        <w:t> </w:t>
      </w:r>
      <w:r>
        <w:rPr>
          <w:rFonts w:ascii="Times New Roman" w:hAnsi="Times New Roman" w:cs="Times New Roman" w:eastAsia="Times New Roman" w:hint="default"/>
          <w:spacing w:val="-2"/>
        </w:rPr>
        <w:t>22,782,295</w:t>
      </w:r>
      <w:r>
        <w:rPr>
          <w:spacing w:val="-2"/>
        </w:rPr>
        <w:t>股，占公司</w:t>
      </w:r>
      <w:r>
        <w:rPr/>
        <w:t> 总股本的</w:t>
      </w:r>
      <w:r>
        <w:rPr>
          <w:rFonts w:ascii="Times New Roman" w:hAnsi="Times New Roman" w:cs="Times New Roman" w:eastAsia="Times New Roman" w:hint="default"/>
        </w:rPr>
        <w:t>3.29%</w:t>
      </w:r>
      <w:r>
        <w:rPr/>
        <w:t>，最高成交价为</w:t>
      </w:r>
      <w:r>
        <w:rPr>
          <w:rFonts w:ascii="Times New Roman" w:hAnsi="Times New Roman" w:cs="Times New Roman" w:eastAsia="Times New Roman" w:hint="default"/>
        </w:rPr>
        <w:t>7.00</w:t>
      </w:r>
      <w:r>
        <w:rPr/>
        <w:t>元</w:t>
      </w:r>
      <w:r>
        <w:rPr>
          <w:rFonts w:ascii="Times New Roman" w:hAnsi="Times New Roman" w:cs="Times New Roman" w:eastAsia="Times New Roman" w:hint="default"/>
        </w:rPr>
        <w:t>/</w:t>
      </w:r>
      <w:r>
        <w:rPr/>
        <w:t>股，最低成交价为</w:t>
      </w:r>
      <w:r>
        <w:rPr>
          <w:rFonts w:ascii="Times New Roman" w:hAnsi="Times New Roman" w:cs="Times New Roman" w:eastAsia="Times New Roman" w:hint="default"/>
        </w:rPr>
        <w:t>6.19</w:t>
      </w:r>
      <w:r>
        <w:rPr/>
        <w:t>元</w:t>
      </w:r>
      <w:r>
        <w:rPr>
          <w:rFonts w:ascii="Times New Roman" w:hAnsi="Times New Roman" w:cs="Times New Roman" w:eastAsia="Times New Roman" w:hint="default"/>
        </w:rPr>
        <w:t>/</w:t>
      </w:r>
      <w:r>
        <w:rPr/>
        <w:t>股，回购总金额为</w:t>
      </w:r>
      <w:r>
        <w:rPr>
          <w:spacing w:val="-22"/>
        </w:rPr>
        <w:t> </w:t>
      </w:r>
      <w:r>
        <w:rPr>
          <w:rFonts w:ascii="Times New Roman" w:hAnsi="Times New Roman" w:cs="Times New Roman" w:eastAsia="Times New Roman" w:hint="default"/>
        </w:rPr>
        <w:t>150,033,637.57</w:t>
      </w:r>
      <w:r>
        <w:rPr/>
        <w:t>元（不含交易费用），本 次回购股份事项已实施完毕，并于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6</w:t>
      </w:r>
      <w:r>
        <w:rPr/>
        <w:t>日披露了《关于公司回购股份实施完成的公告》。</w:t>
      </w:r>
    </w:p>
    <w:p>
      <w:pPr>
        <w:pStyle w:val="BodyText"/>
        <w:spacing w:line="312" w:lineRule="auto" w:before="13"/>
        <w:ind w:right="1131" w:firstLine="360"/>
        <w:jc w:val="both"/>
      </w:pPr>
      <w:r>
        <w:rPr>
          <w:rFonts w:ascii="Times New Roman" w:hAnsi="Times New Roman" w:cs="Times New Roman" w:eastAsia="Times New Roman" w:hint="default"/>
        </w:rPr>
        <w:t>4</w:t>
      </w:r>
      <w:r>
        <w:rPr/>
        <w:t>、截至本报告披露日，公司于</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日召开的第八届董事会第二次会议审议通过了《关于确定回购股份用途 </w:t>
      </w:r>
      <w:r>
        <w:rPr>
          <w:spacing w:val="-2"/>
        </w:rPr>
        <w:t>的议案》，确定将本次回购的股份全部用于员工持股计划，旨在为了进一步实现公司做稳、做强、做大，充分发挥公司回购</w:t>
      </w:r>
      <w:r>
        <w:rPr>
          <w:spacing w:val="-70"/>
        </w:rPr>
        <w:t> </w:t>
      </w:r>
      <w:r>
        <w:rPr>
          <w:spacing w:val="-70"/>
        </w:rPr>
      </w:r>
      <w:r>
        <w:rPr>
          <w:spacing w:val="-2"/>
        </w:rPr>
        <w:t>股份用途的积极促进作用，建立和完善员工、股东的利益共享机制。根据公司发展战略，将使用已回购的股份用于实施员工</w:t>
      </w:r>
      <w:r>
        <w:rPr>
          <w:spacing w:val="-66"/>
        </w:rPr>
        <w:t> </w:t>
      </w:r>
      <w:r>
        <w:rPr>
          <w:spacing w:val="-66"/>
        </w:rPr>
      </w:r>
      <w:r>
        <w:rPr>
          <w:spacing w:val="-2"/>
        </w:rPr>
        <w:t>持股计划，提高职工的凝聚力和公司竞争力，调动员工的积极性和创造性，激励个人与公司共同分享企业发展的成果，促进</w:t>
      </w:r>
    </w:p>
    <w:p>
      <w:pPr>
        <w:spacing w:after="0" w:line="312"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line="316" w:lineRule="auto" w:before="44"/>
        <w:ind w:left="515" w:right="8233" w:hanging="362"/>
        <w:jc w:val="left"/>
        <w:rPr>
          <w:rFonts w:ascii="宋体" w:hAnsi="宋体" w:cs="宋体" w:eastAsia="宋体" w:hint="default"/>
          <w:sz w:val="18"/>
          <w:szCs w:val="18"/>
        </w:rPr>
      </w:pPr>
      <w:r>
        <w:rPr>
          <w:rFonts w:ascii="宋体" w:hAnsi="宋体" w:cs="宋体" w:eastAsia="宋体" w:hint="default"/>
          <w:sz w:val="18"/>
          <w:szCs w:val="18"/>
        </w:rPr>
        <w:t>公司长期、稳定、健康的发展。 </w:t>
      </w:r>
      <w:r>
        <w:rPr>
          <w:rFonts w:ascii="宋体" w:hAnsi="宋体" w:cs="宋体" w:eastAsia="宋体" w:hint="default"/>
          <w:b/>
          <w:bCs/>
          <w:sz w:val="18"/>
          <w:szCs w:val="18"/>
        </w:rPr>
        <w:t>六、募集资金进展情况</w:t>
      </w:r>
      <w:r>
        <w:rPr>
          <w:rFonts w:ascii="宋体" w:hAnsi="宋体" w:cs="宋体" w:eastAsia="宋体" w:hint="default"/>
          <w:sz w:val="18"/>
          <w:szCs w:val="18"/>
        </w:rPr>
      </w:r>
    </w:p>
    <w:p>
      <w:pPr>
        <w:pStyle w:val="BodyText"/>
        <w:spacing w:line="300" w:lineRule="auto" w:before="19"/>
        <w:ind w:right="1141" w:firstLine="360"/>
        <w:jc w:val="both"/>
      </w:pPr>
      <w:r>
        <w:rPr/>
        <w:t>（一）公司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18</w:t>
      </w:r>
      <w:r>
        <w:rPr/>
        <w:t>日召开的第七届董事会第八次会议和第七届监事会第六次会议审议通过了《关于继续使用部分 闲置募集资金暂时补充流动资金的议案》，同意公司使用总额不超过人民币</w:t>
      </w:r>
      <w:r>
        <w:rPr>
          <w:rFonts w:ascii="Times New Roman" w:hAnsi="Times New Roman" w:cs="Times New Roman" w:eastAsia="Times New Roman" w:hint="default"/>
        </w:rPr>
        <w:t>450,000,000.00</w:t>
      </w:r>
      <w:r>
        <w:rPr/>
        <w:t>元的闲置募集资金暂时补充流动 资金。报告期内，公司已将上述资金归还至募集资金专项账户。</w:t>
      </w:r>
    </w:p>
    <w:p>
      <w:pPr>
        <w:pStyle w:val="BodyText"/>
        <w:spacing w:line="240" w:lineRule="auto" w:before="31"/>
        <w:ind w:left="514" w:right="0"/>
        <w:jc w:val="left"/>
      </w:pPr>
      <w:r>
        <w:rPr/>
        <w:t>（二）使用部分闲置募集资金购买保本型理财产品</w:t>
      </w:r>
    </w:p>
    <w:p>
      <w:pPr>
        <w:pStyle w:val="BodyText"/>
        <w:spacing w:line="300" w:lineRule="auto" w:before="76"/>
        <w:ind w:right="0" w:firstLine="360"/>
        <w:jc w:val="left"/>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24</w:t>
      </w:r>
      <w:r>
        <w:rPr>
          <w:spacing w:val="-2"/>
        </w:rPr>
        <w:t>日公司第七届董事会第十二次会议审议通过了《关于使用部分闲置募集资金购买保本型理财产品的议案》，</w:t>
      </w:r>
      <w:r>
        <w:rPr/>
        <w:t> 使用额度不超过</w:t>
      </w:r>
      <w:r>
        <w:rPr>
          <w:rFonts w:ascii="Times New Roman" w:hAnsi="Times New Roman" w:cs="Times New Roman" w:eastAsia="Times New Roman" w:hint="default"/>
        </w:rPr>
        <w:t>8.1</w:t>
      </w:r>
      <w:r>
        <w:rPr/>
        <w:t>亿元（上述额度内，资金可以滚动使用）投资于安全性高、流动性好、有保本约定、发行主体为商业银 行的投资产品，投资类型包括购买保本型理财产品、结构性存款或用于定期存单、协定存款等</w:t>
      </w:r>
      <w:r>
        <w:rPr>
          <w:rFonts w:ascii="Times New Roman" w:hAnsi="Times New Roman" w:cs="Times New Roman" w:eastAsia="Times New Roman" w:hint="default"/>
        </w:rPr>
        <w:t>,</w:t>
      </w:r>
      <w:r>
        <w:rPr/>
        <w:t>购买上述理财产品的期限不 </w:t>
      </w:r>
      <w:r>
        <w:rPr>
          <w:spacing w:val="-2"/>
        </w:rPr>
        <w:t>超过</w:t>
      </w:r>
      <w:r>
        <w:rPr>
          <w:rFonts w:ascii="Times New Roman" w:hAnsi="Times New Roman" w:cs="Times New Roman" w:eastAsia="Times New Roman" w:hint="default"/>
          <w:spacing w:val="-2"/>
        </w:rPr>
        <w:t>12</w:t>
      </w:r>
      <w:r>
        <w:rPr>
          <w:spacing w:val="-2"/>
        </w:rPr>
        <w:t>个月。截至本报告披露日，公司披露了《关于使用部分闲置募集资金购买银行保本型理财产品到期赎回的公告》，上</w:t>
      </w:r>
      <w:r>
        <w:rPr>
          <w:spacing w:val="-65"/>
        </w:rPr>
        <w:t> </w:t>
      </w:r>
      <w:r>
        <w:rPr>
          <w:spacing w:val="-65"/>
        </w:rPr>
      </w:r>
      <w:r>
        <w:rPr/>
        <w:t>述本金和理财收益已全部划至募集资金专用账户。</w:t>
      </w:r>
    </w:p>
    <w:p>
      <w:pPr>
        <w:pStyle w:val="BodyText"/>
        <w:spacing w:line="316" w:lineRule="auto" w:before="31"/>
        <w:ind w:left="514" w:right="0"/>
        <w:jc w:val="left"/>
      </w:pPr>
      <w:r>
        <w:rPr/>
        <w:t>（三）变更部分非公开发行募集资金投向用于永久性补充流动资金 </w:t>
      </w:r>
      <w:r>
        <w:rPr>
          <w:spacing w:val="-2"/>
        </w:rPr>
        <w:t>主要受公司目标市场相关行业补贴政策细则落地实施时间的影响，新能源汽车相关配套行业的发展尚需一个过程，充电</w:t>
      </w:r>
    </w:p>
    <w:p>
      <w:pPr>
        <w:pStyle w:val="BodyText"/>
        <w:spacing w:line="309" w:lineRule="auto" w:before="19"/>
        <w:ind w:right="1032"/>
        <w:jc w:val="left"/>
      </w:pPr>
      <w:r>
        <w:rPr>
          <w:spacing w:val="-4"/>
        </w:rPr>
        <w:t>基础设施前期投入较大，导致目标市场上充电桩生产和运营企业多数盈利状况不佳，以及高铁相关制造产业增速放缓的影响，</w:t>
      </w:r>
      <w:r>
        <w:rPr>
          <w:spacing w:val="-44"/>
        </w:rPr>
        <w:t> </w:t>
      </w:r>
      <w:r>
        <w:rPr>
          <w:spacing w:val="-44"/>
        </w:rPr>
      </w:r>
      <w:r>
        <w:rPr>
          <w:spacing w:val="-2"/>
        </w:rPr>
        <w:t>相关产品竞争较为激烈，回款周期长、回款压力增加，同时，公司收购的苏州开关二厂与公司在输配电设备制造领域的协同</w:t>
      </w:r>
      <w:r>
        <w:rPr>
          <w:spacing w:val="-66"/>
        </w:rPr>
        <w:t> </w:t>
      </w:r>
      <w:r>
        <w:rPr>
          <w:spacing w:val="-66"/>
        </w:rPr>
      </w:r>
      <w:r>
        <w:rPr>
          <w:spacing w:val="-2"/>
        </w:rPr>
        <w:t>效应逐步体现等原因，为了提高募集资金的最大使用效率，满足公司业务对流动资金的需求，降低财务费用和运营成本，公</w:t>
      </w:r>
      <w:r>
        <w:rPr>
          <w:spacing w:val="-66"/>
        </w:rPr>
        <w:t> </w:t>
      </w:r>
      <w:r>
        <w:rPr>
          <w:spacing w:val="-66"/>
        </w:rPr>
      </w:r>
      <w:r>
        <w:rPr/>
        <w:t>司分别于</w:t>
      </w:r>
      <w:r>
        <w:rPr>
          <w:rFonts w:ascii="Times New Roman" w:hAnsi="Times New Roman" w:cs="Times New Roman" w:eastAsia="Times New Roman" w:hint="default"/>
        </w:rPr>
        <w:t>2018</w:t>
      </w:r>
      <w:r>
        <w:rPr>
          <w:rFonts w:ascii="Times New Roman" w:hAnsi="Times New Roman" w:cs="Times New Roman" w:eastAsia="Times New Roman" w:hint="default"/>
          <w:spacing w:val="27"/>
        </w:rPr>
        <w:t> </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日召开的第七届董事会第十四次会议、</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18</w:t>
      </w:r>
      <w:r>
        <w:rPr/>
        <w:t>日召开的</w:t>
      </w:r>
      <w:r>
        <w:rPr>
          <w:rFonts w:ascii="Times New Roman" w:hAnsi="Times New Roman" w:cs="Times New Roman" w:eastAsia="Times New Roman" w:hint="default"/>
        </w:rPr>
        <w:t>2017</w:t>
      </w:r>
      <w:r>
        <w:rPr/>
        <w:t>年度股东大会审议通过了《关于变 更部分非公开发行募集资金投向用于永久性补充流动资金的议案》，将</w:t>
      </w:r>
      <w:r>
        <w:rPr>
          <w:rFonts w:ascii="Times New Roman" w:hAnsi="Times New Roman" w:cs="Times New Roman" w:eastAsia="Times New Roman" w:hint="default"/>
        </w:rPr>
        <w:t>“</w:t>
      </w:r>
      <w:r>
        <w:rPr/>
        <w:t>基于有线</w:t>
      </w:r>
      <w:r>
        <w:rPr>
          <w:rFonts w:ascii="Times New Roman" w:hAnsi="Times New Roman" w:cs="Times New Roman" w:eastAsia="Times New Roman" w:hint="default"/>
        </w:rPr>
        <w:t>/</w:t>
      </w:r>
      <w:r>
        <w:rPr/>
        <w:t>无线传输的电动汽车自适应智能充电桩建 设项目</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智能远动（高铁信号）电力保障系统生产线建设项目</w:t>
      </w:r>
      <w:r>
        <w:rPr>
          <w:rFonts w:ascii="Times New Roman" w:hAnsi="Times New Roman" w:cs="Times New Roman" w:eastAsia="Times New Roman" w:hint="default"/>
        </w:rPr>
        <w:t>”</w:t>
      </w:r>
      <w:r>
        <w:rPr/>
        <w:t>的募集资金余额用于永久性补充流动资金，用于新型智慧 城市、公共安全与反恐等主营业务的生产经营。以上项目后续如果需要继续投入，公司将以自有资金继续投入完成。</w:t>
      </w:r>
    </w:p>
    <w:p>
      <w:pPr>
        <w:pStyle w:val="Heading5"/>
        <w:spacing w:line="240" w:lineRule="auto" w:before="24"/>
        <w:ind w:right="0"/>
        <w:jc w:val="left"/>
        <w:rPr>
          <w:b w:val="0"/>
          <w:bCs w:val="0"/>
        </w:rPr>
      </w:pPr>
      <w:r>
        <w:rPr/>
        <w:t>七、资质方面取得重大突破</w:t>
      </w:r>
      <w:r>
        <w:rPr>
          <w:b w:val="0"/>
          <w:bCs w:val="0"/>
        </w:rPr>
      </w:r>
    </w:p>
    <w:p>
      <w:pPr>
        <w:pStyle w:val="BodyText"/>
        <w:spacing w:line="240" w:lineRule="auto" w:before="76"/>
        <w:ind w:left="514" w:right="0"/>
        <w:jc w:val="left"/>
      </w:pPr>
      <w:r>
        <w:rPr/>
        <w:t>（一）高新技术企业认定</w:t>
      </w:r>
    </w:p>
    <w:p>
      <w:pPr>
        <w:pStyle w:val="BodyText"/>
        <w:spacing w:line="300" w:lineRule="auto" w:before="77"/>
        <w:ind w:right="1122" w:firstLine="36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月，公司以及全资子公司北京中电兴发科技有限公司、安徽森源电器有限公司、安徽鑫龙低压电器有限公司、 控股子公司安徽佑赛科技股份有限公司顺利通过了国家高新技术企业的认定。</w:t>
      </w:r>
    </w:p>
    <w:p>
      <w:pPr>
        <w:pStyle w:val="BodyText"/>
        <w:spacing w:line="240" w:lineRule="auto" w:before="31"/>
        <w:ind w:left="514" w:right="0"/>
        <w:jc w:val="left"/>
      </w:pPr>
      <w:r>
        <w:rPr/>
        <w:t>（二）国家技术创新示范企业认定</w:t>
      </w:r>
    </w:p>
    <w:p>
      <w:pPr>
        <w:pStyle w:val="BodyText"/>
        <w:spacing w:line="309" w:lineRule="auto" w:before="76"/>
        <w:ind w:right="0" w:firstLine="360"/>
        <w:jc w:val="left"/>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月，公司被工业和信息化部、财政部联合认定为国家技术创新示范企业，标志着公司具备较强的创新研发能力，</w:t>
      </w:r>
      <w:r>
        <w:rPr/>
        <w:t> </w:t>
      </w:r>
      <w:r>
        <w:rPr>
          <w:spacing w:val="-2"/>
        </w:rPr>
        <w:t>是公司可持续创新发展能力的综合表现，将对公司技术创新的发展起到积极的促进作用，将进一步提升公司的整体技术创新</w:t>
      </w:r>
      <w:r>
        <w:rPr>
          <w:spacing w:val="-64"/>
        </w:rPr>
        <w:t> </w:t>
      </w:r>
      <w:r>
        <w:rPr>
          <w:spacing w:val="-64"/>
        </w:rPr>
      </w:r>
      <w:r>
        <w:rPr/>
        <w:t>水平，有助于公司进一步夯实未来发展战略的基础，为实行创新驱动发展战略和实现经济提质增效升级提供有力地支撑。</w:t>
      </w:r>
    </w:p>
    <w:p>
      <w:pPr>
        <w:pStyle w:val="BodyText"/>
        <w:spacing w:line="240" w:lineRule="auto" w:before="24"/>
        <w:ind w:left="514" w:right="0"/>
        <w:jc w:val="left"/>
      </w:pPr>
      <w:r>
        <w:rPr/>
        <w:t>（三）首个国际</w:t>
      </w:r>
      <w:r>
        <w:rPr>
          <w:rFonts w:ascii="Times New Roman" w:hAnsi="Times New Roman" w:cs="Times New Roman" w:eastAsia="Times New Roman" w:hint="default"/>
        </w:rPr>
        <w:t>PCT</w:t>
      </w:r>
      <w:r>
        <w:rPr/>
        <w:t>专利在美国获得授权</w:t>
      </w:r>
    </w:p>
    <w:p>
      <w:pPr>
        <w:pStyle w:val="BodyText"/>
        <w:spacing w:line="314" w:lineRule="auto" w:before="63"/>
        <w:ind w:right="1079" w:firstLine="36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月，公司全资子公司北京中电兴发首个国际</w:t>
      </w:r>
      <w:r>
        <w:rPr>
          <w:rFonts w:ascii="Times New Roman" w:hAnsi="Times New Roman" w:cs="Times New Roman" w:eastAsia="Times New Roman" w:hint="default"/>
        </w:rPr>
        <w:t>PCT</w:t>
      </w:r>
      <w:r>
        <w:rPr/>
        <w:t>专利在美国获得授权，取得美国专利局颁发的发明专利证书。 </w:t>
      </w:r>
      <w:r>
        <w:rPr>
          <w:spacing w:val="-2"/>
        </w:rPr>
        <w:t>本次国际发明专利证书的取得是公司研发创新实力的体现，对公司市场开拓和产品推广会产生积极的影响，有利于公司进一</w:t>
      </w:r>
      <w:r>
        <w:rPr>
          <w:spacing w:val="-64"/>
        </w:rPr>
        <w:t> </w:t>
      </w:r>
      <w:r>
        <w:rPr>
          <w:spacing w:val="-64"/>
        </w:rPr>
      </w:r>
      <w:r>
        <w:rPr>
          <w:spacing w:val="-2"/>
        </w:rPr>
        <w:t>步完善知识产权保护体系，充分发挥知识产权优势，并形成持续创新机制，从而提升公司核心竞争力，更有利于进一步提升</w:t>
      </w:r>
      <w:r>
        <w:rPr>
          <w:spacing w:val="-66"/>
        </w:rPr>
        <w:t> </w:t>
      </w:r>
      <w:r>
        <w:rPr>
          <w:spacing w:val="-66"/>
        </w:rPr>
      </w:r>
      <w:r>
        <w:rPr>
          <w:spacing w:val="-2"/>
        </w:rPr>
        <w:t>公司的知识产权战略管理和实施，充分体现了公司在智慧城市领域的设计、研发及创新能力，将进一步提升公司的整体创新</w:t>
      </w:r>
      <w:r>
        <w:rPr>
          <w:spacing w:val="-66"/>
        </w:rPr>
        <w:t> </w:t>
      </w:r>
      <w:r>
        <w:rPr>
          <w:spacing w:val="-66"/>
        </w:rPr>
      </w:r>
      <w:r>
        <w:rPr>
          <w:spacing w:val="-2"/>
        </w:rPr>
        <w:t>研发水平，有利于公司进一步开拓市场和提高市场竞争力，有利于公司进一步完善知识产权保护体系，发挥自主知识产权优</w:t>
      </w:r>
      <w:r>
        <w:rPr>
          <w:spacing w:val="-66"/>
        </w:rPr>
        <w:t> </w:t>
      </w:r>
      <w:r>
        <w:rPr>
          <w:spacing w:val="-66"/>
        </w:rPr>
      </w:r>
      <w:r>
        <w:rPr>
          <w:spacing w:val="-2"/>
        </w:rPr>
        <w:t>势，并形成持续创新机制，保持技术的领先，提升公司的核心竞争力，有助于实现知识产权强企的发展目标，为公司进一步</w:t>
      </w:r>
      <w:r>
        <w:rPr>
          <w:spacing w:val="-66"/>
        </w:rPr>
        <w:t> </w:t>
      </w:r>
      <w:r>
        <w:rPr>
          <w:spacing w:val="-66"/>
        </w:rPr>
      </w:r>
      <w:r>
        <w:rPr/>
        <w:t>夯实未来发展战略打下坚实的基础。</w:t>
      </w:r>
    </w:p>
    <w:p>
      <w:pPr>
        <w:pStyle w:val="BodyText"/>
        <w:spacing w:line="316" w:lineRule="auto" w:before="20"/>
        <w:ind w:left="514" w:right="0"/>
        <w:jc w:val="left"/>
      </w:pPr>
      <w:r>
        <w:rPr/>
        <w:t>（四）专利取得情况 </w:t>
      </w:r>
      <w:r>
        <w:rPr>
          <w:spacing w:val="-2"/>
        </w:rPr>
        <w:t>报告期内，公司取得中华人民共和国国家知识产权局颁发的发明专利</w:t>
      </w:r>
      <w:r>
        <w:rPr>
          <w:rFonts w:ascii="Times New Roman" w:hAnsi="Times New Roman" w:cs="Times New Roman" w:eastAsia="Times New Roman" w:hint="default"/>
          <w:spacing w:val="-2"/>
        </w:rPr>
        <w:t>12</w:t>
      </w:r>
      <w:r>
        <w:rPr>
          <w:spacing w:val="-2"/>
        </w:rPr>
        <w:t>项和实用新型专利</w:t>
      </w:r>
      <w:r>
        <w:rPr>
          <w:rFonts w:ascii="Times New Roman" w:hAnsi="Times New Roman" w:cs="Times New Roman" w:eastAsia="Times New Roman" w:hint="default"/>
          <w:spacing w:val="-2"/>
        </w:rPr>
        <w:t>22</w:t>
      </w:r>
      <w:r>
        <w:rPr>
          <w:spacing w:val="-2"/>
        </w:rPr>
        <w:t>项，共计</w:t>
      </w:r>
      <w:r>
        <w:rPr>
          <w:rFonts w:ascii="Times New Roman" w:hAnsi="Times New Roman" w:cs="Times New Roman" w:eastAsia="Times New Roman" w:hint="default"/>
          <w:spacing w:val="-2"/>
        </w:rPr>
        <w:t>34</w:t>
      </w:r>
      <w:r>
        <w:rPr>
          <w:spacing w:val="-2"/>
        </w:rPr>
        <w:t>项；全资子公司</w:t>
      </w:r>
    </w:p>
    <w:p>
      <w:pPr>
        <w:pStyle w:val="BodyText"/>
        <w:spacing w:line="300" w:lineRule="auto" w:before="0"/>
        <w:ind w:left="514" w:right="3462" w:hanging="360"/>
        <w:jc w:val="left"/>
        <w:rPr>
          <w:rFonts w:ascii="宋体" w:hAnsi="宋体" w:cs="宋体" w:eastAsia="宋体" w:hint="default"/>
        </w:rPr>
      </w:pPr>
      <w:r>
        <w:rPr/>
        <w:t>北京中电兴发取得中华人民共和国国家知识产权局颁发的发明专利和实用新型专利共计</w:t>
      </w:r>
      <w:r>
        <w:rPr>
          <w:rFonts w:ascii="Times New Roman" w:hAnsi="Times New Roman" w:cs="Times New Roman" w:eastAsia="Times New Roman" w:hint="default"/>
        </w:rPr>
        <w:t>9</w:t>
      </w:r>
      <w:r>
        <w:rPr/>
        <w:t>项。 </w:t>
      </w:r>
      <w:r>
        <w:rPr>
          <w:rFonts w:ascii="宋体" w:hAnsi="宋体" w:cs="宋体" w:eastAsia="宋体" w:hint="default"/>
          <w:b/>
          <w:bCs/>
        </w:rPr>
        <w:t>八、公司主要投资情况</w:t>
      </w:r>
      <w:r>
        <w:rPr>
          <w:rFonts w:ascii="宋体" w:hAnsi="宋体" w:cs="宋体" w:eastAsia="宋体" w:hint="default"/>
        </w:rPr>
      </w:r>
    </w:p>
    <w:p>
      <w:pPr>
        <w:pStyle w:val="BodyText"/>
        <w:spacing w:line="300" w:lineRule="auto" w:before="32"/>
        <w:ind w:right="1132" w:firstLine="360"/>
        <w:jc w:val="both"/>
      </w:pPr>
      <w:r>
        <w:rPr/>
        <w:t>（一）</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月，全资子公司北京中电兴发在凤凰县智慧城市建设</w:t>
      </w:r>
      <w:r>
        <w:rPr>
          <w:rFonts w:ascii="Times New Roman" w:hAnsi="Times New Roman" w:cs="Times New Roman" w:eastAsia="Times New Roman" w:hint="default"/>
        </w:rPr>
        <w:t>PPP</w:t>
      </w:r>
      <w:r>
        <w:rPr/>
        <w:t>项目公开招标中中标，中标金额</w:t>
      </w:r>
      <w:r>
        <w:rPr>
          <w:rFonts w:ascii="Times New Roman" w:hAnsi="Times New Roman" w:cs="Times New Roman" w:eastAsia="Times New Roman" w:hint="default"/>
        </w:rPr>
        <w:t>20.1</w:t>
      </w:r>
      <w:r>
        <w:rPr/>
        <w:t>亿元，并 </w:t>
      </w:r>
      <w:r>
        <w:rPr>
          <w:spacing w:val="-1"/>
        </w:rPr>
        <w:t>收到该项目的中标通知书，且与凤凰县经济和信息化局签订《凤凰县智慧城市建设</w:t>
      </w:r>
      <w:r>
        <w:rPr>
          <w:rFonts w:ascii="Times New Roman" w:hAnsi="Times New Roman" w:cs="Times New Roman" w:eastAsia="Times New Roman" w:hint="default"/>
          <w:spacing w:val="-1"/>
        </w:rPr>
        <w:t>PPP</w:t>
      </w:r>
      <w:r>
        <w:rPr>
          <w:spacing w:val="-1"/>
        </w:rPr>
        <w:t>项目合同》。按照合同约定，报告期</w:t>
      </w:r>
      <w:r>
        <w:rPr>
          <w:spacing w:val="-62"/>
        </w:rPr>
        <w:t> </w:t>
      </w:r>
      <w:r>
        <w:rPr>
          <w:spacing w:val="-62"/>
        </w:rPr>
      </w:r>
      <w:r>
        <w:rPr>
          <w:spacing w:val="-1"/>
        </w:rPr>
        <w:t>内，北京中电兴发作为总承包商，与其他合作单位合资设立凤凰智慧城市管理运营有限责任公司，参与凤凰县智慧城市</w:t>
      </w:r>
      <w:r>
        <w:rPr>
          <w:rFonts w:ascii="Times New Roman" w:hAnsi="Times New Roman" w:cs="Times New Roman" w:eastAsia="Times New Roman" w:hint="default"/>
          <w:spacing w:val="-1"/>
        </w:rPr>
        <w:t>PPP</w:t>
      </w:r>
      <w:r>
        <w:rPr>
          <w:rFonts w:ascii="Times New Roman" w:hAnsi="Times New Roman" w:cs="Times New Roman" w:eastAsia="Times New Roman" w:hint="default"/>
          <w:spacing w:val="-17"/>
        </w:rPr>
        <w:t> </w:t>
      </w:r>
      <w:r>
        <w:rPr/>
        <w:t>项目的投资、建设与运营。该公司注册资本金</w:t>
      </w:r>
      <w:r>
        <w:rPr>
          <w:rFonts w:ascii="Times New Roman" w:hAnsi="Times New Roman" w:cs="Times New Roman" w:eastAsia="Times New Roman" w:hint="default"/>
        </w:rPr>
        <w:t>1</w:t>
      </w:r>
      <w:r>
        <w:rPr/>
        <w:t>亿元，北京中电兴发持有其</w:t>
      </w:r>
      <w:r>
        <w:rPr>
          <w:rFonts w:ascii="Times New Roman" w:hAnsi="Times New Roman" w:cs="Times New Roman" w:eastAsia="Times New Roman" w:hint="default"/>
        </w:rPr>
        <w:t>80%</w:t>
      </w:r>
      <w:r>
        <w:rPr/>
        <w:t>股权。</w:t>
      </w:r>
    </w:p>
    <w:p>
      <w:pPr>
        <w:spacing w:after="0" w:line="30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7" w:lineRule="auto"/>
        <w:ind w:right="1032" w:firstLine="360"/>
        <w:jc w:val="left"/>
      </w:pPr>
      <w:r>
        <w:rPr>
          <w:spacing w:val="-5"/>
        </w:rPr>
        <w:t>（二）</w:t>
      </w:r>
      <w:r>
        <w:rPr>
          <w:rFonts w:ascii="Times New Roman" w:hAnsi="Times New Roman" w:cs="Times New Roman" w:eastAsia="Times New Roman" w:hint="default"/>
          <w:spacing w:val="-5"/>
        </w:rPr>
        <w:t>2018</w:t>
      </w:r>
      <w:r>
        <w:rPr>
          <w:spacing w:val="-5"/>
        </w:rPr>
        <w:t>年</w:t>
      </w:r>
      <w:r>
        <w:rPr>
          <w:rFonts w:ascii="Times New Roman" w:hAnsi="Times New Roman" w:cs="Times New Roman" w:eastAsia="Times New Roman" w:hint="default"/>
          <w:spacing w:val="-5"/>
        </w:rPr>
        <w:t>2</w:t>
      </w:r>
      <w:r>
        <w:rPr>
          <w:spacing w:val="-5"/>
        </w:rPr>
        <w:t>月，公司控股子公司苏州开关二厂有限公司（简称</w:t>
      </w:r>
      <w:r>
        <w:rPr>
          <w:rFonts w:ascii="Times New Roman" w:hAnsi="Times New Roman" w:cs="Times New Roman" w:eastAsia="Times New Roman" w:hint="default"/>
          <w:spacing w:val="-5"/>
        </w:rPr>
        <w:t>“</w:t>
      </w:r>
      <w:r>
        <w:rPr>
          <w:spacing w:val="-5"/>
        </w:rPr>
        <w:t>苏二开</w:t>
      </w:r>
      <w:r>
        <w:rPr>
          <w:rFonts w:ascii="Times New Roman" w:hAnsi="Times New Roman" w:cs="Times New Roman" w:eastAsia="Times New Roman" w:hint="default"/>
          <w:spacing w:val="-5"/>
        </w:rPr>
        <w:t>”</w:t>
      </w:r>
      <w:r>
        <w:rPr>
          <w:spacing w:val="-5"/>
        </w:rPr>
        <w:t>）与苏州天平安装工程有限公司（以下简称</w:t>
      </w:r>
      <w:r>
        <w:rPr>
          <w:rFonts w:ascii="Times New Roman" w:hAnsi="Times New Roman" w:cs="Times New Roman" w:eastAsia="Times New Roman" w:hint="default"/>
          <w:spacing w:val="-5"/>
        </w:rPr>
        <w:t>“</w:t>
      </w:r>
      <w:r>
        <w:rPr>
          <w:spacing w:val="-5"/>
        </w:rPr>
        <w:t>天</w:t>
      </w:r>
      <w:r>
        <w:rPr/>
        <w:t> 平公司</w:t>
      </w:r>
      <w:r>
        <w:rPr>
          <w:rFonts w:ascii="Times New Roman" w:hAnsi="Times New Roman" w:cs="Times New Roman" w:eastAsia="Times New Roman" w:hint="default"/>
        </w:rPr>
        <w:t>”</w:t>
      </w:r>
      <w:r>
        <w:rPr/>
        <w:t>）股东王克强先生签署《股权转让协议》，苏二开通过现金收购其持有天平公司</w:t>
      </w:r>
      <w:r>
        <w:rPr>
          <w:rFonts w:ascii="Times New Roman" w:hAnsi="Times New Roman" w:cs="Times New Roman" w:eastAsia="Times New Roman" w:hint="default"/>
        </w:rPr>
        <w:t>99.71%</w:t>
      </w:r>
      <w:r>
        <w:rPr/>
        <w:t>的股权，完成工商登记变更 并取得营业执照。通过收购天平工程股权，有利于促进苏二开产业链向上游延伸，进一步扩大经营规模和提升市场竞争力， 促进苏二开的业绩增长。本次投资有利于提高公司未来盈利能力和市场竞争力，符合公司整体发展战略。</w:t>
      </w:r>
    </w:p>
    <w:p>
      <w:pPr>
        <w:pStyle w:val="BodyText"/>
        <w:spacing w:line="309" w:lineRule="auto" w:before="26"/>
        <w:ind w:right="1131" w:firstLine="360"/>
        <w:jc w:val="both"/>
      </w:pPr>
      <w:r>
        <w:rPr/>
        <w:t>（三）</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月，全资子公司北京中电兴发投资设立控股子公司中电兴发软件研发（北京）有限公司，通过该公司的 </w:t>
      </w:r>
      <w:r>
        <w:rPr>
          <w:spacing w:val="-2"/>
        </w:rPr>
        <w:t>设立，积极引进软件团队，提升公司在建设智慧城市方面的软件开发和综合能力，更好地专注于智慧城市的建设、投资与运</w:t>
      </w:r>
      <w:r>
        <w:rPr>
          <w:spacing w:val="-66"/>
        </w:rPr>
        <w:t> </w:t>
      </w:r>
      <w:r>
        <w:rPr>
          <w:spacing w:val="-66"/>
        </w:rPr>
      </w:r>
      <w:r>
        <w:rPr/>
        <w:t>营服务。</w:t>
      </w:r>
    </w:p>
    <w:p>
      <w:pPr>
        <w:pStyle w:val="Heading5"/>
        <w:spacing w:line="240" w:lineRule="auto" w:before="24"/>
        <w:ind w:right="0"/>
        <w:jc w:val="left"/>
        <w:rPr>
          <w:b w:val="0"/>
          <w:bCs w:val="0"/>
        </w:rPr>
      </w:pPr>
      <w:r>
        <w:rPr/>
        <w:t>九、主要中标情况</w:t>
      </w:r>
      <w:r>
        <w:rPr>
          <w:b w:val="0"/>
          <w:bCs w:val="0"/>
        </w:rPr>
      </w:r>
    </w:p>
    <w:p>
      <w:pPr>
        <w:pStyle w:val="BodyText"/>
        <w:spacing w:line="309" w:lineRule="auto" w:before="76"/>
        <w:ind w:right="1032" w:firstLine="360"/>
        <w:jc w:val="left"/>
      </w:pPr>
      <w:r>
        <w:rPr/>
        <w:t>（一）</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月，公司全资子公司北京中电兴发作为联合体成员在庄河市智慧城市一期工程</w:t>
      </w:r>
      <w:r>
        <w:rPr>
          <w:rFonts w:ascii="Times New Roman" w:hAnsi="Times New Roman" w:cs="Times New Roman" w:eastAsia="Times New Roman" w:hint="default"/>
        </w:rPr>
        <w:t>PPP</w:t>
      </w:r>
      <w:r>
        <w:rPr/>
        <w:t>项目中标，中标金额 </w:t>
      </w:r>
      <w:r>
        <w:rPr>
          <w:spacing w:val="-3"/>
        </w:rPr>
        <w:t>为人民币</w:t>
      </w:r>
      <w:r>
        <w:rPr>
          <w:rFonts w:ascii="Times New Roman" w:hAnsi="Times New Roman" w:cs="Times New Roman" w:eastAsia="Times New Roman" w:hint="default"/>
          <w:spacing w:val="-3"/>
        </w:rPr>
        <w:t>30,870.27</w:t>
      </w:r>
      <w:r>
        <w:rPr>
          <w:spacing w:val="-3"/>
        </w:rPr>
        <w:t>万元，并收到了该项目的中标通知书。该项目中标，可以积累智慧城市范畴内的各类智慧应用的建设经验，</w:t>
      </w:r>
      <w:r>
        <w:rPr>
          <w:spacing w:val="-86"/>
        </w:rPr>
        <w:t> </w:t>
      </w:r>
      <w:r>
        <w:rPr>
          <w:spacing w:val="-86"/>
        </w:rPr>
      </w:r>
      <w:r>
        <w:rPr>
          <w:spacing w:val="-2"/>
        </w:rPr>
        <w:t>将对北京中电兴发在智慧城市领域的产品、业务发展以及市场拓展产生积极的促进和推动作用，进一步增强北京中电兴发在</w:t>
      </w:r>
      <w:r>
        <w:rPr>
          <w:spacing w:val="-64"/>
        </w:rPr>
        <w:t> </w:t>
      </w:r>
      <w:r>
        <w:rPr>
          <w:spacing w:val="-64"/>
        </w:rPr>
      </w:r>
      <w:r>
        <w:rPr/>
        <w:t>智慧平安城市领域中的综合实力和市场竞争力，促进北京中电兴发在智慧城市业务的建设、投资与运营等方面的更好发展， 完善智慧城市解决方案，助推北京中电兴发在智慧城市业务的快速发展。</w:t>
      </w:r>
    </w:p>
    <w:p>
      <w:pPr>
        <w:pStyle w:val="BodyText"/>
        <w:spacing w:line="309" w:lineRule="auto" w:before="24"/>
        <w:ind w:right="1131" w:firstLine="360"/>
        <w:jc w:val="both"/>
      </w:pPr>
      <w:r>
        <w:rPr/>
        <w:t>（二）</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月，北京中电兴发作为联合体成员在河北省枣强县雪亮工程</w:t>
      </w:r>
      <w:r>
        <w:rPr>
          <w:spacing w:val="-55"/>
        </w:rPr>
        <w:t> </w:t>
      </w:r>
      <w:r>
        <w:rPr>
          <w:rFonts w:ascii="Times New Roman" w:hAnsi="Times New Roman" w:cs="Times New Roman" w:eastAsia="Times New Roman" w:hint="default"/>
        </w:rPr>
        <w:t>PPP</w:t>
      </w:r>
      <w:r>
        <w:rPr>
          <w:rFonts w:ascii="Times New Roman" w:hAnsi="Times New Roman" w:cs="Times New Roman" w:eastAsia="Times New Roman" w:hint="default"/>
          <w:spacing w:val="-11"/>
        </w:rPr>
        <w:t> </w:t>
      </w:r>
      <w:r>
        <w:rPr/>
        <w:t>项目社会资本方采购招标中中标，项目 总投资为人民币</w:t>
      </w:r>
      <w:r>
        <w:rPr>
          <w:rFonts w:ascii="Times New Roman" w:hAnsi="Times New Roman" w:cs="Times New Roman" w:eastAsia="Times New Roman" w:hint="default"/>
        </w:rPr>
        <w:t>6,225.69</w:t>
      </w:r>
      <w:r>
        <w:rPr/>
        <w:t>万元，并收到了该项目的中标通知书。该项目是继北京中电兴发与河北广电网络签署战略合作协议 </w:t>
      </w:r>
      <w:r>
        <w:rPr>
          <w:spacing w:val="-2"/>
        </w:rPr>
        <w:t>后，共同在河北省域内拓展平安城市、雪亮工程、智慧城市等政府信息化项目的首个中标项目。该项中标具有重要意义，将</w:t>
      </w:r>
      <w:r>
        <w:rPr>
          <w:spacing w:val="-66"/>
        </w:rPr>
        <w:t> </w:t>
      </w:r>
      <w:r>
        <w:rPr>
          <w:spacing w:val="-66"/>
        </w:rPr>
      </w:r>
      <w:r>
        <w:rPr>
          <w:spacing w:val="-2"/>
        </w:rPr>
        <w:t>进一步提高公司在智慧平安城市、公共安全及雪亮工程的市场影响力及示范作用，进一步提高公司在智慧城市的运行效率并</w:t>
      </w:r>
      <w:r>
        <w:rPr>
          <w:spacing w:val="-64"/>
        </w:rPr>
        <w:t> </w:t>
      </w:r>
      <w:r>
        <w:rPr>
          <w:spacing w:val="-64"/>
        </w:rPr>
      </w:r>
      <w:r>
        <w:rPr/>
        <w:t>不断精益求精地复制，促进公司在智慧城市业务的投资、建设与运营等方面的更好发展。</w:t>
      </w:r>
    </w:p>
    <w:p>
      <w:pPr>
        <w:pStyle w:val="BodyText"/>
        <w:spacing w:line="307" w:lineRule="auto" w:before="24"/>
        <w:ind w:right="1050" w:firstLine="360"/>
        <w:jc w:val="both"/>
      </w:pPr>
      <w:r>
        <w:rPr/>
        <w:t>（三）</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月，北京中电兴发在芜湖市公共安全视频监控建设联网应用项目（雪亮工程）中标，中标金额为人民币 </w:t>
      </w:r>
      <w:r>
        <w:rPr>
          <w:rFonts w:ascii="Times New Roman" w:hAnsi="Times New Roman" w:cs="Times New Roman" w:eastAsia="Times New Roman" w:hint="default"/>
          <w:spacing w:val="-2"/>
        </w:rPr>
        <w:t>29,205.20</w:t>
      </w:r>
      <w:r>
        <w:rPr>
          <w:spacing w:val="-2"/>
        </w:rPr>
        <w:t>万元，并收到了该项目的中标通知书。该项目是公司继中标淮南市城市视频监控（平安淮南）项目以后，在安徽省</w:t>
      </w:r>
      <w:r>
        <w:rPr>
          <w:spacing w:val="-58"/>
        </w:rPr>
        <w:t> </w:t>
      </w:r>
      <w:r>
        <w:rPr>
          <w:spacing w:val="-58"/>
        </w:rPr>
      </w:r>
      <w:r>
        <w:rPr>
          <w:spacing w:val="-2"/>
        </w:rPr>
        <w:t>域内的又一个单笔中标金额过亿的项目，对公司进一步拓展在安徽省智慧平安城市、公共安全、雪亮工程等政府信息化项目</w:t>
      </w:r>
      <w:r>
        <w:rPr>
          <w:spacing w:val="-66"/>
        </w:rPr>
        <w:t> </w:t>
      </w:r>
      <w:r>
        <w:rPr>
          <w:spacing w:val="-66"/>
        </w:rPr>
      </w:r>
      <w:r>
        <w:rPr/>
        <w:t>建设领域的业务发展具有重要意义，进一步完善智慧平安城市解决方案，更好地专注于智慧城市的建设、投资与运营服务。</w:t>
      </w:r>
    </w:p>
    <w:p>
      <w:pPr>
        <w:pStyle w:val="BodyText"/>
        <w:spacing w:line="304" w:lineRule="auto" w:before="26"/>
        <w:ind w:right="1132" w:firstLine="360"/>
        <w:jc w:val="both"/>
      </w:pPr>
      <w:r>
        <w:rPr>
          <w:spacing w:val="-1"/>
        </w:rPr>
        <w:t>（四）</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10</w:t>
      </w:r>
      <w:r>
        <w:rPr>
          <w:spacing w:val="-1"/>
        </w:rPr>
        <w:t>月，北京中电兴发在山东聊城凤凰工业园市政基础设施建设项目（二期）</w:t>
      </w:r>
      <w:r>
        <w:rPr>
          <w:rFonts w:ascii="Times New Roman" w:hAnsi="Times New Roman" w:cs="Times New Roman" w:eastAsia="Times New Roman" w:hint="default"/>
          <w:spacing w:val="-1"/>
        </w:rPr>
        <w:t>EPC</w:t>
      </w:r>
      <w:r>
        <w:rPr>
          <w:spacing w:val="-1"/>
        </w:rPr>
        <w:t>总承包工程项目招标采购</w:t>
      </w:r>
      <w:r>
        <w:rPr/>
        <w:t> 中与中铁七局集团有限公司、中铁工程设计咨询集团有限公司被确定为联合体中标单位，中标总金额为人民币</w:t>
      </w:r>
      <w:r>
        <w:rPr>
          <w:rFonts w:ascii="Times New Roman" w:hAnsi="Times New Roman" w:cs="Times New Roman" w:eastAsia="Times New Roman" w:hint="default"/>
        </w:rPr>
        <w:t>117,563.71</w:t>
      </w:r>
      <w:r>
        <w:rPr/>
        <w:t>万 </w:t>
      </w:r>
      <w:r>
        <w:rPr>
          <w:spacing w:val="-2"/>
        </w:rPr>
        <w:t>元，并收到了该项目的中标通知书。该项目对北京中电兴发在智慧城市、公共安全与反恐等领域的业务发展产生积极的促进</w:t>
      </w:r>
      <w:r>
        <w:rPr>
          <w:spacing w:val="-66"/>
        </w:rPr>
        <w:t> </w:t>
      </w:r>
      <w:r>
        <w:rPr>
          <w:spacing w:val="-66"/>
        </w:rPr>
      </w:r>
      <w:r>
        <w:rPr/>
        <w:t>和推动作用，通过参与并取得政府市政建设项目 </w:t>
      </w:r>
      <w:r>
        <w:rPr>
          <w:rFonts w:ascii="Times New Roman" w:hAnsi="Times New Roman" w:cs="Times New Roman" w:eastAsia="Times New Roman" w:hint="default"/>
        </w:rPr>
        <w:t>EPC</w:t>
      </w:r>
      <w:r>
        <w:rPr>
          <w:rFonts w:ascii="Times New Roman" w:hAnsi="Times New Roman" w:cs="Times New Roman" w:eastAsia="Times New Roman" w:hint="default"/>
          <w:spacing w:val="-9"/>
        </w:rPr>
        <w:t> </w:t>
      </w:r>
      <w:r>
        <w:rPr/>
        <w:t>总承包项目，进一步提升北京中电兴发在智慧城市、公共安全等政府 信息化项目建设领域的核心竞争力和行业影响力。</w:t>
      </w:r>
    </w:p>
    <w:p>
      <w:pPr>
        <w:pStyle w:val="BodyText"/>
        <w:spacing w:line="300" w:lineRule="auto" w:before="28"/>
        <w:ind w:right="1131" w:firstLine="360"/>
        <w:jc w:val="both"/>
      </w:pPr>
      <w:r>
        <w:rPr>
          <w:spacing w:val="-2"/>
        </w:rPr>
        <w:t>（五）</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月，北京中电兴发在国家某单位安全联网应用涉密项目中标，项目建设内容属于公司的智慧城市、公共</w:t>
      </w:r>
      <w:r>
        <w:rPr/>
        <w:t> 安全业务范畴，中标金额合计为人民币</w:t>
      </w:r>
      <w:r>
        <w:rPr>
          <w:rFonts w:ascii="Times New Roman" w:hAnsi="Times New Roman" w:cs="Times New Roman" w:eastAsia="Times New Roman" w:hint="default"/>
        </w:rPr>
        <w:t>9,460.54</w:t>
      </w:r>
      <w:r>
        <w:rPr/>
        <w:t>万元，并收到了该项目的中标通知书。</w:t>
      </w:r>
    </w:p>
    <w:p>
      <w:pPr>
        <w:pStyle w:val="BodyText"/>
        <w:spacing w:line="300" w:lineRule="auto" w:before="13"/>
        <w:ind w:right="1130" w:firstLine="360"/>
        <w:jc w:val="both"/>
      </w:pPr>
      <w:r>
        <w:rPr>
          <w:spacing w:val="-1"/>
        </w:rPr>
        <w:t>（六）</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11</w:t>
      </w:r>
      <w:r>
        <w:rPr>
          <w:spacing w:val="-1"/>
        </w:rPr>
        <w:t>月，北京中电兴发作为牵头方在贵州省毕节市大方县全域智慧旅游信息化平台建设</w:t>
      </w:r>
      <w:r>
        <w:rPr>
          <w:rFonts w:ascii="Times New Roman" w:hAnsi="Times New Roman" w:cs="Times New Roman" w:eastAsia="Times New Roman" w:hint="default"/>
          <w:spacing w:val="-1"/>
        </w:rPr>
        <w:t>PPP</w:t>
      </w:r>
      <w:r>
        <w:rPr>
          <w:spacing w:val="-1"/>
        </w:rPr>
        <w:t>项目招标采购中</w:t>
      </w:r>
      <w:r>
        <w:rPr/>
        <w:t> </w:t>
      </w:r>
      <w:r>
        <w:rPr>
          <w:spacing w:val="-2"/>
        </w:rPr>
        <w:t>与北京中景合天科技有限公司被确定为联合体预中标单位，中标总金额为人民币</w:t>
      </w:r>
      <w:r>
        <w:rPr>
          <w:rFonts w:ascii="Times New Roman" w:hAnsi="Times New Roman" w:cs="Times New Roman" w:eastAsia="Times New Roman" w:hint="default"/>
          <w:spacing w:val="-2"/>
        </w:rPr>
        <w:t>10,493.55</w:t>
      </w:r>
      <w:r>
        <w:rPr>
          <w:spacing w:val="-2"/>
        </w:rPr>
        <w:t>万元，并收到了该项目的预中标通</w:t>
      </w:r>
      <w:r>
        <w:rPr>
          <w:spacing w:val="-58"/>
        </w:rPr>
        <w:t> </w:t>
      </w:r>
      <w:r>
        <w:rPr>
          <w:spacing w:val="-58"/>
        </w:rPr>
      </w:r>
      <w:r>
        <w:rPr/>
        <w:t>知书。</w:t>
      </w:r>
    </w:p>
    <w:p>
      <w:pPr>
        <w:pStyle w:val="BodyText"/>
        <w:spacing w:line="300" w:lineRule="auto" w:before="31"/>
        <w:ind w:right="1131" w:firstLine="360"/>
        <w:jc w:val="left"/>
      </w:pPr>
      <w:r>
        <w:rPr/>
        <w:t>（七）</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月，北京中电兴发在武汉高世代薄膜晶体管液晶显示器件（</w:t>
      </w:r>
      <w:r>
        <w:rPr>
          <w:rFonts w:ascii="Times New Roman" w:hAnsi="Times New Roman" w:cs="Times New Roman" w:eastAsia="Times New Roman" w:hint="default"/>
        </w:rPr>
        <w:t>TFT-LCD</w:t>
      </w:r>
      <w:r>
        <w:rPr/>
        <w:t>）生产线项目中，分别在弱电工 </w:t>
      </w:r>
      <w:r>
        <w:rPr>
          <w:spacing w:val="-1"/>
        </w:rPr>
        <w:t>程（</w:t>
      </w:r>
      <w:r>
        <w:rPr>
          <w:rFonts w:ascii="Times New Roman" w:hAnsi="Times New Roman" w:cs="Times New Roman" w:eastAsia="Times New Roman" w:hint="default"/>
          <w:spacing w:val="-1"/>
        </w:rPr>
        <w:t>B</w:t>
      </w:r>
      <w:r>
        <w:rPr>
          <w:spacing w:val="-1"/>
        </w:rPr>
        <w:t>标段）和弱电工程（</w:t>
      </w:r>
      <w:r>
        <w:rPr>
          <w:rFonts w:ascii="Times New Roman" w:hAnsi="Times New Roman" w:cs="Times New Roman" w:eastAsia="Times New Roman" w:hint="default"/>
          <w:spacing w:val="-1"/>
        </w:rPr>
        <w:t>E</w:t>
      </w:r>
      <w:r>
        <w:rPr>
          <w:spacing w:val="-1"/>
        </w:rPr>
        <w:t>标段）系统设备供货两个工程包中中标，中标总金额为人民币</w:t>
      </w:r>
      <w:r>
        <w:rPr>
          <w:rFonts w:ascii="Times New Roman" w:hAnsi="Times New Roman" w:cs="Times New Roman" w:eastAsia="Times New Roman" w:hint="default"/>
          <w:spacing w:val="-1"/>
        </w:rPr>
        <w:t>3,653.70</w:t>
      </w:r>
      <w:r>
        <w:rPr>
          <w:spacing w:val="-1"/>
        </w:rPr>
        <w:t>万元，并收到了该项目的</w:t>
      </w:r>
      <w:r>
        <w:rPr>
          <w:spacing w:val="-82"/>
        </w:rPr>
        <w:t> </w:t>
      </w:r>
      <w:r>
        <w:rPr>
          <w:spacing w:val="-82"/>
        </w:rPr>
      </w:r>
      <w:r>
        <w:rPr/>
        <w:t>中标通知书。</w:t>
      </w:r>
    </w:p>
    <w:p>
      <w:pPr>
        <w:pStyle w:val="Heading5"/>
        <w:spacing w:line="240" w:lineRule="auto" w:before="31"/>
        <w:ind w:right="0"/>
        <w:jc w:val="left"/>
        <w:rPr>
          <w:b w:val="0"/>
          <w:bCs w:val="0"/>
        </w:rPr>
      </w:pPr>
      <w:r>
        <w:rPr/>
        <w:t>十、工商登记完成</w:t>
      </w:r>
      <w:r>
        <w:rPr>
          <w:b w:val="0"/>
          <w:bCs w:val="0"/>
        </w:rPr>
      </w:r>
    </w:p>
    <w:p>
      <w:pPr>
        <w:pStyle w:val="BodyText"/>
        <w:spacing w:line="316" w:lineRule="auto" w:before="76"/>
        <w:ind w:left="514" w:right="0"/>
        <w:jc w:val="left"/>
      </w:pPr>
      <w:r>
        <w:rPr/>
        <w:t>（一）全资子公司注册资本工商登记完成 </w:t>
      </w:r>
      <w:r>
        <w:rPr>
          <w:spacing w:val="-2"/>
        </w:rPr>
        <w:t>公司充分把握国家大力发展智慧城市的市场机遇，专注于智慧城市的建设、投资与运营，全资子公司北京中电兴发科技</w:t>
      </w:r>
    </w:p>
    <w:p>
      <w:pPr>
        <w:pStyle w:val="BodyText"/>
        <w:spacing w:line="307" w:lineRule="auto" w:before="19"/>
        <w:ind w:right="1129"/>
        <w:jc w:val="both"/>
      </w:pPr>
      <w:r>
        <w:rPr>
          <w:spacing w:val="-2"/>
        </w:rPr>
        <w:t>有限公司充分把握国家紧抓实施国企混改的战略机遇，通过与云南联通深度合作本地业务，协同推进智慧城市、公共安全与</w:t>
      </w:r>
      <w:r>
        <w:rPr>
          <w:spacing w:val="-66"/>
        </w:rPr>
        <w:t> </w:t>
      </w:r>
      <w:r>
        <w:rPr>
          <w:spacing w:val="-66"/>
        </w:rPr>
      </w:r>
      <w:r>
        <w:rPr>
          <w:spacing w:val="-2"/>
        </w:rPr>
        <w:t>反恐等政府信息化项目，有助于公司在智慧城市建设运营领域实现新的突破点和盈利点，促进北京中电兴发智慧城市解决方</w:t>
      </w:r>
      <w:r>
        <w:rPr>
          <w:spacing w:val="-64"/>
        </w:rPr>
        <w:t> </w:t>
      </w:r>
      <w:r>
        <w:rPr>
          <w:spacing w:val="-64"/>
        </w:rPr>
      </w:r>
      <w:r>
        <w:rPr>
          <w:spacing w:val="-2"/>
        </w:rPr>
        <w:t>案竞争力的提升。公司根据《深圳证券交易所股票上市规则》和《公司章程》等规定，公司</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25</w:t>
      </w:r>
      <w:r>
        <w:rPr>
          <w:spacing w:val="-2"/>
        </w:rPr>
        <w:t>日召开的第七届董</w:t>
      </w:r>
      <w:r>
        <w:rPr>
          <w:spacing w:val="-60"/>
        </w:rPr>
        <w:t> </w:t>
      </w:r>
      <w:r>
        <w:rPr>
          <w:spacing w:val="-2"/>
        </w:rPr>
        <w:t>事会第九次会议、第七届监事会第七次会议，并经</w:t>
      </w:r>
      <w:r>
        <w:rPr>
          <w:rFonts w:ascii="Times New Roman" w:hAnsi="Times New Roman" w:cs="Times New Roman" w:eastAsia="Times New Roman" w:hint="default"/>
          <w:spacing w:val="-2"/>
        </w:rPr>
        <w:t>2017</w:t>
      </w:r>
      <w:r>
        <w:rPr>
          <w:spacing w:val="-2"/>
        </w:rPr>
        <w:t>年第二次临时股东大会审议通过了《关于变更部分非公开发行募集资</w:t>
      </w:r>
      <w:r>
        <w:rPr>
          <w:spacing w:val="-62"/>
        </w:rPr>
        <w:t> </w:t>
      </w:r>
      <w:r>
        <w:rPr>
          <w:spacing w:val="-62"/>
        </w:rPr>
      </w:r>
      <w:r>
        <w:rPr/>
        <w:t>金用途的议案》，将</w:t>
      </w:r>
      <w:r>
        <w:rPr>
          <w:rFonts w:ascii="Times New Roman" w:hAnsi="Times New Roman" w:cs="Times New Roman" w:eastAsia="Times New Roman" w:hint="default"/>
        </w:rPr>
        <w:t>“</w:t>
      </w:r>
      <w:r>
        <w:rPr/>
        <w:t>公共安全与反恐领域机器人及无人机产业化项目</w:t>
      </w:r>
      <w:r>
        <w:rPr>
          <w:rFonts w:ascii="Times New Roman" w:hAnsi="Times New Roman" w:cs="Times New Roman" w:eastAsia="Times New Roman" w:hint="default"/>
        </w:rPr>
        <w:t>”</w:t>
      </w:r>
      <w:r>
        <w:rPr/>
        <w:t>计划投入募集资金余额以增资的方式全部变更为</w:t>
      </w:r>
      <w:r>
        <w:rPr>
          <w:rFonts w:ascii="Times New Roman" w:hAnsi="Times New Roman" w:cs="Times New Roman" w:eastAsia="Times New Roman" w:hint="default"/>
        </w:rPr>
        <w:t>“</w:t>
      </w:r>
      <w:r>
        <w:rPr/>
        <w:t>投 资中国联通移动业务社会化服务合作</w:t>
      </w:r>
      <w:r>
        <w:rPr>
          <w:rFonts w:ascii="Times New Roman" w:hAnsi="Times New Roman" w:cs="Times New Roman" w:eastAsia="Times New Roman" w:hint="default"/>
        </w:rPr>
        <w:t>--</w:t>
      </w:r>
      <w:r>
        <w:rPr/>
        <w:t>云南联通移动业务项目建设</w:t>
      </w:r>
      <w:r>
        <w:rPr>
          <w:rFonts w:ascii="Times New Roman" w:hAnsi="Times New Roman" w:cs="Times New Roman" w:eastAsia="Times New Roman" w:hint="default"/>
        </w:rPr>
        <w:t>”</w:t>
      </w:r>
      <w:r>
        <w:rPr/>
        <w:t>，增资后，北京中电兴发注册资本由</w:t>
      </w:r>
      <w:r>
        <w:rPr>
          <w:rFonts w:ascii="Times New Roman" w:hAnsi="Times New Roman" w:cs="Times New Roman" w:eastAsia="Times New Roman" w:hint="default"/>
        </w:rPr>
        <w:t>90,379.37</w:t>
      </w:r>
      <w:r>
        <w:rPr/>
        <w:t>万元人民</w:t>
      </w:r>
    </w:p>
    <w:p>
      <w:pPr>
        <w:spacing w:after="0" w:line="307"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ind w:right="0"/>
        <w:jc w:val="left"/>
      </w:pPr>
      <w:r>
        <w:rPr/>
        <w:t>币增资为</w:t>
      </w:r>
      <w:r>
        <w:rPr>
          <w:rFonts w:ascii="Times New Roman" w:hAnsi="Times New Roman" w:cs="Times New Roman" w:eastAsia="Times New Roman" w:hint="default"/>
        </w:rPr>
        <w:t>133,475.14</w:t>
      </w:r>
      <w:r>
        <w:rPr>
          <w:rFonts w:ascii="Times New Roman" w:hAnsi="Times New Roman" w:cs="Times New Roman" w:eastAsia="Times New Roman" w:hint="default"/>
          <w:spacing w:val="24"/>
        </w:rPr>
        <w:t> </w:t>
      </w:r>
      <w:r>
        <w:rPr/>
        <w:t>万元人民币。报告期内，北京中电兴发取得了北京市工商行政管理局海淀分局核发的《营业执照》。</w:t>
      </w:r>
    </w:p>
    <w:p>
      <w:pPr>
        <w:pStyle w:val="BodyText"/>
        <w:spacing w:line="240" w:lineRule="auto" w:before="63"/>
        <w:ind w:left="514" w:right="0"/>
        <w:jc w:val="left"/>
      </w:pPr>
      <w:r>
        <w:rPr/>
        <w:t>（二）公司注册资本变更登记</w:t>
      </w:r>
    </w:p>
    <w:p>
      <w:pPr>
        <w:pStyle w:val="BodyText"/>
        <w:spacing w:line="300" w:lineRule="auto" w:before="76"/>
        <w:ind w:right="1130" w:firstLine="360"/>
        <w:jc w:val="both"/>
      </w:pPr>
      <w:r>
        <w:rPr>
          <w:spacing w:val="-2"/>
        </w:rPr>
        <w:t>公司</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5</w:t>
      </w:r>
      <w:r>
        <w:rPr>
          <w:spacing w:val="-2"/>
        </w:rPr>
        <w:t>日召开的第七届董事会第十三次会议、</w:t>
      </w:r>
      <w:r>
        <w:rPr>
          <w:rFonts w:ascii="Times New Roman" w:hAnsi="Times New Roman" w:cs="Times New Roman" w:eastAsia="Times New Roman" w:hint="default"/>
          <w:spacing w:val="-2"/>
        </w:rPr>
        <w:t>2018</w:t>
      </w:r>
      <w:r>
        <w:rPr>
          <w:rFonts w:ascii="Times New Roman" w:hAnsi="Times New Roman" w:cs="Times New Roman" w:eastAsia="Times New Roman" w:hint="default"/>
          <w:spacing w:val="29"/>
        </w:rPr>
        <w:t> </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23</w:t>
      </w:r>
      <w:r>
        <w:rPr>
          <w:spacing w:val="-2"/>
        </w:rPr>
        <w:t>日召开的</w:t>
      </w:r>
      <w:r>
        <w:rPr>
          <w:rFonts w:ascii="Times New Roman" w:hAnsi="Times New Roman" w:cs="Times New Roman" w:eastAsia="Times New Roman" w:hint="default"/>
          <w:spacing w:val="-2"/>
        </w:rPr>
        <w:t>2018</w:t>
      </w:r>
      <w:r>
        <w:rPr>
          <w:spacing w:val="-2"/>
        </w:rPr>
        <w:t>年第一次临时股东大会审议通过《关</w:t>
      </w:r>
      <w:r>
        <w:rPr/>
        <w:t> 于以集中竞价交易方式回购公司股份的预案》，拟以不低于人民币</w:t>
      </w:r>
      <w:r>
        <w:rPr>
          <w:rFonts w:ascii="Times New Roman" w:hAnsi="Times New Roman" w:cs="Times New Roman" w:eastAsia="Times New Roman" w:hint="default"/>
        </w:rPr>
        <w:t>9,000</w:t>
      </w:r>
      <w:r>
        <w:rPr/>
        <w:t>万元（含</w:t>
      </w:r>
      <w:r>
        <w:rPr>
          <w:rFonts w:ascii="Times New Roman" w:hAnsi="Times New Roman" w:cs="Times New Roman" w:eastAsia="Times New Roman" w:hint="default"/>
        </w:rPr>
        <w:t>9,000</w:t>
      </w:r>
      <w:r>
        <w:rPr/>
        <w:t>万元）、不超过人民币</w:t>
      </w:r>
      <w:r>
        <w:rPr>
          <w:rFonts w:ascii="Times New Roman" w:hAnsi="Times New Roman" w:cs="Times New Roman" w:eastAsia="Times New Roman" w:hint="default"/>
        </w:rPr>
        <w:t>1</w:t>
      </w:r>
      <w:r>
        <w:rPr/>
        <w:t>亿元（含</w:t>
      </w:r>
      <w:r>
        <w:rPr>
          <w:rFonts w:ascii="Times New Roman" w:hAnsi="Times New Roman" w:cs="Times New Roman" w:eastAsia="Times New Roman" w:hint="default"/>
        </w:rPr>
        <w:t>1</w:t>
      </w:r>
      <w:r>
        <w:rPr/>
        <w:t>亿 </w:t>
      </w:r>
      <w:r>
        <w:rPr>
          <w:spacing w:val="-2"/>
        </w:rPr>
        <w:t>元）的金额进行回购。</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9</w:t>
      </w:r>
      <w:r>
        <w:rPr>
          <w:spacing w:val="-2"/>
        </w:rPr>
        <w:t>日，公司已在中国证券登记结算有限责任公司深圳分公司办理完毕上述</w:t>
      </w:r>
      <w:r>
        <w:rPr>
          <w:rFonts w:ascii="Times New Roman" w:hAnsi="Times New Roman" w:cs="Times New Roman" w:eastAsia="Times New Roman" w:hint="default"/>
          <w:spacing w:val="-2"/>
        </w:rPr>
        <w:t>12,454,745</w:t>
      </w:r>
      <w:r>
        <w:rPr>
          <w:spacing w:val="-2"/>
        </w:rPr>
        <w:t>股回购</w:t>
      </w:r>
      <w:r>
        <w:rPr>
          <w:spacing w:val="-49"/>
        </w:rPr>
        <w:t> </w:t>
      </w:r>
      <w:r>
        <w:rPr>
          <w:spacing w:val="-49"/>
        </w:rPr>
      </w:r>
      <w:r>
        <w:rPr/>
        <w:t>股份注销手续，公司注册资本由</w:t>
      </w:r>
      <w:r>
        <w:rPr>
          <w:rFonts w:ascii="Times New Roman" w:hAnsi="Times New Roman" w:cs="Times New Roman" w:eastAsia="Times New Roman" w:hint="default"/>
        </w:rPr>
        <w:t>703,960,660</w:t>
      </w:r>
      <w:r>
        <w:rPr/>
        <w:t>元减少至</w:t>
      </w:r>
      <w:r>
        <w:rPr>
          <w:rFonts w:ascii="Times New Roman" w:hAnsi="Times New Roman" w:cs="Times New Roman" w:eastAsia="Times New Roman" w:hint="default"/>
        </w:rPr>
        <w:t>691,505,915</w:t>
      </w:r>
      <w:r>
        <w:rPr/>
        <w:t>元。</w:t>
      </w:r>
    </w:p>
    <w:p>
      <w:pPr>
        <w:pStyle w:val="BodyText"/>
        <w:spacing w:line="309" w:lineRule="auto" w:before="13"/>
        <w:ind w:right="1133" w:firstLine="360"/>
        <w:jc w:val="left"/>
      </w:pPr>
      <w:r>
        <w:rPr/>
        <w:t>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18</w:t>
      </w:r>
      <w:r>
        <w:rPr/>
        <w:t>日召开第七届董事会第十八次会议和</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6</w:t>
      </w:r>
      <w:r>
        <w:rPr/>
        <w:t>日召开</w:t>
      </w:r>
      <w:r>
        <w:rPr>
          <w:rFonts w:ascii="Times New Roman" w:hAnsi="Times New Roman" w:cs="Times New Roman" w:eastAsia="Times New Roman" w:hint="default"/>
        </w:rPr>
        <w:t>2018</w:t>
      </w:r>
      <w:r>
        <w:rPr>
          <w:rFonts w:ascii="Times New Roman" w:hAnsi="Times New Roman" w:cs="Times New Roman" w:eastAsia="Times New Roman" w:hint="default"/>
          <w:spacing w:val="27"/>
        </w:rPr>
        <w:t> </w:t>
      </w:r>
      <w:r>
        <w:rPr/>
        <w:t>年第四次临时股东大会分别审议通 </w:t>
      </w:r>
      <w:r>
        <w:rPr>
          <w:spacing w:val="-2"/>
        </w:rPr>
        <w:t>过了《关于变更公司注册资本及修订〈公司章程〉相应条款的议案》，同时披露了《关于变更公司注册资本及修订〈公司章</w:t>
      </w:r>
      <w:r>
        <w:rPr>
          <w:spacing w:val="-72"/>
        </w:rPr>
        <w:t> </w:t>
      </w:r>
      <w:r>
        <w:rPr>
          <w:spacing w:val="-72"/>
        </w:rPr>
      </w:r>
      <w:r>
        <w:rPr/>
        <w:t>程〉相应条款的公告》（公告编号：</w:t>
      </w:r>
      <w:r>
        <w:rPr>
          <w:rFonts w:ascii="Times New Roman" w:hAnsi="Times New Roman" w:cs="Times New Roman" w:eastAsia="Times New Roman" w:hint="default"/>
        </w:rPr>
        <w:t>2018-080</w:t>
      </w:r>
      <w:r>
        <w:rPr/>
        <w:t>）。截止本报告披露日，公司已经完成了工商注册变更相关手续。</w:t>
      </w:r>
    </w:p>
    <w:p>
      <w:pPr>
        <w:pStyle w:val="Heading5"/>
        <w:spacing w:line="240" w:lineRule="auto" w:before="5"/>
        <w:ind w:right="0"/>
        <w:jc w:val="left"/>
        <w:rPr>
          <w:b w:val="0"/>
          <w:bCs w:val="0"/>
        </w:rPr>
      </w:pPr>
      <w:r>
        <w:rPr/>
        <w:t>十一、其他事项</w:t>
      </w:r>
      <w:r>
        <w:rPr>
          <w:b w:val="0"/>
          <w:bCs w:val="0"/>
        </w:rPr>
      </w:r>
    </w:p>
    <w:p>
      <w:pPr>
        <w:pStyle w:val="Heading5"/>
        <w:spacing w:line="240" w:lineRule="auto" w:before="76"/>
        <w:ind w:right="0"/>
        <w:jc w:val="left"/>
        <w:rPr>
          <w:b w:val="0"/>
          <w:bCs w:val="0"/>
        </w:rPr>
      </w:pPr>
      <w:r>
        <w:rPr/>
        <w:t>（一）购买理财情况</w:t>
      </w:r>
      <w:r>
        <w:rPr>
          <w:b w:val="0"/>
          <w:bCs w:val="0"/>
        </w:rPr>
      </w:r>
    </w:p>
    <w:p>
      <w:pPr>
        <w:pStyle w:val="BodyText"/>
        <w:spacing w:line="240" w:lineRule="auto" w:before="76"/>
        <w:ind w:left="514" w:right="0"/>
        <w:jc w:val="left"/>
      </w:pPr>
      <w:r>
        <w:rPr>
          <w:rFonts w:ascii="Times New Roman" w:hAnsi="Times New Roman" w:cs="Times New Roman" w:eastAsia="Times New Roman" w:hint="default"/>
        </w:rPr>
        <w:t>1</w:t>
      </w:r>
      <w:r>
        <w:rPr/>
        <w:t>、使用部分闲置募集资金购买保本型理财产品</w:t>
      </w:r>
    </w:p>
    <w:p>
      <w:pPr>
        <w:pStyle w:val="BodyText"/>
        <w:spacing w:line="300" w:lineRule="auto" w:before="63"/>
        <w:ind w:right="0" w:firstLine="360"/>
        <w:jc w:val="left"/>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24</w:t>
      </w:r>
      <w:r>
        <w:rPr>
          <w:spacing w:val="-2"/>
        </w:rPr>
        <w:t>日公司第七届董事会第十二次会议审议通过了《关于使用部分闲置募集资金购买保本型理财产品的议案》，</w:t>
      </w:r>
      <w:r>
        <w:rPr/>
        <w:t> 使用额度不超过</w:t>
      </w:r>
      <w:r>
        <w:rPr>
          <w:rFonts w:ascii="Times New Roman" w:hAnsi="Times New Roman" w:cs="Times New Roman" w:eastAsia="Times New Roman" w:hint="default"/>
        </w:rPr>
        <w:t>8.1</w:t>
      </w:r>
      <w:r>
        <w:rPr/>
        <w:t>亿元（上述额度内，资金可以滚动使用）投资于安全性高、流动性好、有保本约定、发行主体为商业银 行的投资产品，投资类型包括购买保本型理财产品、结构性存款或用于定期存单、协定存款等</w:t>
      </w:r>
      <w:r>
        <w:rPr>
          <w:rFonts w:ascii="Times New Roman" w:hAnsi="Times New Roman" w:cs="Times New Roman" w:eastAsia="Times New Roman" w:hint="default"/>
        </w:rPr>
        <w:t>,</w:t>
      </w:r>
      <w:r>
        <w:rPr/>
        <w:t>购买上述理财产品的期限不 </w:t>
      </w:r>
      <w:r>
        <w:rPr>
          <w:spacing w:val="-2"/>
        </w:rPr>
        <w:t>超过</w:t>
      </w:r>
      <w:r>
        <w:rPr>
          <w:rFonts w:ascii="Times New Roman" w:hAnsi="Times New Roman" w:cs="Times New Roman" w:eastAsia="Times New Roman" w:hint="default"/>
          <w:spacing w:val="-2"/>
        </w:rPr>
        <w:t>12</w:t>
      </w:r>
      <w:r>
        <w:rPr>
          <w:spacing w:val="-2"/>
        </w:rPr>
        <w:t>个月。目前到期已经悉数赎回，并发布了公告《安徽中电兴发与鑫龙科技股份有限公司关于使用部分闲置募集资金购</w:t>
      </w:r>
      <w:r>
        <w:rPr>
          <w:spacing w:val="-64"/>
        </w:rPr>
        <w:t> </w:t>
      </w:r>
      <w:r>
        <w:rPr>
          <w:spacing w:val="-64"/>
        </w:rPr>
      </w:r>
      <w:r>
        <w:rPr/>
        <w:t>买银行保本型理财产品到期赎回的公告》。</w:t>
      </w:r>
    </w:p>
    <w:p>
      <w:pPr>
        <w:pStyle w:val="BodyText"/>
        <w:spacing w:line="240" w:lineRule="auto" w:before="31"/>
        <w:ind w:left="514" w:right="0"/>
        <w:jc w:val="left"/>
      </w:pPr>
      <w:r>
        <w:rPr>
          <w:rFonts w:ascii="Times New Roman" w:hAnsi="Times New Roman" w:cs="Times New Roman" w:eastAsia="Times New Roman" w:hint="default"/>
        </w:rPr>
        <w:t>2</w:t>
      </w:r>
      <w:r>
        <w:rPr/>
        <w:t>、使用部分闲置自有资金购买保本型理财产品</w:t>
      </w:r>
    </w:p>
    <w:p>
      <w:pPr>
        <w:pStyle w:val="BodyText"/>
        <w:spacing w:line="300" w:lineRule="auto" w:before="63"/>
        <w:ind w:right="1132" w:firstLine="360"/>
        <w:jc w:val="both"/>
      </w:pP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24</w:t>
      </w:r>
      <w:r>
        <w:rPr>
          <w:spacing w:val="-3"/>
        </w:rPr>
        <w:t>日，安徽中电兴发与鑫龙科技股份有限公司（以下简称</w:t>
      </w:r>
      <w:r>
        <w:rPr>
          <w:rFonts w:ascii="Times New Roman" w:hAnsi="Times New Roman" w:cs="Times New Roman" w:eastAsia="Times New Roman" w:hint="default"/>
          <w:spacing w:val="-3"/>
        </w:rPr>
        <w:t>“</w:t>
      </w:r>
      <w:r>
        <w:rPr>
          <w:spacing w:val="-3"/>
        </w:rPr>
        <w:t>公司</w:t>
      </w:r>
      <w:r>
        <w:rPr>
          <w:rFonts w:ascii="Times New Roman" w:hAnsi="Times New Roman" w:cs="Times New Roman" w:eastAsia="Times New Roman" w:hint="default"/>
          <w:spacing w:val="-3"/>
        </w:rPr>
        <w:t>”</w:t>
      </w:r>
      <w:r>
        <w:rPr>
          <w:spacing w:val="-3"/>
        </w:rPr>
        <w:t>）第七届董事会第十二次会议审议通过了《关</w:t>
      </w:r>
      <w:r>
        <w:rPr/>
        <w:t> 于使用部分闲置自有资金购买保本型理财产品的议案》，董事会同意公司及其下属子公司使用最高额度为不超过</w:t>
      </w:r>
      <w:r>
        <w:rPr>
          <w:rFonts w:ascii="Times New Roman" w:hAnsi="Times New Roman" w:cs="Times New Roman" w:eastAsia="Times New Roman" w:hint="default"/>
        </w:rPr>
        <w:t>5</w:t>
      </w:r>
      <w:r>
        <w:rPr/>
        <w:t>亿元人民 币的自有闲置资金进行投资理财，理财期限自董事会审议通过之日起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个月内有效，期限内理财资金已到期赎回。</w:t>
      </w:r>
    </w:p>
    <w:p>
      <w:pPr>
        <w:pStyle w:val="Heading5"/>
        <w:spacing w:line="240" w:lineRule="auto" w:before="13"/>
        <w:ind w:right="0"/>
        <w:jc w:val="left"/>
        <w:rPr>
          <w:b w:val="0"/>
          <w:bCs w:val="0"/>
        </w:rPr>
      </w:pPr>
      <w:r>
        <w:rPr/>
        <w:t>（二）全资子公司签署战略合作框架协议</w:t>
      </w:r>
      <w:r>
        <w:rPr>
          <w:b w:val="0"/>
          <w:bCs w:val="0"/>
        </w:rPr>
      </w:r>
    </w:p>
    <w:p>
      <w:pPr>
        <w:pStyle w:val="BodyText"/>
        <w:spacing w:line="312" w:lineRule="auto" w:before="77"/>
        <w:ind w:right="1131" w:firstLine="578"/>
        <w:jc w:val="both"/>
      </w:pPr>
      <w:r>
        <w:rPr>
          <w:rFonts w:ascii="Times New Roman" w:hAnsi="Times New Roman" w:cs="Times New Roman" w:eastAsia="Times New Roman" w:hint="default"/>
          <w:spacing w:val="-1"/>
        </w:rPr>
        <w:t>1</w:t>
      </w:r>
      <w:r>
        <w:rPr>
          <w:spacing w:val="-1"/>
        </w:rPr>
        <w:t>、报告期内，公司全资子公司北京中电兴发与河北广电信息网络集团股份有限公司签署了《河北广电智慧产业数据</w:t>
      </w:r>
      <w:r>
        <w:rPr/>
        <w:t> </w:t>
      </w:r>
      <w:r>
        <w:rPr>
          <w:spacing w:val="-2"/>
        </w:rPr>
        <w:t>中心暨新型智慧城市建设合作框架协议》，河北广电依托其资源优势争取土地等生产要素的支持，北京中电兴发依托其投融</w:t>
      </w:r>
      <w:r>
        <w:rPr>
          <w:spacing w:val="-66"/>
        </w:rPr>
        <w:t> </w:t>
      </w:r>
      <w:r>
        <w:rPr>
          <w:spacing w:val="-66"/>
        </w:rPr>
      </w:r>
      <w:r>
        <w:rPr>
          <w:spacing w:val="-2"/>
        </w:rPr>
        <w:t>资和系统集成能力优势，共同支持项目公司从事智慧美丽新城的建设、开发。因涉及国有资产投资审批程序复杂及市场机会</w:t>
      </w:r>
      <w:r>
        <w:rPr>
          <w:spacing w:val="-66"/>
        </w:rPr>
        <w:t> </w:t>
      </w:r>
      <w:r>
        <w:rPr>
          <w:spacing w:val="-66"/>
        </w:rPr>
      </w:r>
      <w:r>
        <w:rPr/>
        <w:t>的变化，该战略合作目前已暂停进行。</w:t>
      </w:r>
    </w:p>
    <w:p>
      <w:pPr>
        <w:pStyle w:val="BodyText"/>
        <w:spacing w:line="314" w:lineRule="auto" w:before="22"/>
        <w:ind w:right="1131" w:firstLine="360"/>
        <w:jc w:val="both"/>
      </w:pPr>
      <w:r>
        <w:rPr>
          <w:rFonts w:ascii="Times New Roman" w:hAnsi="Times New Roman" w:cs="Times New Roman" w:eastAsia="Times New Roman" w:hint="default"/>
        </w:rPr>
        <w:t>2</w:t>
      </w:r>
      <w:r>
        <w:rPr/>
        <w:t>、截止本报告披露日，根据公司发展战略，进一步加强军民融合智慧生态，北京中电兴发与中国航发贵州黎阳航空动 </w:t>
      </w:r>
      <w:r>
        <w:rPr>
          <w:spacing w:val="-2"/>
        </w:rPr>
        <w:t>力有限公司签署了战略合作框架协议。本次战略合作协议的签署，将充分融合双方技术、资源、人才优势，构建极具竞争力</w:t>
      </w:r>
      <w:r>
        <w:rPr>
          <w:spacing w:val="-66"/>
        </w:rPr>
        <w:t> </w:t>
      </w:r>
      <w:r>
        <w:rPr>
          <w:spacing w:val="-66"/>
        </w:rPr>
      </w:r>
      <w:r>
        <w:rPr>
          <w:spacing w:val="-2"/>
        </w:rPr>
        <w:t>的军民融合智慧生态，推动双方重点业务和产业链融合创新发展，培育新的产业增长点。对北京中电兴发在智慧城市领域的</w:t>
      </w:r>
      <w:r>
        <w:rPr>
          <w:spacing w:val="-66"/>
        </w:rPr>
        <w:t> </w:t>
      </w:r>
      <w:r>
        <w:rPr>
          <w:spacing w:val="-66"/>
        </w:rPr>
      </w:r>
      <w:r>
        <w:rPr>
          <w:spacing w:val="-2"/>
        </w:rPr>
        <w:t>技术精进、产品研发、业务发展以及市场拓展将产生积极的推动作用，有利于促进北京中电兴发在智慧城市基础设施层、通</w:t>
      </w:r>
      <w:r>
        <w:rPr>
          <w:spacing w:val="-66"/>
        </w:rPr>
        <w:t> </w:t>
      </w:r>
      <w:r>
        <w:rPr>
          <w:spacing w:val="-66"/>
        </w:rPr>
      </w:r>
      <w:r>
        <w:rPr>
          <w:spacing w:val="-2"/>
        </w:rPr>
        <w:t>用支撑层、智慧应用层的核心技术、先进产品的研究和开发，并增强全面解决方案能力，从而提升公司整体竞争力和盈利能</w:t>
      </w:r>
      <w:r>
        <w:rPr>
          <w:spacing w:val="-66"/>
        </w:rPr>
        <w:t> </w:t>
      </w:r>
      <w:r>
        <w:rPr>
          <w:spacing w:val="-66"/>
        </w:rPr>
      </w:r>
      <w:r>
        <w:rPr/>
        <w:t>力，进一步提升公司未来的经营业绩，符合公司整体发展战略，有利于公司的长远发展。</w:t>
      </w:r>
    </w:p>
    <w:p>
      <w:pPr>
        <w:pStyle w:val="Heading5"/>
        <w:spacing w:line="240" w:lineRule="auto" w:before="20"/>
        <w:ind w:right="0"/>
        <w:jc w:val="left"/>
        <w:rPr>
          <w:b w:val="0"/>
          <w:bCs w:val="0"/>
        </w:rPr>
      </w:pPr>
      <w:r>
        <w:rPr/>
        <w:t>（三）公司股东股份转让</w:t>
      </w:r>
      <w:r>
        <w:rPr>
          <w:b w:val="0"/>
          <w:bCs w:val="0"/>
        </w:rPr>
      </w:r>
    </w:p>
    <w:p>
      <w:pPr>
        <w:pStyle w:val="BodyText"/>
        <w:spacing w:line="300" w:lineRule="auto" w:before="76"/>
        <w:ind w:right="1132" w:firstLine="360"/>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10</w:t>
      </w:r>
      <w:r>
        <w:rPr/>
        <w:t>日分别收到公司束龙胜先生《关于计划减持公司股票的告知函》和瞿洪桂先生以及其控制的云泽投资 管理（天津）有限公司出具的《关于计划增持公司股票的告知函》：束龙胜先生计划自本公告发布之日起</w:t>
      </w:r>
      <w:r>
        <w:rPr>
          <w:rFonts w:ascii="Times New Roman" w:hAnsi="Times New Roman" w:cs="Times New Roman" w:eastAsia="Times New Roman" w:hint="default"/>
        </w:rPr>
        <w:t>3</w:t>
      </w:r>
      <w:r>
        <w:rPr/>
        <w:t>个交易日后的六 个月内以大宗交易方式减持本公司股份不超过</w:t>
      </w:r>
      <w:r>
        <w:rPr>
          <w:rFonts w:ascii="Times New Roman" w:hAnsi="Times New Roman" w:cs="Times New Roman" w:eastAsia="Times New Roman" w:hint="default"/>
        </w:rPr>
        <w:t>1,626</w:t>
      </w:r>
      <w:r>
        <w:rPr/>
        <w:t>万股（减持比例不超过本公司总股本的</w:t>
      </w:r>
      <w:r>
        <w:rPr>
          <w:rFonts w:ascii="Times New Roman" w:hAnsi="Times New Roman" w:cs="Times New Roman" w:eastAsia="Times New Roman" w:hint="default"/>
        </w:rPr>
        <w:t>2.36%</w:t>
      </w:r>
      <w:r>
        <w:rPr/>
        <w:t>，且任意连续</w:t>
      </w:r>
      <w:r>
        <w:rPr>
          <w:spacing w:val="-21"/>
        </w:rPr>
        <w:t> </w:t>
      </w:r>
      <w:r>
        <w:rPr>
          <w:rFonts w:ascii="Times New Roman" w:hAnsi="Times New Roman" w:cs="Times New Roman" w:eastAsia="Times New Roman" w:hint="default"/>
        </w:rPr>
        <w:t>90</w:t>
      </w:r>
      <w:r>
        <w:rPr/>
        <w:t>个自然日 内减持比例不超过本公司总股本的</w:t>
      </w:r>
      <w:r>
        <w:rPr>
          <w:spacing w:val="-52"/>
        </w:rPr>
        <w:t> </w:t>
      </w:r>
      <w:r>
        <w:rPr>
          <w:rFonts w:ascii="Times New Roman" w:hAnsi="Times New Roman" w:cs="Times New Roman" w:eastAsia="Times New Roman" w:hint="default"/>
        </w:rPr>
        <w:t>2%</w:t>
      </w:r>
      <w:r>
        <w:rPr/>
        <w:t>）；瞿洪桂先生基于对公司未来发展的信心及价值的认同，瞿洪桂通过其实际控制的 云泽投资公司发行的云泽投资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号私募证券投资基金自公告之日起六个月内，拟通过深圳证券交易所大宗交易系统增持不 超过公司总股本比例</w:t>
      </w:r>
      <w:r>
        <w:rPr>
          <w:spacing w:val="-18"/>
        </w:rPr>
        <w:t> </w:t>
      </w:r>
      <w:r>
        <w:rPr>
          <w:rFonts w:ascii="Times New Roman" w:hAnsi="Times New Roman" w:cs="Times New Roman" w:eastAsia="Times New Roman" w:hint="default"/>
        </w:rPr>
        <w:t>2.36%</w:t>
      </w:r>
      <w:r>
        <w:rPr/>
        <w:t>的股份；</w:t>
      </w:r>
    </w:p>
    <w:p>
      <w:pPr>
        <w:pStyle w:val="BodyText"/>
        <w:spacing w:line="307" w:lineRule="auto" w:before="13"/>
        <w:ind w:right="1040" w:firstLine="360"/>
        <w:jc w:val="left"/>
      </w:pPr>
      <w:r>
        <w:rPr>
          <w:rFonts w:ascii="Times New Roman" w:hAnsi="Times New Roman" w:cs="Times New Roman" w:eastAsia="Times New Roman" w:hint="default"/>
        </w:rPr>
        <w:t>2</w:t>
      </w:r>
      <w:r>
        <w:rPr/>
        <w:t>、报告期内，《深圳证券交易所股票上市规则》、《深圳证券交易所中小企业板上市公司规范运作指引》、《上市公 司股东、董监高减持股份的若干规定》、《深圳证券交易所上市公司股东及董事、监事、高级管理人员减持股份实施细则》 </w:t>
      </w:r>
      <w:r>
        <w:rPr>
          <w:spacing w:val="-4"/>
        </w:rPr>
        <w:t>等有关法律、法规的规定，分别披露了《关于控股股东减持股份达到</w:t>
      </w:r>
      <w:r>
        <w:rPr>
          <w:rFonts w:ascii="Times New Roman" w:hAnsi="Times New Roman" w:cs="Times New Roman" w:eastAsia="Times New Roman" w:hint="default"/>
          <w:spacing w:val="-4"/>
        </w:rPr>
        <w:t>1%</w:t>
      </w:r>
      <w:r>
        <w:rPr>
          <w:spacing w:val="-4"/>
        </w:rPr>
        <w:t>暨减持数量过半的进展公告》（公告编号：</w:t>
      </w:r>
      <w:r>
        <w:rPr>
          <w:rFonts w:ascii="Times New Roman" w:hAnsi="Times New Roman" w:cs="Times New Roman" w:eastAsia="Times New Roman" w:hint="default"/>
          <w:spacing w:val="-4"/>
        </w:rPr>
        <w:t>2018-105</w:t>
      </w:r>
      <w:r>
        <w:rPr>
          <w:spacing w:val="-4"/>
        </w:rPr>
        <w:t>）</w:t>
      </w:r>
      <w:r>
        <w:rPr>
          <w:spacing w:val="-54"/>
        </w:rPr>
        <w:t> </w:t>
      </w:r>
      <w:r>
        <w:rPr/>
        <w:t>和《关于持股</w:t>
      </w:r>
      <w:r>
        <w:rPr>
          <w:rFonts w:ascii="Times New Roman" w:hAnsi="Times New Roman" w:cs="Times New Roman" w:eastAsia="Times New Roman" w:hint="default"/>
        </w:rPr>
        <w:t>5%</w:t>
      </w:r>
      <w:r>
        <w:rPr/>
        <w:t>以上股东计划增持股份的进展公告》（公告编号：</w:t>
      </w:r>
      <w:r>
        <w:rPr>
          <w:rFonts w:ascii="Times New Roman" w:hAnsi="Times New Roman" w:cs="Times New Roman" w:eastAsia="Times New Roman" w:hint="default"/>
        </w:rPr>
        <w:t>2018-106</w:t>
      </w:r>
      <w:r>
        <w:rPr/>
        <w:t>）；</w:t>
      </w:r>
    </w:p>
    <w:p>
      <w:pPr>
        <w:pStyle w:val="BodyText"/>
        <w:spacing w:line="240" w:lineRule="auto" w:before="7"/>
        <w:ind w:left="514" w:right="0"/>
        <w:jc w:val="left"/>
      </w:pPr>
      <w:r>
        <w:rPr>
          <w:rFonts w:ascii="Times New Roman" w:hAnsi="Times New Roman" w:cs="Times New Roman" w:eastAsia="Times New Roman" w:hint="default"/>
        </w:rPr>
        <w:t>3</w:t>
      </w:r>
      <w:r>
        <w:rPr/>
        <w:t>、报告期内，根据《公司法》、《证券法》、《上市公司收购管理办法》、《公开发行证券的公司信息披露内容与格</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ind w:right="1132"/>
        <w:jc w:val="both"/>
      </w:pPr>
      <w:r>
        <w:rPr>
          <w:spacing w:val="-2"/>
        </w:rPr>
        <w:t>式准则第</w:t>
      </w:r>
      <w:r>
        <w:rPr>
          <w:rFonts w:ascii="Times New Roman" w:hAnsi="Times New Roman" w:cs="Times New Roman" w:eastAsia="Times New Roman" w:hint="default"/>
          <w:spacing w:val="-2"/>
        </w:rPr>
        <w:t>15</w:t>
      </w:r>
      <w:r>
        <w:rPr>
          <w:spacing w:val="-2"/>
        </w:rPr>
        <w:t>号</w:t>
      </w:r>
      <w:r>
        <w:rPr>
          <w:rFonts w:ascii="Times New Roman" w:hAnsi="Times New Roman" w:cs="Times New Roman" w:eastAsia="Times New Roman" w:hint="default"/>
          <w:spacing w:val="-2"/>
        </w:rPr>
        <w:t>——</w:t>
      </w:r>
      <w:r>
        <w:rPr>
          <w:spacing w:val="-2"/>
        </w:rPr>
        <w:t>权益变动报告书》及相关的法律和法规的要求，分别披露了《详式权益变动报告书》和《简式权益变动报</w:t>
      </w:r>
      <w:r>
        <w:rPr>
          <w:spacing w:val="-64"/>
        </w:rPr>
        <w:t> </w:t>
      </w:r>
      <w:r>
        <w:rPr>
          <w:spacing w:val="-64"/>
        </w:rPr>
      </w:r>
      <w:r>
        <w:rPr/>
        <w:t>告书》，瞿洪桂先生直接持有公司</w:t>
      </w:r>
      <w:r>
        <w:rPr>
          <w:rFonts w:ascii="Times New Roman" w:hAnsi="Times New Roman" w:cs="Times New Roman" w:eastAsia="Times New Roman" w:hint="default"/>
        </w:rPr>
        <w:t>127,394,324 </w:t>
      </w:r>
      <w:r>
        <w:rPr/>
        <w:t>股，占公司总股本比例的</w:t>
      </w:r>
      <w:r>
        <w:rPr>
          <w:spacing w:val="-53"/>
        </w:rPr>
        <w:t> </w:t>
      </w:r>
      <w:r>
        <w:rPr>
          <w:rFonts w:ascii="Times New Roman" w:hAnsi="Times New Roman" w:cs="Times New Roman" w:eastAsia="Times New Roman" w:hint="default"/>
        </w:rPr>
        <w:t>18.42%</w:t>
      </w:r>
      <w:r>
        <w:rPr/>
        <w:t>，通过其实际控制的云泽投资发行的云泽投 资 </w:t>
      </w:r>
      <w:r>
        <w:rPr>
          <w:rFonts w:ascii="Times New Roman" w:hAnsi="Times New Roman" w:cs="Times New Roman" w:eastAsia="Times New Roman" w:hint="default"/>
        </w:rPr>
        <w:t>1 </w:t>
      </w:r>
      <w:r>
        <w:rPr/>
        <w:t>号私募证券投资基金间接持有公司</w:t>
      </w:r>
      <w:r>
        <w:rPr>
          <w:rFonts w:ascii="Times New Roman" w:hAnsi="Times New Roman" w:cs="Times New Roman" w:eastAsia="Times New Roman" w:hint="default"/>
        </w:rPr>
        <w:t>11,370,000 </w:t>
      </w:r>
      <w:r>
        <w:rPr/>
        <w:t>股，占公司总股本比例的</w:t>
      </w:r>
      <w:r>
        <w:rPr>
          <w:rFonts w:ascii="Times New Roman" w:hAnsi="Times New Roman" w:cs="Times New Roman" w:eastAsia="Times New Roman" w:hint="default"/>
        </w:rPr>
        <w:t>1.64%</w:t>
      </w:r>
      <w:r>
        <w:rPr/>
        <w:t>，合计持有公司 </w:t>
      </w:r>
      <w:r>
        <w:rPr>
          <w:rFonts w:ascii="Times New Roman" w:hAnsi="Times New Roman" w:cs="Times New Roman" w:eastAsia="Times New Roman" w:hint="default"/>
        </w:rPr>
        <w:t>138,764,324</w:t>
      </w:r>
      <w:r>
        <w:rPr>
          <w:rFonts w:ascii="Times New Roman" w:hAnsi="Times New Roman" w:cs="Times New Roman" w:eastAsia="Times New Roman" w:hint="default"/>
          <w:spacing w:val="29"/>
        </w:rPr>
        <w:t> </w:t>
      </w:r>
      <w:r>
        <w:rPr/>
        <w:t>股，占公司 总股本比例的</w:t>
      </w:r>
      <w:r>
        <w:rPr>
          <w:rFonts w:ascii="Times New Roman" w:hAnsi="Times New Roman" w:cs="Times New Roman" w:eastAsia="Times New Roman" w:hint="default"/>
        </w:rPr>
        <w:t>20.07%</w:t>
      </w:r>
      <w:r>
        <w:rPr/>
        <w:t>。</w:t>
      </w:r>
    </w:p>
    <w:p>
      <w:pPr>
        <w:pStyle w:val="BodyText"/>
        <w:spacing w:line="300" w:lineRule="auto" w:before="13"/>
        <w:ind w:right="1117" w:firstLine="360"/>
        <w:jc w:val="left"/>
      </w:pPr>
      <w:r>
        <w:rPr>
          <w:rFonts w:ascii="Times New Roman" w:hAnsi="Times New Roman" w:cs="Times New Roman" w:eastAsia="Times New Roman" w:hint="default"/>
        </w:rPr>
        <w:t>4</w:t>
      </w:r>
      <w:r>
        <w:rPr/>
        <w:t>、截止本报告披露日，瞿洪桂先生直接持有公司 </w:t>
      </w:r>
      <w:r>
        <w:rPr>
          <w:rFonts w:ascii="Times New Roman" w:hAnsi="Times New Roman" w:cs="Times New Roman" w:eastAsia="Times New Roman" w:hint="default"/>
        </w:rPr>
        <w:t>127,394,324 </w:t>
      </w:r>
      <w:r>
        <w:rPr/>
        <w:t>股，占公司总股本比例的</w:t>
      </w:r>
      <w:r>
        <w:rPr>
          <w:spacing w:val="-55"/>
        </w:rPr>
        <w:t> </w:t>
      </w:r>
      <w:r>
        <w:rPr>
          <w:rFonts w:ascii="Times New Roman" w:hAnsi="Times New Roman" w:cs="Times New Roman" w:eastAsia="Times New Roman" w:hint="default"/>
        </w:rPr>
        <w:t>18.42%</w:t>
      </w:r>
      <w:r>
        <w:rPr/>
        <w:t>，通过其实际控制的云 泽投资发行的云泽投资 </w:t>
      </w:r>
      <w:r>
        <w:rPr>
          <w:rFonts w:ascii="Times New Roman" w:hAnsi="Times New Roman" w:cs="Times New Roman" w:eastAsia="Times New Roman" w:hint="default"/>
        </w:rPr>
        <w:t>1 </w:t>
      </w:r>
      <w:r>
        <w:rPr/>
        <w:t>号私募证券投资基金间接持有公司</w:t>
      </w:r>
      <w:r>
        <w:rPr>
          <w:rFonts w:ascii="Times New Roman" w:hAnsi="Times New Roman" w:cs="Times New Roman" w:eastAsia="Times New Roman" w:hint="default"/>
        </w:rPr>
        <w:t>13,080,000</w:t>
      </w:r>
      <w:r>
        <w:rPr>
          <w:rFonts w:ascii="Times New Roman" w:hAnsi="Times New Roman" w:cs="Times New Roman" w:eastAsia="Times New Roman" w:hint="default"/>
          <w:spacing w:val="-11"/>
        </w:rPr>
        <w:t> </w:t>
      </w:r>
      <w:r>
        <w:rPr/>
        <w:t>股，占公司总股本比例的</w:t>
      </w:r>
      <w:r>
        <w:rPr>
          <w:rFonts w:ascii="Times New Roman" w:hAnsi="Times New Roman" w:cs="Times New Roman" w:eastAsia="Times New Roman" w:hint="default"/>
        </w:rPr>
        <w:t>1.89%</w:t>
      </w:r>
      <w:r>
        <w:rPr/>
        <w:t>，合计持有公司 </w:t>
      </w:r>
      <w:r>
        <w:rPr>
          <w:rFonts w:ascii="Times New Roman" w:hAnsi="Times New Roman" w:cs="Times New Roman" w:eastAsia="Times New Roman" w:hint="default"/>
        </w:rPr>
        <w:t>140,474,324  </w:t>
      </w:r>
      <w:r>
        <w:rPr/>
        <w:t>股，占公司总股本比例的</w:t>
      </w:r>
      <w:r>
        <w:rPr>
          <w:spacing w:val="-39"/>
        </w:rPr>
        <w:t> </w:t>
      </w:r>
      <w:r>
        <w:rPr>
          <w:rFonts w:ascii="Times New Roman" w:hAnsi="Times New Roman" w:cs="Times New Roman" w:eastAsia="Times New Roman" w:hint="default"/>
        </w:rPr>
        <w:t>20.31%</w:t>
      </w:r>
      <w:r>
        <w:rPr/>
        <w:t>，为公司第一大股东。</w:t>
      </w:r>
    </w:p>
    <w:p>
      <w:pPr>
        <w:spacing w:line="316" w:lineRule="auto" w:before="13"/>
        <w:ind w:left="514" w:right="1122" w:firstLine="1"/>
        <w:jc w:val="left"/>
        <w:rPr>
          <w:rFonts w:ascii="宋体" w:hAnsi="宋体" w:cs="宋体" w:eastAsia="宋体" w:hint="default"/>
          <w:sz w:val="18"/>
          <w:szCs w:val="18"/>
        </w:rPr>
      </w:pPr>
      <w:r>
        <w:rPr>
          <w:rFonts w:ascii="宋体" w:hAnsi="宋体" w:cs="宋体" w:eastAsia="宋体" w:hint="default"/>
          <w:b/>
          <w:bCs/>
          <w:sz w:val="18"/>
          <w:szCs w:val="18"/>
        </w:rPr>
        <w:t>（四）变更持续督导保荐机构及保荐代表人</w:t>
      </w:r>
      <w:r>
        <w:rPr>
          <w:rFonts w:ascii="宋体" w:hAnsi="宋体" w:cs="宋体" w:eastAsia="宋体" w:hint="default"/>
          <w:b/>
          <w:bCs/>
          <w:w w:val="99"/>
          <w:sz w:val="18"/>
          <w:szCs w:val="18"/>
        </w:rPr>
        <w:t> </w:t>
      </w:r>
      <w:r>
        <w:rPr>
          <w:rFonts w:ascii="宋体" w:hAnsi="宋体" w:cs="宋体" w:eastAsia="宋体" w:hint="default"/>
          <w:sz w:val="18"/>
          <w:szCs w:val="18"/>
        </w:rPr>
        <w:t>公司根据持续督导保荐机构及保荐代表人的通知安排，于</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日召开第七届董事会第十一次会议，审议通过了</w:t>
      </w:r>
    </w:p>
    <w:p>
      <w:pPr>
        <w:pStyle w:val="BodyText"/>
        <w:spacing w:line="304" w:lineRule="auto" w:before="0"/>
        <w:ind w:right="1042"/>
        <w:jc w:val="left"/>
      </w:pPr>
      <w:r>
        <w:rPr/>
        <w:t>《关于变更持续督导保荐机构及保荐代表人的议案》，并披露了《关于变更持续督导保荐机构及保荐代表人的公告》</w:t>
      </w:r>
      <w:r>
        <w:rPr>
          <w:rFonts w:ascii="Times New Roman" w:hAnsi="Times New Roman" w:cs="Times New Roman" w:eastAsia="Times New Roman" w:hint="default"/>
        </w:rPr>
        <w:t>(</w:t>
      </w:r>
      <w:r>
        <w:rPr/>
        <w:t>公告 编号：</w:t>
      </w:r>
      <w:r>
        <w:rPr>
          <w:rFonts w:ascii="Times New Roman" w:hAnsi="Times New Roman" w:cs="Times New Roman" w:eastAsia="Times New Roman" w:hint="default"/>
        </w:rPr>
        <w:t>2018-003</w:t>
      </w:r>
      <w:r>
        <w:rPr/>
        <w:t>）。公司与国海证券签订了《关于终止持续督导服务的协议书》，与开源证券签订了《持续督导协议》，并 </w:t>
      </w:r>
      <w:r>
        <w:rPr>
          <w:spacing w:val="-2"/>
        </w:rPr>
        <w:t>重新签订了《募集资金专户存储监管协议》，国海证券未完成的对公司非公开发行股票的持续督导工作由开源证券承继，开</w:t>
      </w:r>
      <w:r>
        <w:rPr>
          <w:spacing w:val="-66"/>
        </w:rPr>
        <w:t> </w:t>
      </w:r>
      <w:r>
        <w:rPr>
          <w:spacing w:val="-66"/>
        </w:rPr>
      </w:r>
      <w:r>
        <w:rPr>
          <w:spacing w:val="-2"/>
        </w:rPr>
        <w:t>源证券指定保荐代表人陈晖、沈坚负责公司的持续督导工作。</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8</w:t>
      </w:r>
      <w:r>
        <w:rPr>
          <w:spacing w:val="-2"/>
        </w:rPr>
        <w:t>月公司披露了《关于变更持续督导保荐代表人的公告》</w:t>
      </w:r>
      <w:r>
        <w:rPr>
          <w:spacing w:val="-60"/>
        </w:rPr>
        <w:t> </w:t>
      </w:r>
      <w:r>
        <w:rPr>
          <w:spacing w:val="-60"/>
        </w:rPr>
      </w:r>
      <w:r>
        <w:rPr>
          <w:rFonts w:ascii="Times New Roman" w:hAnsi="Times New Roman" w:cs="Times New Roman" w:eastAsia="Times New Roman" w:hint="default"/>
        </w:rPr>
        <w:t>(</w:t>
      </w:r>
      <w:r>
        <w:rPr/>
        <w:t>公告编号：</w:t>
      </w:r>
      <w:r>
        <w:rPr>
          <w:rFonts w:ascii="Times New Roman" w:hAnsi="Times New Roman" w:cs="Times New Roman" w:eastAsia="Times New Roman" w:hint="default"/>
        </w:rPr>
        <w:t>2018-067</w:t>
      </w:r>
      <w:r>
        <w:rPr/>
        <w:t>），开源证券指派叶跃祥和陈功接替陈晖、沈坚，担任公司非公开发行股票持续督导的保荐代表人。 截至报告期，公司持续督导保荐机构为开源证券，非公开发行股票持续督导的保荐代表人为叶跃祥、陈功。</w:t>
      </w:r>
    </w:p>
    <w:p>
      <w:pPr>
        <w:pStyle w:val="Heading5"/>
        <w:spacing w:line="240" w:lineRule="auto" w:before="28"/>
        <w:ind w:right="0"/>
        <w:jc w:val="left"/>
        <w:rPr>
          <w:b w:val="0"/>
          <w:bCs w:val="0"/>
        </w:rPr>
      </w:pPr>
      <w:r>
        <w:rPr/>
        <w:t>（五）主要荣誉奖项方面</w:t>
      </w:r>
      <w:r>
        <w:rPr>
          <w:b w:val="0"/>
          <w:bCs w:val="0"/>
        </w:rPr>
      </w:r>
    </w:p>
    <w:p>
      <w:pPr>
        <w:pStyle w:val="BodyText"/>
        <w:spacing w:line="300" w:lineRule="auto" w:before="76"/>
        <w:ind w:left="514" w:right="1142"/>
        <w:jc w:val="left"/>
      </w:pPr>
      <w:r>
        <w:rPr>
          <w:rFonts w:ascii="Times New Roman" w:hAnsi="Times New Roman" w:cs="Times New Roman" w:eastAsia="Times New Roman" w:hint="default"/>
        </w:rPr>
        <w:t>1</w:t>
      </w:r>
      <w:r>
        <w:rPr/>
        <w:t>、全资子公司荣获</w:t>
      </w:r>
      <w:r>
        <w:rPr>
          <w:rFonts w:ascii="Times New Roman" w:hAnsi="Times New Roman" w:cs="Times New Roman" w:eastAsia="Times New Roman" w:hint="default"/>
        </w:rPr>
        <w:t>2018</w:t>
      </w:r>
      <w:r>
        <w:rPr/>
        <w:t>年度中国电子信息行业创新成果盘古奖 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19</w:t>
      </w:r>
      <w:r>
        <w:rPr/>
        <w:t>日收到全资子公司北京中电兴发的告知函：北京中电兴发申报的贵州省六盘水</w:t>
      </w:r>
      <w:r>
        <w:rPr>
          <w:rFonts w:ascii="Times New Roman" w:hAnsi="Times New Roman" w:cs="Times New Roman" w:eastAsia="Times New Roman" w:hint="default"/>
        </w:rPr>
        <w:t>“</w:t>
      </w:r>
      <w:r>
        <w:rPr/>
        <w:t>天网</w:t>
      </w:r>
      <w:r>
        <w:rPr>
          <w:rFonts w:ascii="Times New Roman" w:hAnsi="Times New Roman" w:cs="Times New Roman" w:eastAsia="Times New Roman" w:hint="default"/>
        </w:rPr>
        <w:t>”</w:t>
      </w:r>
      <w:r>
        <w:rPr/>
        <w:t>工程总集成项</w:t>
      </w:r>
    </w:p>
    <w:p>
      <w:pPr>
        <w:pStyle w:val="BodyText"/>
        <w:spacing w:line="309" w:lineRule="auto" w:before="13"/>
        <w:ind w:right="1031"/>
        <w:jc w:val="left"/>
      </w:pPr>
      <w:r>
        <w:rPr/>
        <w:t>目近日荣获</w:t>
      </w:r>
      <w:r>
        <w:rPr>
          <w:spacing w:val="13"/>
        </w:rPr>
        <w:t> </w:t>
      </w:r>
      <w:r>
        <w:rPr>
          <w:rFonts w:ascii="Times New Roman" w:hAnsi="Times New Roman" w:cs="Times New Roman" w:eastAsia="Times New Roman" w:hint="default"/>
          <w:spacing w:val="-2"/>
        </w:rPr>
        <w:t>2018</w:t>
      </w:r>
      <w:r>
        <w:rPr>
          <w:spacing w:val="-2"/>
        </w:rPr>
        <w:t>年度中国电子信息行业创新成果（创新应用类）盘古奖。本次获奖的贵州省六盘水市天网工程总集成项目，</w:t>
      </w:r>
      <w:r>
        <w:rPr>
          <w:spacing w:val="-87"/>
        </w:rPr>
        <w:t> </w:t>
      </w:r>
      <w:r>
        <w:rPr>
          <w:spacing w:val="-87"/>
        </w:rPr>
      </w:r>
      <w:r>
        <w:rPr/>
        <w:t>项目总投资</w:t>
      </w:r>
      <w:r>
        <w:rPr>
          <w:rFonts w:ascii="Times New Roman" w:hAnsi="Times New Roman" w:cs="Times New Roman" w:eastAsia="Times New Roman" w:hint="default"/>
        </w:rPr>
        <w:t>13.07</w:t>
      </w:r>
      <w:r>
        <w:rPr/>
        <w:t>亿元，运营维护期</w:t>
      </w:r>
      <w:r>
        <w:rPr>
          <w:rFonts w:ascii="Times New Roman" w:hAnsi="Times New Roman" w:cs="Times New Roman" w:eastAsia="Times New Roman" w:hint="default"/>
        </w:rPr>
        <w:t>10</w:t>
      </w:r>
      <w:r>
        <w:rPr/>
        <w:t>年，建设范围覆盖六盘水市</w:t>
      </w:r>
      <w:r>
        <w:rPr>
          <w:rFonts w:ascii="Times New Roman" w:hAnsi="Times New Roman" w:cs="Times New Roman" w:eastAsia="Times New Roman" w:hint="default"/>
        </w:rPr>
        <w:t>5</w:t>
      </w:r>
      <w:r>
        <w:rPr/>
        <w:t>个区县</w:t>
      </w:r>
      <w:r>
        <w:rPr>
          <w:rFonts w:ascii="Times New Roman" w:hAnsi="Times New Roman" w:cs="Times New Roman" w:eastAsia="Times New Roman" w:hint="default"/>
        </w:rPr>
        <w:t>36</w:t>
      </w:r>
      <w:r>
        <w:rPr/>
        <w:t>个乡镇派出所，该项目是中国目前单一最大的智 </w:t>
      </w:r>
      <w:r>
        <w:rPr>
          <w:spacing w:val="-2"/>
        </w:rPr>
        <w:t>慧社会治理项目，真正实现了跨地区、跨部门、跨业务的信息融合与应用，已成为中国全方位、立体化智慧社会治理体系建</w:t>
      </w:r>
      <w:r>
        <w:rPr>
          <w:spacing w:val="-66"/>
        </w:rPr>
        <w:t> </w:t>
      </w:r>
      <w:r>
        <w:rPr>
          <w:spacing w:val="-66"/>
        </w:rPr>
      </w:r>
      <w:r>
        <w:rPr>
          <w:spacing w:val="-2"/>
        </w:rPr>
        <w:t>设的标杆。此次荣誉的获得，是中国电子信息行业联合会对公司自主核心技术、产品及全面解决方案创新应用能力的极大肯</w:t>
      </w:r>
      <w:r>
        <w:rPr>
          <w:spacing w:val="-66"/>
        </w:rPr>
        <w:t> </w:t>
      </w:r>
      <w:r>
        <w:rPr>
          <w:spacing w:val="-66"/>
        </w:rPr>
      </w:r>
      <w:r>
        <w:rPr/>
        <w:t>定，将进一步促进公司完善智慧平安城市及</w:t>
      </w:r>
      <w:r>
        <w:rPr>
          <w:rFonts w:ascii="Times New Roman" w:hAnsi="Times New Roman" w:cs="Times New Roman" w:eastAsia="Times New Roman" w:hint="default"/>
        </w:rPr>
        <w:t>“</w:t>
      </w:r>
      <w:r>
        <w:rPr/>
        <w:t>天网</w:t>
      </w:r>
      <w:r>
        <w:rPr>
          <w:rFonts w:ascii="Times New Roman" w:hAnsi="Times New Roman" w:cs="Times New Roman" w:eastAsia="Times New Roman" w:hint="default"/>
        </w:rPr>
        <w:t>”</w:t>
      </w:r>
      <w:r>
        <w:rPr/>
        <w:t>工程解决方案，进一步提高公司在智慧平安城市、公共安全及</w:t>
      </w:r>
      <w:r>
        <w:rPr>
          <w:rFonts w:ascii="Times New Roman" w:hAnsi="Times New Roman" w:cs="Times New Roman" w:eastAsia="Times New Roman" w:hint="default"/>
        </w:rPr>
        <w:t>“</w:t>
      </w:r>
      <w:r>
        <w:rPr/>
        <w:t>天网</w:t>
      </w:r>
      <w:r>
        <w:rPr>
          <w:rFonts w:ascii="Times New Roman" w:hAnsi="Times New Roman" w:cs="Times New Roman" w:eastAsia="Times New Roman" w:hint="default"/>
        </w:rPr>
        <w:t>”</w:t>
      </w:r>
      <w:r>
        <w:rPr/>
        <w:t>工程</w:t>
      </w:r>
      <w:r>
        <w:rPr>
          <w:spacing w:val="1"/>
        </w:rPr>
        <w:t> </w:t>
      </w:r>
      <w:r>
        <w:rPr>
          <w:spacing w:val="-2"/>
        </w:rPr>
        <w:t>领域的市场影响力及示范作用，进一步提高公司在智慧城市的运行效率并不断精益求精地复制，更好地专注于新型智慧城市</w:t>
      </w:r>
      <w:r>
        <w:rPr>
          <w:spacing w:val="-64"/>
        </w:rPr>
        <w:t> </w:t>
      </w:r>
      <w:r>
        <w:rPr>
          <w:spacing w:val="-64"/>
        </w:rPr>
      </w:r>
      <w:r>
        <w:rPr/>
        <w:t>的建设、投资与运营服务。</w:t>
      </w:r>
    </w:p>
    <w:p>
      <w:pPr>
        <w:pStyle w:val="BodyText"/>
        <w:spacing w:line="300" w:lineRule="auto" w:before="24"/>
        <w:ind w:left="531" w:right="1195"/>
        <w:jc w:val="left"/>
      </w:pPr>
      <w:r>
        <w:rPr>
          <w:rFonts w:ascii="Times New Roman" w:hAnsi="Times New Roman" w:cs="Times New Roman" w:eastAsia="Times New Roman" w:hint="default"/>
        </w:rPr>
        <w:t>2.</w:t>
      </w:r>
      <w:r>
        <w:rPr/>
        <w:t>全资子公司荣获全国政法智能化建设领域十大解决方案提供商称号 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w:t>
      </w:r>
      <w:r>
        <w:rPr/>
        <w:t>日收到全资子公司北京中电兴发的告知函，北京中电兴发申报的黑龙江省人民检察院电子检务工程</w:t>
      </w:r>
    </w:p>
    <w:p>
      <w:pPr>
        <w:pStyle w:val="BodyText"/>
        <w:spacing w:line="307" w:lineRule="auto" w:before="13"/>
        <w:ind w:right="1032"/>
        <w:jc w:val="left"/>
      </w:pPr>
      <w:r>
        <w:rPr/>
        <w:t>（网络与检察专用信息系统建设项目）近日在中央政法委机关报《法制日报》主办的 </w:t>
      </w:r>
      <w:r>
        <w:rPr>
          <w:rFonts w:ascii="Times New Roman" w:hAnsi="Times New Roman" w:cs="Times New Roman" w:eastAsia="Times New Roman" w:hint="default"/>
        </w:rPr>
        <w:t>2018</w:t>
      </w:r>
      <w:r>
        <w:rPr>
          <w:rFonts w:ascii="Times New Roman" w:hAnsi="Times New Roman" w:cs="Times New Roman" w:eastAsia="Times New Roman" w:hint="default"/>
          <w:spacing w:val="-19"/>
        </w:rPr>
        <w:t> </w:t>
      </w:r>
      <w:r>
        <w:rPr/>
        <w:t>全国政法智能化建设创新案例评 选活动中荣获智慧检务十大解决方案提供商称号。公司作为目前中国具有国家部委核准并颁发的</w:t>
      </w:r>
      <w:r>
        <w:rPr>
          <w:rFonts w:ascii="Times New Roman" w:hAnsi="Times New Roman" w:cs="Times New Roman" w:eastAsia="Times New Roman" w:hint="default"/>
        </w:rPr>
        <w:t>“</w:t>
      </w:r>
      <w:r>
        <w:rPr/>
        <w:t>九甲</w:t>
      </w:r>
      <w:r>
        <w:rPr>
          <w:rFonts w:ascii="Times New Roman" w:hAnsi="Times New Roman" w:cs="Times New Roman" w:eastAsia="Times New Roman" w:hint="default"/>
        </w:rPr>
        <w:t>”</w:t>
      </w:r>
      <w:r>
        <w:rPr/>
        <w:t>资质的总集成商、整 </w:t>
      </w:r>
      <w:r>
        <w:rPr>
          <w:spacing w:val="-2"/>
        </w:rPr>
        <w:t>体解决方案供应商和智慧城市运营服务商，在政法智能化建设领域拥有深厚的技术积累，已累计完成了数百个政法信息化项</w:t>
      </w:r>
      <w:r>
        <w:rPr>
          <w:spacing w:val="-64"/>
        </w:rPr>
        <w:t> </w:t>
      </w:r>
      <w:r>
        <w:rPr>
          <w:spacing w:val="-64"/>
        </w:rPr>
      </w:r>
      <w:r>
        <w:rPr/>
        <w:t>目，仅</w:t>
      </w:r>
      <w:r>
        <w:rPr>
          <w:rFonts w:ascii="Times New Roman" w:hAnsi="Times New Roman" w:cs="Times New Roman" w:eastAsia="Times New Roman" w:hint="default"/>
        </w:rPr>
        <w:t>2017</w:t>
      </w:r>
      <w:r>
        <w:rPr>
          <w:rFonts w:ascii="Times New Roman" w:hAnsi="Times New Roman" w:cs="Times New Roman" w:eastAsia="Times New Roman" w:hint="default"/>
          <w:spacing w:val="27"/>
        </w:rPr>
        <w:t> </w:t>
      </w:r>
      <w:r>
        <w:rPr/>
        <w:t>年以来就承揽了北京丰台区科技创安图像系统建设项目（智能应用部分）、新疆乌鲁木齐综治视联网项目、河 </w:t>
      </w:r>
      <w:r>
        <w:rPr>
          <w:spacing w:val="-2"/>
        </w:rPr>
        <w:t>北枣强雪亮工程、安徽芜湖雪亮工程、新疆伊宁县雪亮工程、安徽省淮南市平安淮南等</w:t>
      </w:r>
      <w:r>
        <w:rPr>
          <w:rFonts w:ascii="Times New Roman" w:hAnsi="Times New Roman" w:cs="Times New Roman" w:eastAsia="Times New Roman" w:hint="default"/>
          <w:spacing w:val="-2"/>
        </w:rPr>
        <w:t>10</w:t>
      </w:r>
      <w:r>
        <w:rPr>
          <w:rFonts w:ascii="Times New Roman" w:hAnsi="Times New Roman" w:cs="Times New Roman" w:eastAsia="Times New Roman" w:hint="default"/>
          <w:spacing w:val="21"/>
        </w:rPr>
        <w:t> </w:t>
      </w:r>
      <w:r>
        <w:rPr>
          <w:spacing w:val="-2"/>
        </w:rPr>
        <w:t>余个大型项目。此次荣誉的获得，</w:t>
      </w:r>
      <w:r>
        <w:rPr>
          <w:spacing w:val="-85"/>
        </w:rPr>
        <w:t> </w:t>
      </w:r>
      <w:r>
        <w:rPr>
          <w:spacing w:val="-85"/>
        </w:rPr>
      </w:r>
      <w:r>
        <w:rPr>
          <w:spacing w:val="-2"/>
        </w:rPr>
        <w:t>是中央政法委机关对公司在政法智能化建设领域的自主核心技术、产品及全面解决方案应用能力的极大肯定，对北京中电兴</w:t>
      </w:r>
      <w:r>
        <w:rPr>
          <w:spacing w:val="-64"/>
        </w:rPr>
        <w:t> </w:t>
      </w:r>
      <w:r>
        <w:rPr>
          <w:spacing w:val="-64"/>
        </w:rPr>
      </w:r>
      <w:r>
        <w:rPr>
          <w:spacing w:val="-2"/>
        </w:rPr>
        <w:t>发在政法智能化建设领域的产品、业务发展以及市场拓展产生积极的促进和推动作用，进一步提高公司在智慧城市、公共安</w:t>
      </w:r>
      <w:r>
        <w:rPr>
          <w:spacing w:val="-66"/>
        </w:rPr>
        <w:t> </w:t>
      </w:r>
      <w:r>
        <w:rPr>
          <w:spacing w:val="-66"/>
        </w:rPr>
      </w:r>
      <w:r>
        <w:rPr/>
        <w:t>全与反恐领域中的市场影响力及示范作用。</w:t>
      </w:r>
    </w:p>
    <w:p>
      <w:pPr>
        <w:pStyle w:val="BodyText"/>
        <w:spacing w:line="240" w:lineRule="auto" w:before="26"/>
        <w:ind w:left="531" w:right="0"/>
        <w:jc w:val="left"/>
      </w:pPr>
      <w:r>
        <w:rPr>
          <w:rFonts w:ascii="Times New Roman" w:hAnsi="Times New Roman" w:cs="Times New Roman" w:eastAsia="Times New Roman" w:hint="default"/>
        </w:rPr>
        <w:t>3</w:t>
      </w:r>
      <w:r>
        <w:rPr/>
        <w:t>、全资子公司荣登</w:t>
      </w:r>
      <w:r>
        <w:rPr>
          <w:rFonts w:ascii="Times New Roman" w:hAnsi="Times New Roman" w:cs="Times New Roman" w:eastAsia="Times New Roman" w:hint="default"/>
        </w:rPr>
        <w:t>2018</w:t>
      </w:r>
      <w:r>
        <w:rPr/>
        <w:t>北京民营企业科技创新百强榜</w:t>
      </w:r>
    </w:p>
    <w:p>
      <w:pPr>
        <w:pStyle w:val="BodyText"/>
        <w:spacing w:line="309" w:lineRule="auto" w:before="63"/>
        <w:ind w:right="0" w:firstLine="378"/>
        <w:jc w:val="left"/>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18</w:t>
      </w:r>
      <w:r>
        <w:rPr>
          <w:spacing w:val="-2"/>
        </w:rPr>
        <w:t>日，</w:t>
      </w:r>
      <w:r>
        <w:rPr>
          <w:rFonts w:ascii="Times New Roman" w:hAnsi="Times New Roman" w:cs="Times New Roman" w:eastAsia="Times New Roman" w:hint="default"/>
          <w:spacing w:val="-2"/>
        </w:rPr>
        <w:t>“2018</w:t>
      </w:r>
      <w:r>
        <w:rPr>
          <w:spacing w:val="-2"/>
        </w:rPr>
        <w:t>北京民营企业</w:t>
      </w:r>
      <w:r>
        <w:rPr>
          <w:rFonts w:ascii="Times New Roman" w:hAnsi="Times New Roman" w:cs="Times New Roman" w:eastAsia="Times New Roman" w:hint="default"/>
          <w:spacing w:val="-2"/>
        </w:rPr>
        <w:t>100</w:t>
      </w:r>
      <w:r>
        <w:rPr>
          <w:spacing w:val="-2"/>
        </w:rPr>
        <w:t>强发布会</w:t>
      </w:r>
      <w:r>
        <w:rPr>
          <w:rFonts w:ascii="Times New Roman" w:hAnsi="Times New Roman" w:cs="Times New Roman" w:eastAsia="Times New Roman" w:hint="default"/>
          <w:spacing w:val="-2"/>
        </w:rPr>
        <w:t>”</w:t>
      </w:r>
      <w:r>
        <w:rPr>
          <w:spacing w:val="-2"/>
        </w:rPr>
        <w:t>在北京举行，北京中电兴发荣登</w:t>
      </w:r>
      <w:r>
        <w:rPr>
          <w:rFonts w:ascii="Times New Roman" w:hAnsi="Times New Roman" w:cs="Times New Roman" w:eastAsia="Times New Roman" w:hint="default"/>
          <w:spacing w:val="-2"/>
        </w:rPr>
        <w:t>2018</w:t>
      </w:r>
      <w:r>
        <w:rPr>
          <w:spacing w:val="-2"/>
        </w:rPr>
        <w:t>北京民营企业科技创新百强榜。</w:t>
      </w:r>
      <w:r>
        <w:rPr/>
        <w:t> </w:t>
      </w:r>
      <w:r>
        <w:rPr>
          <w:spacing w:val="-2"/>
        </w:rPr>
        <w:t>此次荣誉的获得，是对北京中电兴发多年来快速良好发展势头和持续科技创新能力的高度认可。北京中电兴发将继续加大技</w:t>
      </w:r>
      <w:r>
        <w:rPr>
          <w:spacing w:val="-64"/>
        </w:rPr>
        <w:t> </w:t>
      </w:r>
      <w:r>
        <w:rPr>
          <w:spacing w:val="-64"/>
        </w:rPr>
      </w:r>
      <w:r>
        <w:rPr/>
        <w:t>术研发投入，增强社会责任担当，为推动国家和北京市非公有制经济的健康发展贡献更大力量。</w:t>
      </w:r>
    </w:p>
    <w:p>
      <w:pPr>
        <w:pStyle w:val="BodyText"/>
        <w:spacing w:line="240" w:lineRule="auto" w:before="24"/>
        <w:ind w:left="531" w:right="0"/>
        <w:jc w:val="left"/>
      </w:pPr>
      <w:r>
        <w:rPr>
          <w:rFonts w:ascii="Times New Roman" w:hAnsi="Times New Roman" w:cs="Times New Roman" w:eastAsia="Times New Roman" w:hint="default"/>
        </w:rPr>
        <w:t>4</w:t>
      </w:r>
      <w:r>
        <w:rPr/>
        <w:t>、全资子公司荣获</w:t>
      </w:r>
      <w:r>
        <w:rPr>
          <w:rFonts w:ascii="Times New Roman" w:hAnsi="Times New Roman" w:cs="Times New Roman" w:eastAsia="Times New Roman" w:hint="default"/>
        </w:rPr>
        <w:t>“a&amp;s</w:t>
      </w:r>
      <w:r>
        <w:rPr/>
        <w:t>中国百大智能集成企业</w:t>
      </w:r>
      <w:r>
        <w:rPr>
          <w:rFonts w:ascii="Times New Roman" w:hAnsi="Times New Roman" w:cs="Times New Roman" w:eastAsia="Times New Roman" w:hint="default"/>
        </w:rPr>
        <w:t>”</w:t>
      </w:r>
      <w:r>
        <w:rPr/>
        <w:t>多项荣誉</w:t>
      </w:r>
    </w:p>
    <w:p>
      <w:pPr>
        <w:pStyle w:val="BodyText"/>
        <w:spacing w:line="300" w:lineRule="auto" w:before="63"/>
        <w:ind w:right="1049" w:firstLine="378"/>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月，由</w:t>
      </w:r>
      <w:r>
        <w:rPr>
          <w:rFonts w:ascii="Times New Roman" w:hAnsi="Times New Roman" w:cs="Times New Roman" w:eastAsia="Times New Roman" w:hint="default"/>
        </w:rPr>
        <w:t>a&amp;s</w:t>
      </w:r>
      <w:r>
        <w:rPr/>
        <w:t>传媒主办的</w:t>
      </w:r>
      <w:r>
        <w:rPr>
          <w:rFonts w:ascii="Times New Roman" w:hAnsi="Times New Roman" w:cs="Times New Roman" w:eastAsia="Times New Roman" w:hint="default"/>
        </w:rPr>
        <w:t>“2018 a&amp;s</w:t>
      </w:r>
      <w:r>
        <w:rPr>
          <w:rFonts w:ascii="Times New Roman" w:hAnsi="Times New Roman" w:cs="Times New Roman" w:eastAsia="Times New Roman" w:hint="default"/>
          <w:spacing w:val="-2"/>
        </w:rPr>
        <w:t> </w:t>
      </w:r>
      <w:r>
        <w:rPr>
          <w:rFonts w:ascii="Times New Roman" w:hAnsi="Times New Roman" w:cs="Times New Roman" w:eastAsia="Times New Roman" w:hint="default"/>
        </w:rPr>
        <w:t>AI+</w:t>
      </w:r>
      <w:r>
        <w:rPr/>
        <w:t>产业高层峰会</w:t>
      </w:r>
      <w:r>
        <w:rPr>
          <w:rFonts w:ascii="Times New Roman" w:hAnsi="Times New Roman" w:cs="Times New Roman" w:eastAsia="Times New Roman" w:hint="default"/>
        </w:rPr>
        <w:t>”</w:t>
      </w:r>
      <w:r>
        <w:rPr/>
        <w:t>暨</w:t>
      </w:r>
      <w:r>
        <w:rPr>
          <w:rFonts w:ascii="Times New Roman" w:hAnsi="Times New Roman" w:cs="Times New Roman" w:eastAsia="Times New Roman" w:hint="default"/>
        </w:rPr>
        <w:t>2018</w:t>
      </w:r>
      <w:r>
        <w:rPr/>
        <w:t>中国百大智能集成商及安防十大品牌颁奖典礼中， 北京中电兴发凭借在智慧城市和公共安全领域取得的突出成绩，再次获得</w:t>
      </w:r>
      <w:r>
        <w:rPr>
          <w:rFonts w:ascii="Times New Roman" w:hAnsi="Times New Roman" w:cs="Times New Roman" w:eastAsia="Times New Roman" w:hint="default"/>
        </w:rPr>
        <w:t>“</w:t>
      </w:r>
      <w:r>
        <w:rPr/>
        <w:t>中国百大智能集成商</w:t>
      </w:r>
      <w:r>
        <w:rPr>
          <w:rFonts w:ascii="Times New Roman" w:hAnsi="Times New Roman" w:cs="Times New Roman" w:eastAsia="Times New Roman" w:hint="default"/>
        </w:rPr>
        <w:t>”</w:t>
      </w:r>
      <w:r>
        <w:rPr/>
        <w:t>殊荣，并在细分行业的</w:t>
      </w:r>
      <w:r>
        <w:rPr>
          <w:rFonts w:ascii="Times New Roman" w:hAnsi="Times New Roman" w:cs="Times New Roman" w:eastAsia="Times New Roman" w:hint="default"/>
        </w:rPr>
        <w:t>“</w:t>
      </w:r>
      <w:r>
        <w:rPr/>
        <w:t>平 </w:t>
      </w:r>
      <w:r>
        <w:rPr>
          <w:spacing w:val="-2"/>
        </w:rPr>
        <w:t>安城市</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智慧交通</w:t>
      </w:r>
      <w:r>
        <w:rPr>
          <w:rFonts w:ascii="Times New Roman" w:hAnsi="Times New Roman" w:cs="Times New Roman" w:eastAsia="Times New Roman" w:hint="default"/>
          <w:spacing w:val="-2"/>
        </w:rPr>
        <w:t>”</w:t>
      </w:r>
      <w:r>
        <w:rPr>
          <w:spacing w:val="-2"/>
        </w:rPr>
        <w:t>两大板块中名列</w:t>
      </w:r>
      <w:r>
        <w:rPr>
          <w:rFonts w:ascii="Times New Roman" w:hAnsi="Times New Roman" w:cs="Times New Roman" w:eastAsia="Times New Roman" w:hint="default"/>
          <w:spacing w:val="-2"/>
        </w:rPr>
        <w:t>TOP20</w:t>
      </w:r>
      <w:r>
        <w:rPr>
          <w:spacing w:val="-2"/>
        </w:rPr>
        <w:t>榜单，在</w:t>
      </w:r>
      <w:r>
        <w:rPr>
          <w:rFonts w:ascii="Times New Roman" w:hAnsi="Times New Roman" w:cs="Times New Roman" w:eastAsia="Times New Roman" w:hint="default"/>
          <w:spacing w:val="-2"/>
        </w:rPr>
        <w:t>“</w:t>
      </w:r>
      <w:r>
        <w:rPr>
          <w:spacing w:val="-2"/>
        </w:rPr>
        <w:t>安防系统集成</w:t>
      </w:r>
      <w:r>
        <w:rPr>
          <w:rFonts w:ascii="Times New Roman" w:hAnsi="Times New Roman" w:cs="Times New Roman" w:eastAsia="Times New Roman" w:hint="default"/>
          <w:spacing w:val="-2"/>
        </w:rPr>
        <w:t>”</w:t>
      </w:r>
      <w:r>
        <w:rPr>
          <w:spacing w:val="-2"/>
        </w:rPr>
        <w:t>板块中名列</w:t>
      </w:r>
      <w:r>
        <w:rPr>
          <w:rFonts w:ascii="Times New Roman" w:hAnsi="Times New Roman" w:cs="Times New Roman" w:eastAsia="Times New Roman" w:hint="default"/>
          <w:spacing w:val="-2"/>
        </w:rPr>
        <w:t>TOP50</w:t>
      </w:r>
      <w:r>
        <w:rPr>
          <w:spacing w:val="-2"/>
        </w:rPr>
        <w:t>榜单。此次荣誉的获得，充分肯定了</w:t>
      </w:r>
      <w:r>
        <w:rPr>
          <w:spacing w:val="-55"/>
        </w:rPr>
        <w:t> </w:t>
      </w:r>
      <w:r>
        <w:rPr>
          <w:spacing w:val="-55"/>
        </w:rPr>
      </w:r>
      <w:r>
        <w:rPr/>
        <w:t>北京中电兴发在信息系统集成、信息技术服务等方面的骄人成绩。公司将持续加大技术研发投入、增强全面解决方案能力、</w:t>
      </w:r>
    </w:p>
    <w:p>
      <w:pPr>
        <w:spacing w:after="0" w:line="30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ind w:right="0"/>
        <w:jc w:val="left"/>
      </w:pPr>
      <w:r>
        <w:rPr/>
        <w:t>践行项目管理创新，为行业客户创造更大价值。</w:t>
      </w:r>
    </w:p>
    <w:p>
      <w:pPr>
        <w:pStyle w:val="BodyText"/>
        <w:spacing w:line="300" w:lineRule="auto" w:before="76"/>
        <w:ind w:left="531" w:right="0"/>
        <w:jc w:val="left"/>
      </w:pPr>
      <w:r>
        <w:rPr>
          <w:rFonts w:ascii="Times New Roman" w:hAnsi="Times New Roman" w:cs="Times New Roman" w:eastAsia="Times New Roman" w:hint="default"/>
        </w:rPr>
        <w:t>5</w:t>
      </w:r>
      <w:r>
        <w:rPr/>
        <w:t>、全资子公司荣膺</w:t>
      </w:r>
      <w:r>
        <w:rPr>
          <w:rFonts w:ascii="Times New Roman" w:hAnsi="Times New Roman" w:cs="Times New Roman" w:eastAsia="Times New Roman" w:hint="default"/>
        </w:rPr>
        <w:t>“</w:t>
      </w:r>
      <w:r>
        <w:rPr/>
        <w:t>平安建设</w:t>
      </w:r>
      <w:r>
        <w:rPr>
          <w:rFonts w:ascii="Times New Roman" w:hAnsi="Times New Roman" w:cs="Times New Roman" w:eastAsia="Times New Roman" w:hint="default"/>
        </w:rPr>
        <w:t>”</w:t>
      </w:r>
      <w:r>
        <w:rPr/>
        <w:t>优秀行业解决方案提供商 </w:t>
      </w:r>
      <w:r>
        <w:rPr>
          <w:spacing w:val="-2"/>
        </w:rPr>
        <w:t>由中国安全防范产品行业协会组织开展的</w:t>
      </w:r>
      <w:r>
        <w:rPr>
          <w:rFonts w:ascii="Times New Roman" w:hAnsi="Times New Roman" w:cs="Times New Roman" w:eastAsia="Times New Roman" w:hint="default"/>
          <w:spacing w:val="-2"/>
        </w:rPr>
        <w:t>2018“</w:t>
      </w:r>
      <w:r>
        <w:rPr>
          <w:spacing w:val="-2"/>
        </w:rPr>
        <w:t>平安建设</w:t>
      </w:r>
      <w:r>
        <w:rPr>
          <w:rFonts w:ascii="Times New Roman" w:hAnsi="Times New Roman" w:cs="Times New Roman" w:eastAsia="Times New Roman" w:hint="default"/>
          <w:spacing w:val="-2"/>
        </w:rPr>
        <w:t>”</w:t>
      </w:r>
      <w:r>
        <w:rPr>
          <w:spacing w:val="-2"/>
        </w:rPr>
        <w:t>优秀行业解决方案推荐活动，于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23</w:t>
      </w:r>
      <w:r>
        <w:rPr>
          <w:spacing w:val="-2"/>
        </w:rPr>
        <w:t>日举行了优秀解</w:t>
      </w:r>
    </w:p>
    <w:p>
      <w:pPr>
        <w:pStyle w:val="BodyText"/>
        <w:spacing w:line="300" w:lineRule="auto" w:before="13"/>
        <w:ind w:right="0"/>
        <w:jc w:val="left"/>
      </w:pPr>
      <w:r>
        <w:rPr>
          <w:spacing w:val="-2"/>
        </w:rPr>
        <w:t>决方案提供商颁奖仪式。北京中电兴发雪亮工程、平安城市两大行业解决方案均获得了</w:t>
      </w:r>
      <w:r>
        <w:rPr>
          <w:rFonts w:ascii="Times New Roman" w:hAnsi="Times New Roman" w:cs="Times New Roman" w:eastAsia="Times New Roman" w:hint="default"/>
          <w:spacing w:val="-2"/>
        </w:rPr>
        <w:t>“</w:t>
      </w:r>
      <w:r>
        <w:rPr>
          <w:spacing w:val="-2"/>
        </w:rPr>
        <w:t>平安建设</w:t>
      </w:r>
      <w:r>
        <w:rPr>
          <w:rFonts w:ascii="Times New Roman" w:hAnsi="Times New Roman" w:cs="Times New Roman" w:eastAsia="Times New Roman" w:hint="default"/>
          <w:spacing w:val="-2"/>
        </w:rPr>
        <w:t>”</w:t>
      </w:r>
      <w:r>
        <w:rPr>
          <w:spacing w:val="-2"/>
        </w:rPr>
        <w:t>优秀行业解决方案奖。此</w:t>
      </w:r>
      <w:r>
        <w:rPr>
          <w:spacing w:val="-43"/>
        </w:rPr>
        <w:t> </w:t>
      </w:r>
      <w:r>
        <w:rPr>
          <w:spacing w:val="-43"/>
        </w:rPr>
      </w:r>
      <w:r>
        <w:rPr/>
        <w:t>次荣誉的获得，有利于树立公司品牌形象，是对公司在</w:t>
      </w:r>
      <w:r>
        <w:rPr>
          <w:rFonts w:ascii="Times New Roman" w:hAnsi="Times New Roman" w:cs="Times New Roman" w:eastAsia="Times New Roman" w:hint="default"/>
        </w:rPr>
        <w:t>“</w:t>
      </w:r>
      <w:r>
        <w:rPr/>
        <w:t>平安建设</w:t>
      </w:r>
      <w:r>
        <w:rPr>
          <w:rFonts w:ascii="Times New Roman" w:hAnsi="Times New Roman" w:cs="Times New Roman" w:eastAsia="Times New Roman" w:hint="default"/>
        </w:rPr>
        <w:t>”</w:t>
      </w:r>
      <w:r>
        <w:rPr/>
        <w:t>领域解决方案能力和综合实力的高度认可。</w:t>
      </w:r>
    </w:p>
    <w:p>
      <w:pPr>
        <w:pStyle w:val="BodyText"/>
        <w:spacing w:line="300" w:lineRule="auto" w:before="13"/>
        <w:ind w:left="531" w:right="1115"/>
        <w:jc w:val="left"/>
      </w:pPr>
      <w:r>
        <w:rPr>
          <w:rFonts w:ascii="Times New Roman" w:hAnsi="Times New Roman" w:cs="Times New Roman" w:eastAsia="Times New Roman" w:hint="default"/>
        </w:rPr>
        <w:t>6</w:t>
      </w:r>
      <w:r>
        <w:rPr/>
        <w:t>、全资子公司荣获中国智慧城市大会两大奖项 报告期内举办的第九届中国智慧城市大会上，公司董事长兼总经理、北京中电兴发董事长兼总裁瞿洪桂荣获</w:t>
      </w:r>
      <w:r>
        <w:rPr>
          <w:rFonts w:ascii="Times New Roman" w:hAnsi="Times New Roman" w:cs="Times New Roman" w:eastAsia="Times New Roman" w:hint="default"/>
        </w:rPr>
        <w:t>“</w:t>
      </w:r>
      <w:r>
        <w:rPr/>
        <w:t>中国智慧</w:t>
      </w:r>
    </w:p>
    <w:p>
      <w:pPr>
        <w:pStyle w:val="BodyText"/>
        <w:spacing w:line="300" w:lineRule="auto" w:before="13"/>
        <w:ind w:right="1148"/>
        <w:jc w:val="both"/>
      </w:pPr>
      <w:r>
        <w:rPr/>
        <w:t>城市发展十周年领袖人物</w:t>
      </w:r>
      <w:r>
        <w:rPr>
          <w:rFonts w:ascii="Times New Roman" w:hAnsi="Times New Roman" w:cs="Times New Roman" w:eastAsia="Times New Roman" w:hint="default"/>
        </w:rPr>
        <w:t>”</w:t>
      </w:r>
      <w:r>
        <w:rPr/>
        <w:t>，北京中电兴发智慧治理与雪亮工程解决方案荣获</w:t>
      </w:r>
      <w:r>
        <w:rPr>
          <w:rFonts w:ascii="Times New Roman" w:hAnsi="Times New Roman" w:cs="Times New Roman" w:eastAsia="Times New Roman" w:hint="default"/>
        </w:rPr>
        <w:t>“</w:t>
      </w:r>
      <w:r>
        <w:rPr/>
        <w:t>中国智慧城市发展十周年优秀方案</w:t>
      </w:r>
      <w:r>
        <w:rPr>
          <w:rFonts w:ascii="Times New Roman" w:hAnsi="Times New Roman" w:cs="Times New Roman" w:eastAsia="Times New Roman" w:hint="default"/>
        </w:rPr>
        <w:t>”</w:t>
      </w:r>
      <w:r>
        <w:rPr/>
        <w:t>。此次两 项荣誉的获得，是对北京中电兴发技术、团队、解决方案等综合实力的高度认可。面向未来，公司将紧紧围绕</w:t>
      </w:r>
      <w:r>
        <w:rPr>
          <w:rFonts w:ascii="Times New Roman" w:hAnsi="Times New Roman" w:cs="Times New Roman" w:eastAsia="Times New Roman" w:hint="default"/>
        </w:rPr>
        <w:t>“</w:t>
      </w:r>
      <w:r>
        <w:rPr/>
        <w:t>智慧社会治 理、智慧民生服务、智慧产业经济</w:t>
      </w:r>
      <w:r>
        <w:rPr>
          <w:rFonts w:ascii="Times New Roman" w:hAnsi="Times New Roman" w:cs="Times New Roman" w:eastAsia="Times New Roman" w:hint="default"/>
        </w:rPr>
        <w:t>”</w:t>
      </w:r>
      <w:r>
        <w:rPr/>
        <w:t>三位一体进行业务布局，助力我国智慧城市建设更上新台阶。</w:t>
      </w:r>
    </w:p>
    <w:p>
      <w:pPr>
        <w:spacing w:line="240" w:lineRule="auto" w:before="4"/>
        <w:rPr>
          <w:rFonts w:ascii="宋体" w:hAnsi="宋体" w:cs="宋体" w:eastAsia="宋体" w:hint="default"/>
          <w:sz w:val="20"/>
          <w:szCs w:val="20"/>
        </w:rPr>
      </w:pPr>
    </w:p>
    <w:p>
      <w:pPr>
        <w:pStyle w:val="Heading2"/>
        <w:spacing w:line="240" w:lineRule="auto"/>
        <w:ind w:right="0"/>
        <w:jc w:val="left"/>
        <w:rPr>
          <w:b w:val="0"/>
          <w:bCs w:val="0"/>
        </w:rPr>
      </w:pPr>
      <w:bookmarkStart w:name="二、主营业务分析" w:id="26"/>
      <w:bookmarkEnd w:id="26"/>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spacing w:line="544" w:lineRule="auto" w:before="0"/>
        <w:ind w:left="154" w:right="6472" w:firstLine="0"/>
        <w:jc w:val="left"/>
        <w:rPr>
          <w:rFonts w:ascii="宋体" w:hAnsi="宋体" w:cs="宋体" w:eastAsia="宋体" w:hint="default"/>
          <w:sz w:val="21"/>
          <w:szCs w:val="21"/>
        </w:rPr>
      </w:pPr>
      <w:bookmarkStart w:name="1、概述" w:id="27"/>
      <w:bookmarkEnd w:id="2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8"/>
      <w:bookmarkEnd w:id="28"/>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4"/>
        <w:spacing w:line="240" w:lineRule="auto" w:before="28"/>
        <w:ind w:right="0"/>
        <w:jc w:val="left"/>
        <w:rPr>
          <w:b w:val="0"/>
          <w:bCs w:val="0"/>
        </w:rPr>
      </w:pPr>
      <w:bookmarkStart w:name="（1）营业收入构成" w:id="29"/>
      <w:bookmarkEnd w:id="29"/>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7524"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9"/>
        <w:gridCol w:w="1594"/>
        <w:gridCol w:w="1592"/>
        <w:gridCol w:w="1597"/>
        <w:gridCol w:w="1588"/>
        <w:gridCol w:w="1598"/>
      </w:tblGrid>
      <w:tr>
        <w:trPr>
          <w:trHeight w:val="206" w:hRule="exact"/>
        </w:trPr>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599" w:type="dxa"/>
            <w:vMerge w:val="restart"/>
            <w:tcBorders>
              <w:top w:val="nil" w:sz="6" w:space="0" w:color="auto"/>
              <w:left w:val="single" w:sz="4" w:space="0" w:color="000000"/>
              <w:right w:val="single" w:sz="4" w:space="0" w:color="000000"/>
            </w:tcBorders>
            <w:shd w:val="clear" w:color="auto" w:fill="D2D2D2"/>
          </w:tcPr>
          <w:p>
            <w:pPr/>
          </w:p>
        </w:tc>
        <w:tc>
          <w:tcPr>
            <w:tcW w:w="3186" w:type="dxa"/>
            <w:gridSpan w:val="2"/>
            <w:vMerge/>
            <w:tcBorders>
              <w:left w:val="single" w:sz="4" w:space="0" w:color="000000"/>
              <w:bottom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0" w:hRule="exact"/>
        </w:trPr>
        <w:tc>
          <w:tcPr>
            <w:tcW w:w="1599"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2"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2,455,958,521.31</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7"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2,025,570,083.97</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21.25%</w:t>
            </w:r>
          </w:p>
        </w:tc>
      </w:tr>
      <w:tr>
        <w:trPr>
          <w:trHeight w:val="397"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4"/>
              <w:jc w:val="left"/>
              <w:rPr>
                <w:rFonts w:ascii="宋体" w:hAnsi="宋体" w:cs="宋体" w:eastAsia="宋体" w:hint="default"/>
                <w:sz w:val="18"/>
                <w:szCs w:val="18"/>
              </w:rPr>
            </w:pPr>
            <w:r>
              <w:rPr>
                <w:rFonts w:ascii="宋体" w:hAnsi="宋体" w:cs="宋体" w:eastAsia="宋体" w:hint="default"/>
                <w:sz w:val="18"/>
                <w:szCs w:val="18"/>
              </w:rPr>
              <w:t>软件和信息技术服 务业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2,455,958,521.31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2,025,570,083.97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21.25%</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智慧城市</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1,577,178,940.08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64.22%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1,197,325,897.12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59.11%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31.73%</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反恐与公共安全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859,775,049.51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35.01%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807,798,669.37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39.88%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6.43%</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19,004,531.72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20,445,517.48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-7.05%</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522,540,921.79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21.28%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584,036,424.07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28.83%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-10.53%</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857,796,963.37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34.93%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784,468,120.38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38.73%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9.35%</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15,789,518.46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26,767,070.40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-41.01%</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101,842,708.35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100,507,766.31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1.33%</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226,792,563.37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187,290,095.80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9.25%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21.09%</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704,153,317.41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28.67%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299,225,703.99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14.77%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135.33%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6" w:right="0"/>
              <w:jc w:val="left"/>
              <w:rPr>
                <w:rFonts w:ascii="Times New Roman" w:hAnsi="Times New Roman" w:cs="Times New Roman" w:eastAsia="Times New Roman" w:hint="default"/>
                <w:sz w:val="18"/>
                <w:szCs w:val="18"/>
              </w:rPr>
            </w:pPr>
            <w:r>
              <w:rPr>
                <w:rFonts w:ascii="Times New Roman"/>
                <w:sz w:val="18"/>
              </w:rPr>
              <w:t>27,042,528.56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6" w:right="0"/>
              <w:jc w:val="left"/>
              <w:rPr>
                <w:rFonts w:ascii="Times New Roman" w:hAnsi="Times New Roman" w:cs="Times New Roman" w:eastAsia="Times New Roman" w:hint="default"/>
                <w:sz w:val="18"/>
                <w:szCs w:val="18"/>
              </w:rPr>
            </w:pPr>
            <w:r>
              <w:rPr>
                <w:rFonts w:ascii="Times New Roman"/>
                <w:sz w:val="18"/>
              </w:rPr>
              <w:t>43,274,903.02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47" w:right="0"/>
              <w:jc w:val="left"/>
              <w:rPr>
                <w:rFonts w:ascii="Times New Roman" w:hAnsi="Times New Roman" w:cs="Times New Roman" w:eastAsia="Times New Roman" w:hint="default"/>
                <w:sz w:val="18"/>
                <w:szCs w:val="18"/>
              </w:rPr>
            </w:pPr>
            <w:r>
              <w:rPr>
                <w:rFonts w:ascii="Times New Roman"/>
                <w:sz w:val="18"/>
              </w:rPr>
              <w:t>-37.51%</w:t>
            </w:r>
          </w:p>
        </w:tc>
      </w:tr>
    </w:tbl>
    <w:p>
      <w:pPr>
        <w:pStyle w:val="BodyText"/>
        <w:spacing w:line="240" w:lineRule="auto" w:before="51"/>
        <w:ind w:right="0"/>
        <w:jc w:val="left"/>
      </w:pPr>
      <w:r>
        <w:rPr/>
        <w:t>公司需遵守《深圳证券交易所行业信息披露指引第</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上市公司从软件与信息技术服务业务》的披露要求</w:t>
      </w:r>
    </w:p>
    <w:p>
      <w:pPr>
        <w:pStyle w:val="BodyText"/>
        <w:spacing w:line="240" w:lineRule="auto" w:before="103"/>
        <w:ind w:left="7524"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18"/>
        <w:gridCol w:w="1008"/>
        <w:gridCol w:w="1010"/>
        <w:gridCol w:w="1011"/>
        <w:gridCol w:w="1012"/>
        <w:gridCol w:w="1003"/>
        <w:gridCol w:w="1005"/>
        <w:gridCol w:w="1002"/>
        <w:gridCol w:w="999"/>
      </w:tblGrid>
      <w:tr>
        <w:trPr>
          <w:trHeight w:val="402" w:hRule="exact"/>
        </w:trPr>
        <w:tc>
          <w:tcPr>
            <w:tcW w:w="1518" w:type="dxa"/>
            <w:vMerge w:val="restart"/>
            <w:tcBorders>
              <w:top w:val="single" w:sz="4" w:space="0" w:color="000000"/>
              <w:left w:val="single" w:sz="4" w:space="0" w:color="000000"/>
              <w:right w:val="single" w:sz="4" w:space="0" w:color="000000"/>
            </w:tcBorders>
            <w:shd w:val="clear" w:color="auto" w:fill="D2D2D2"/>
          </w:tcPr>
          <w:p>
            <w:pPr/>
          </w:p>
        </w:tc>
        <w:tc>
          <w:tcPr>
            <w:tcW w:w="404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400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02" w:hRule="exact"/>
        </w:trPr>
        <w:tc>
          <w:tcPr>
            <w:tcW w:w="1518" w:type="dxa"/>
            <w:vMerge/>
            <w:tcBorders>
              <w:left w:val="single" w:sz="4" w:space="0" w:color="000000"/>
              <w:bottom w:val="single" w:sz="4" w:space="0" w:color="000000"/>
              <w:right w:val="single" w:sz="4" w:space="0" w:color="000000"/>
            </w:tcBorders>
            <w:shd w:val="clear" w:color="auto" w:fill="D2D2D2"/>
          </w:tcPr>
          <w:p>
            <w:pP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9"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40"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40"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1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7"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9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5" w:right="0"/>
              <w:jc w:val="left"/>
              <w:rPr>
                <w:rFonts w:ascii="宋体" w:hAnsi="宋体" w:cs="宋体" w:eastAsia="宋体" w:hint="default"/>
                <w:sz w:val="18"/>
                <w:szCs w:val="18"/>
              </w:rPr>
            </w:pPr>
            <w:r>
              <w:rPr>
                <w:rFonts w:ascii="宋体" w:hAnsi="宋体" w:cs="宋体" w:eastAsia="宋体" w:hint="default"/>
                <w:sz w:val="18"/>
                <w:szCs w:val="18"/>
              </w:rPr>
              <w:t>第四季度</w:t>
            </w:r>
          </w:p>
        </w:tc>
      </w:tr>
    </w:tbl>
    <w:p>
      <w:pPr>
        <w:pStyle w:val="BodyText"/>
        <w:spacing w:line="240" w:lineRule="auto" w:before="52"/>
        <w:ind w:right="0"/>
        <w:jc w:val="left"/>
      </w:pPr>
      <w:r>
        <w:rPr/>
        <w:t>说明经营季节性（或周期性）发生的原因及波动风险</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占公司营业收入或营业利润10%以上的行业、产品或地区情况" w:id="30"/>
      <w:bookmarkEnd w:id="30"/>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48" w:lineRule="auto"/>
        <w:ind w:right="58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公司是否需要遵守特殊行业的披露要求 是</w:t>
      </w:r>
    </w:p>
    <w:p>
      <w:pPr>
        <w:pStyle w:val="BodyText"/>
        <w:spacing w:line="240" w:lineRule="auto" w:before="35"/>
        <w:ind w:right="5830"/>
        <w:jc w:val="left"/>
      </w:pPr>
      <w:r>
        <w:rPr/>
        <w:t>软件与信息技术服务业</w:t>
      </w:r>
    </w:p>
    <w:p>
      <w:pPr>
        <w:pStyle w:val="BodyText"/>
        <w:spacing w:line="240" w:lineRule="auto" w:before="116"/>
        <w:ind w:right="-19"/>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6"/>
        <w:ind w:left="-32" w:right="0"/>
        <w:jc w:val="left"/>
      </w:pPr>
      <w:r>
        <w:rPr/>
        <w:t>单位：元</w:t>
      </w:r>
    </w:p>
    <w:p>
      <w:pPr>
        <w:spacing w:after="0" w:line="240" w:lineRule="auto"/>
        <w:jc w:val="left"/>
        <w:sectPr>
          <w:type w:val="continuous"/>
          <w:pgSz w:w="11910" w:h="16840"/>
          <w:pgMar w:top="1060" w:bottom="1160" w:left="980" w:right="0"/>
          <w:cols w:num="2" w:equalWidth="0">
            <w:col w:w="9065" w:space="40"/>
            <w:col w:w="1825"/>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分客户所处行业</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2,455,958,521.31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1,713,831,630.34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18.44%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1.65%</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智慧城市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1,577,178,940.08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1,101,485,572.80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31.20%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反恐与公共安全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859,775,049.51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599,979,729.75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19,004,531.72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12,366,327.79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20.81%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-15.00%</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522,540,921.79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363,887,073.29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-10.91%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857,796,963.37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607,256,617.16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15,789,518.46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11,983,067.43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24.11%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-41.58%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101,842,708.35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72,287,312.73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226,792,563.37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168,936,847.76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18.39%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704,153,317.41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470,191,389.99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135.33%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117.76%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27,042,528.56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19,289,321.98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-36.92%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240" w:lineRule="auto" w:before="51"/>
        <w:ind w:right="-2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before="0"/>
        <w:ind w:left="153" w:right="0"/>
        <w:jc w:val="left"/>
      </w:pPr>
      <w:r>
        <w:rPr/>
        <w:t>单位：元</w:t>
      </w:r>
    </w:p>
    <w:p>
      <w:pPr>
        <w:spacing w:after="0" w:line="240" w:lineRule="auto"/>
        <w:jc w:val="left"/>
        <w:sectPr>
          <w:type w:val="continuous"/>
          <w:pgSz w:w="11910" w:h="16840"/>
          <w:pgMar w:top="1060" w:bottom="1160" w:left="980" w:right="0"/>
          <w:cols w:num="2" w:equalWidth="0">
            <w:col w:w="8795" w:space="124"/>
            <w:col w:w="201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4"/>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1" w:right="50"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bl>
    <w:p>
      <w:pPr>
        <w:spacing w:after="0" w:line="316"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分客户所处行业</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电气机械和器材 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884,727,132.34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660,294,273.15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20.40%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专业技术服务业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137,129,217.93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79,139,535.49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56.44%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-6.87%</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1,434,102,171.04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974,397,821.70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14.91%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6.02%</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公共安全与反恐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859,775,049.51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599,979,729.75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新型智慧城市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572,185,147.84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372,127,434.59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48.40%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9.01%</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智能输配电设备 及元器件、智慧 新能源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867,864,574.31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650,218,602.72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20.82%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电力设计及服务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137,129,217.93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79,139,535.49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56.44%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19,004,531.72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12,366,327.79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20.81%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-15.00%</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522,540,921.79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363,887,073.29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-10.91%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857,796,963.37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607,256,617.16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15,789,518.46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11,983,067.43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24.11%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-41.58%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101,842,708.35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72,287,312.73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226,792,563.37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168,936,847.76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18.39%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704,153,317.41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470,191,389.99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135.33%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117.76%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27,042,528.56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19,289,321.98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-36.92%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-0.66%</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公司实物销售收入是否大于劳务收入" w:id="31"/>
      <w:bookmarkEnd w:id="31"/>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4）公司已签订的重大销售合同截至本报告期的履行情况" w:id="32"/>
      <w:bookmarkEnd w:id="32"/>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8"/>
        <w:rPr>
          <w:rFonts w:ascii="宋体" w:hAnsi="宋体" w:cs="宋体" w:eastAsia="宋体" w:hint="default"/>
          <w:b/>
          <w:bCs/>
          <w:sz w:val="26"/>
          <w:szCs w:val="26"/>
        </w:rPr>
      </w:pPr>
    </w:p>
    <w:p>
      <w:pPr>
        <w:pStyle w:val="BodyText"/>
        <w:spacing w:line="348" w:lineRule="auto" w:before="0"/>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公司是否需要遵守特殊行业的披露要求 是</w:t>
      </w:r>
    </w:p>
    <w:p>
      <w:pPr>
        <w:pStyle w:val="BodyText"/>
        <w:spacing w:line="240" w:lineRule="auto" w:before="35"/>
        <w:ind w:right="0"/>
        <w:jc w:val="left"/>
      </w:pPr>
      <w:r>
        <w:rPr/>
        <w:t>软件与信息技术服务业</w:t>
      </w:r>
    </w:p>
    <w:p>
      <w:pPr>
        <w:pStyle w:val="BodyText"/>
        <w:spacing w:line="338" w:lineRule="auto" w:before="117"/>
        <w:ind w:right="1829"/>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 单一销售合同金额占公司最近一个会计年度经审计营业收入</w:t>
      </w:r>
      <w:r>
        <w:rPr>
          <w:spacing w:val="-45"/>
        </w:rPr>
        <w:t> </w:t>
      </w:r>
      <w:r>
        <w:rPr>
          <w:rFonts w:ascii="Times New Roman" w:hAnsi="Times New Roman" w:cs="Times New Roman" w:eastAsia="Times New Roman" w:hint="default"/>
        </w:rPr>
        <w:t>30%</w:t>
      </w:r>
      <w:r>
        <w:rPr/>
        <w:t>以上且金额超过</w:t>
      </w:r>
      <w:r>
        <w:rPr>
          <w:spacing w:val="-46"/>
        </w:rPr>
        <w:t> </w:t>
      </w:r>
      <w:r>
        <w:rPr>
          <w:rFonts w:ascii="Times New Roman" w:hAnsi="Times New Roman" w:cs="Times New Roman" w:eastAsia="Times New Roman" w:hint="default"/>
        </w:rPr>
        <w:t>5000</w:t>
      </w:r>
      <w:r>
        <w:rPr>
          <w:rFonts w:ascii="Times New Roman" w:hAnsi="Times New Roman" w:cs="Times New Roman" w:eastAsia="Times New Roman" w:hint="default"/>
          <w:spacing w:val="-1"/>
        </w:rPr>
        <w:t> </w:t>
      </w:r>
      <w:r>
        <w:rPr/>
        <w:t>万元的正在履行的合同情况</w:t>
      </w:r>
    </w:p>
    <w:p>
      <w:pPr>
        <w:pStyle w:val="BodyText"/>
        <w:spacing w:line="240" w:lineRule="auto" w:before="2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7524" w:right="1130"/>
        <w:jc w:val="right"/>
      </w:pPr>
      <w:r>
        <w:rPr/>
        <w:t>单位：元</w:t>
      </w:r>
    </w:p>
    <w:p>
      <w:pPr>
        <w:spacing w:line="240" w:lineRule="auto" w:before="1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056"/>
        <w:gridCol w:w="1058"/>
        <w:gridCol w:w="1069"/>
        <w:gridCol w:w="1064"/>
        <w:gridCol w:w="1058"/>
        <w:gridCol w:w="1069"/>
        <w:gridCol w:w="1063"/>
        <w:gridCol w:w="1063"/>
        <w:gridCol w:w="1048"/>
      </w:tblGrid>
      <w:tr>
        <w:trPr>
          <w:trHeight w:val="382" w:hRule="exact"/>
        </w:trPr>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56"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63" w:right="0"/>
              <w:jc w:val="left"/>
              <w:rPr>
                <w:rFonts w:ascii="宋体" w:hAnsi="宋体" w:cs="宋体" w:eastAsia="宋体" w:hint="default"/>
                <w:sz w:val="18"/>
                <w:szCs w:val="18"/>
              </w:rPr>
            </w:pPr>
            <w:r>
              <w:rPr>
                <w:rFonts w:ascii="宋体" w:hAnsi="宋体" w:cs="宋体" w:eastAsia="宋体" w:hint="default"/>
                <w:sz w:val="18"/>
                <w:szCs w:val="18"/>
              </w:rPr>
              <w:t>合同金额</w:t>
            </w:r>
          </w:p>
        </w:tc>
        <w:tc>
          <w:tcPr>
            <w:tcW w:w="1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69" w:right="0"/>
              <w:jc w:val="left"/>
              <w:rPr>
                <w:rFonts w:ascii="宋体" w:hAnsi="宋体" w:cs="宋体" w:eastAsia="宋体" w:hint="default"/>
                <w:sz w:val="18"/>
                <w:szCs w:val="18"/>
              </w:rPr>
            </w:pPr>
            <w:r>
              <w:rPr>
                <w:rFonts w:ascii="宋体" w:hAnsi="宋体" w:cs="宋体" w:eastAsia="宋体" w:hint="default"/>
                <w:sz w:val="18"/>
                <w:szCs w:val="18"/>
              </w:rPr>
              <w:t>业务类型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76" w:right="0"/>
              <w:jc w:val="left"/>
              <w:rPr>
                <w:rFonts w:ascii="宋体" w:hAnsi="宋体" w:cs="宋体" w:eastAsia="宋体" w:hint="default"/>
                <w:sz w:val="18"/>
                <w:szCs w:val="18"/>
              </w:rPr>
            </w:pPr>
            <w:r>
              <w:rPr>
                <w:rFonts w:ascii="宋体" w:hAnsi="宋体" w:cs="宋体" w:eastAsia="宋体" w:hint="default"/>
                <w:sz w:val="18"/>
                <w:szCs w:val="18"/>
              </w:rPr>
              <w:t>项目执行进</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73" w:right="0"/>
              <w:jc w:val="left"/>
              <w:rPr>
                <w:rFonts w:ascii="宋体" w:hAnsi="宋体" w:cs="宋体" w:eastAsia="宋体" w:hint="default"/>
                <w:sz w:val="18"/>
                <w:szCs w:val="18"/>
              </w:rPr>
            </w:pPr>
            <w:r>
              <w:rPr>
                <w:rFonts w:ascii="宋体" w:hAnsi="宋体" w:cs="宋体" w:eastAsia="宋体" w:hint="default"/>
                <w:sz w:val="18"/>
                <w:szCs w:val="18"/>
              </w:rPr>
              <w:t>本期确认收</w:t>
            </w:r>
          </w:p>
        </w:tc>
        <w:tc>
          <w:tcPr>
            <w:tcW w:w="1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79" w:right="0"/>
              <w:jc w:val="left"/>
              <w:rPr>
                <w:rFonts w:ascii="宋体" w:hAnsi="宋体" w:cs="宋体" w:eastAsia="宋体" w:hint="default"/>
                <w:sz w:val="18"/>
                <w:szCs w:val="18"/>
              </w:rPr>
            </w:pPr>
            <w:r>
              <w:rPr>
                <w:rFonts w:ascii="宋体" w:hAnsi="宋体" w:cs="宋体" w:eastAsia="宋体" w:hint="default"/>
                <w:sz w:val="18"/>
                <w:szCs w:val="18"/>
              </w:rPr>
              <w:t>累计确认收</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65" w:right="0"/>
              <w:jc w:val="left"/>
              <w:rPr>
                <w:rFonts w:ascii="宋体" w:hAnsi="宋体" w:cs="宋体" w:eastAsia="宋体" w:hint="default"/>
                <w:sz w:val="18"/>
                <w:szCs w:val="18"/>
              </w:rPr>
            </w:pPr>
            <w:r>
              <w:rPr>
                <w:rFonts w:ascii="宋体" w:hAnsi="宋体" w:cs="宋体" w:eastAsia="宋体" w:hint="default"/>
                <w:sz w:val="18"/>
                <w:szCs w:val="18"/>
              </w:rPr>
              <w:t>回款情况</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76" w:right="0"/>
              <w:jc w:val="left"/>
              <w:rPr>
                <w:rFonts w:ascii="宋体" w:hAnsi="宋体" w:cs="宋体" w:eastAsia="宋体" w:hint="default"/>
                <w:sz w:val="18"/>
                <w:szCs w:val="18"/>
              </w:rPr>
            </w:pPr>
            <w:r>
              <w:rPr>
                <w:rFonts w:ascii="宋体" w:hAnsi="宋体" w:cs="宋体" w:eastAsia="宋体" w:hint="default"/>
                <w:sz w:val="18"/>
                <w:szCs w:val="18"/>
              </w:rPr>
              <w:t>项目进展是</w:t>
            </w:r>
          </w:p>
        </w:tc>
        <w:tc>
          <w:tcPr>
            <w:tcW w:w="10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74" w:right="0"/>
              <w:jc w:val="left"/>
              <w:rPr>
                <w:rFonts w:ascii="宋体" w:hAnsi="宋体" w:cs="宋体" w:eastAsia="宋体" w:hint="default"/>
                <w:sz w:val="18"/>
                <w:szCs w:val="18"/>
              </w:rPr>
            </w:pPr>
            <w:r>
              <w:rPr>
                <w:rFonts w:ascii="宋体" w:hAnsi="宋体" w:cs="宋体" w:eastAsia="宋体" w:hint="default"/>
                <w:sz w:val="18"/>
                <w:szCs w:val="18"/>
              </w:rPr>
              <w:t>未达到计划</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7"/>
        <w:gridCol w:w="1058"/>
        <w:gridCol w:w="1069"/>
        <w:gridCol w:w="1064"/>
        <w:gridCol w:w="1057"/>
        <w:gridCol w:w="1069"/>
        <w:gridCol w:w="1064"/>
        <w:gridCol w:w="1063"/>
        <w:gridCol w:w="1058"/>
      </w:tblGrid>
      <w:tr>
        <w:trPr>
          <w:trHeight w:val="674" w:hRule="exact"/>
        </w:trPr>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度</w:t>
            </w: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入</w:t>
            </w:r>
          </w:p>
        </w:tc>
        <w:tc>
          <w:tcPr>
            <w:tcW w:w="1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75" w:right="77"/>
              <w:jc w:val="left"/>
              <w:rPr>
                <w:rFonts w:ascii="宋体" w:hAnsi="宋体" w:cs="宋体" w:eastAsia="宋体" w:hint="default"/>
                <w:sz w:val="18"/>
                <w:szCs w:val="18"/>
              </w:rPr>
            </w:pPr>
            <w:r>
              <w:rPr>
                <w:rFonts w:ascii="宋体" w:hAnsi="宋体" w:cs="宋体" w:eastAsia="宋体" w:hint="default"/>
                <w:sz w:val="18"/>
                <w:szCs w:val="18"/>
              </w:rPr>
              <w:t>否达到计划 进度或预期</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54" w:right="72" w:hanging="180"/>
              <w:jc w:val="left"/>
              <w:rPr>
                <w:rFonts w:ascii="宋体" w:hAnsi="宋体" w:cs="宋体" w:eastAsia="宋体" w:hint="default"/>
                <w:sz w:val="18"/>
                <w:szCs w:val="18"/>
              </w:rPr>
            </w:pPr>
            <w:r>
              <w:rPr>
                <w:rFonts w:ascii="宋体" w:hAnsi="宋体" w:cs="宋体" w:eastAsia="宋体" w:hint="default"/>
                <w:sz w:val="18"/>
                <w:szCs w:val="18"/>
              </w:rPr>
              <w:t>进度或预期 的原因</w:t>
            </w:r>
          </w:p>
        </w:tc>
      </w:tr>
      <w:tr>
        <w:trPr>
          <w:trHeight w:val="3210" w:hRule="exact"/>
        </w:trPr>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2" w:right="132"/>
              <w:jc w:val="left"/>
              <w:rPr>
                <w:rFonts w:ascii="宋体" w:hAnsi="宋体" w:cs="宋体" w:eastAsia="宋体" w:hint="default"/>
                <w:sz w:val="18"/>
                <w:szCs w:val="18"/>
              </w:rPr>
            </w:pPr>
            <w:r>
              <w:rPr>
                <w:rFonts w:ascii="宋体" w:hAnsi="宋体" w:cs="宋体" w:eastAsia="宋体" w:hint="default"/>
                <w:sz w:val="18"/>
                <w:szCs w:val="18"/>
              </w:rPr>
              <w:t>凤凰县智慧 城市建设 </w:t>
            </w:r>
            <w:r>
              <w:rPr>
                <w:rFonts w:ascii="Times New Roman" w:hAnsi="Times New Roman" w:cs="Times New Roman" w:eastAsia="Times New Roman" w:hint="default"/>
                <w:sz w:val="18"/>
                <w:szCs w:val="18"/>
              </w:rPr>
              <w:t>PPP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项目</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2"/>
              <w:ind w:right="21"/>
              <w:jc w:val="right"/>
              <w:rPr>
                <w:rFonts w:ascii="Times New Roman" w:hAnsi="Times New Roman" w:cs="Times New Roman" w:eastAsia="Times New Roman" w:hint="default"/>
                <w:sz w:val="18"/>
                <w:szCs w:val="18"/>
              </w:rPr>
            </w:pPr>
            <w:r>
              <w:rPr>
                <w:rFonts w:ascii="Times New Roman"/>
                <w:spacing w:val="-1"/>
                <w:sz w:val="18"/>
              </w:rPr>
              <w:t>150,000,000.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智慧城市</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正在进行建 </w:t>
            </w:r>
            <w:r>
              <w:rPr>
                <w:rFonts w:ascii="宋体" w:hAnsi="宋体" w:cs="宋体" w:eastAsia="宋体" w:hint="default"/>
                <w:spacing w:val="-13"/>
                <w:sz w:val="18"/>
                <w:szCs w:val="18"/>
              </w:rPr>
              <w:t>设内容有：大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3"/>
                <w:sz w:val="18"/>
                <w:szCs w:val="18"/>
              </w:rPr>
              <w:t>数据中心、运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营管理指挥 </w:t>
            </w:r>
            <w:r>
              <w:rPr>
                <w:rFonts w:ascii="宋体" w:hAnsi="宋体" w:cs="宋体" w:eastAsia="宋体" w:hint="default"/>
                <w:spacing w:val="-13"/>
                <w:sz w:val="18"/>
                <w:szCs w:val="18"/>
              </w:rPr>
              <w:t>中心、智慧政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务、智慧旅 游、平安城 市、智慧交 </w:t>
            </w:r>
            <w:r>
              <w:rPr>
                <w:rFonts w:ascii="宋体" w:hAnsi="宋体" w:cs="宋体" w:eastAsia="宋体" w:hint="default"/>
                <w:spacing w:val="-13"/>
                <w:sz w:val="18"/>
                <w:szCs w:val="18"/>
              </w:rPr>
              <w:t>通、智慧诚信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等系统</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2"/>
              <w:ind w:right="20"/>
              <w:jc w:val="right"/>
              <w:rPr>
                <w:rFonts w:ascii="Times New Roman" w:hAnsi="Times New Roman" w:cs="Times New Roman" w:eastAsia="Times New Roman" w:hint="default"/>
                <w:sz w:val="18"/>
                <w:szCs w:val="18"/>
              </w:rPr>
            </w:pPr>
            <w:r>
              <w:rPr>
                <w:rFonts w:ascii="Times New Roman"/>
                <w:spacing w:val="-1"/>
                <w:sz w:val="18"/>
              </w:rPr>
              <w:t>94,800,000.0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2"/>
              <w:ind w:right="21"/>
              <w:jc w:val="right"/>
              <w:rPr>
                <w:rFonts w:ascii="Times New Roman" w:hAnsi="Times New Roman" w:cs="Times New Roman" w:eastAsia="Times New Roman" w:hint="default"/>
                <w:sz w:val="18"/>
                <w:szCs w:val="18"/>
              </w:rPr>
            </w:pPr>
            <w:r>
              <w:rPr>
                <w:rFonts w:ascii="Times New Roman"/>
                <w:spacing w:val="-1"/>
                <w:sz w:val="18"/>
              </w:rPr>
              <w:t>95,580,000.0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暂无</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5）营业成本构成" w:id="33"/>
      <w:bookmarkEnd w:id="33"/>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38" w:lineRule="auto"/>
        <w:ind w:right="-19"/>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 主营业务成本构成</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left="-32" w:right="0"/>
        <w:jc w:val="left"/>
      </w:pPr>
      <w:r>
        <w:rPr/>
        <w:t>单位：元</w:t>
      </w:r>
    </w:p>
    <w:p>
      <w:pPr>
        <w:spacing w:after="0" w:line="240" w:lineRule="auto"/>
        <w:jc w:val="left"/>
        <w:sectPr>
          <w:type w:val="continuous"/>
          <w:pgSz w:w="11910" w:h="16840"/>
          <w:pgMar w:top="1060" w:bottom="1160" w:left="980" w:right="0"/>
          <w:cols w:num="2" w:equalWidth="0">
            <w:col w:w="9065" w:space="40"/>
            <w:col w:w="1825"/>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成本构成</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本报告期</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上年同期</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1"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5" w:type="dxa"/>
            <w:vMerge/>
            <w:tcBorders>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1060" w:bottom="1160" w:left="980" w:right="0"/>
        </w:sectPr>
      </w:pPr>
    </w:p>
    <w:p>
      <w:pPr>
        <w:pStyle w:val="BodyText"/>
        <w:spacing w:line="360" w:lineRule="auto" w:before="51"/>
        <w:ind w:right="-20"/>
        <w:jc w:val="left"/>
      </w:pPr>
      <w:r>
        <w:rPr/>
        <w:t>行业分类 行业分类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before="0"/>
        <w:ind w:left="153" w:right="0"/>
        <w:jc w:val="left"/>
      </w:pPr>
      <w:r>
        <w:rPr/>
        <w:t>单位：元</w:t>
      </w:r>
    </w:p>
    <w:p>
      <w:pPr>
        <w:spacing w:after="0" w:line="240" w:lineRule="auto"/>
        <w:jc w:val="left"/>
        <w:sectPr>
          <w:type w:val="continuous"/>
          <w:pgSz w:w="11910" w:h="16840"/>
          <w:pgMar w:top="1060" w:bottom="1160" w:left="980" w:right="0"/>
          <w:cols w:num="2" w:equalWidth="0">
            <w:col w:w="875" w:space="8045"/>
            <w:col w:w="201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1,713,831,630.34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1,446,961,484.54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1,513,273,696.10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88.30%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1,322,773,393.21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91.42%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-3.12%</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人员工资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59,059,781.53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56,398,444.46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-0.45%</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111,084,890.05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41,874,469.91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3.59%</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动力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1,931,797.28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0.11%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3,141,704.40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-0.10%</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28,481,465.38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22,773,472.56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0.09%</w:t>
            </w:r>
          </w:p>
        </w:tc>
      </w:tr>
    </w:tbl>
    <w:p>
      <w:pPr>
        <w:pStyle w:val="BodyText"/>
        <w:spacing w:line="240" w:lineRule="auto" w:before="51"/>
        <w:ind w:right="0"/>
        <w:jc w:val="left"/>
      </w:pPr>
      <w:r>
        <w:rPr/>
        <w:t>说明</w:t>
      </w:r>
    </w:p>
    <w:p>
      <w:pPr>
        <w:spacing w:after="0" w:line="240" w:lineRule="auto"/>
        <w:jc w:val="left"/>
        <w:sectPr>
          <w:type w:val="continuous"/>
          <w:pgSz w:w="11910" w:h="16840"/>
          <w:pgMar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6）报告期内合并范围是否发生变动" w:id="34"/>
      <w:bookmarkEnd w:id="34"/>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
        <w:rPr>
          <w:rFonts w:ascii="宋体" w:hAnsi="宋体" w:cs="宋体" w:eastAsia="宋体" w:hint="default"/>
          <w:sz w:val="23"/>
          <w:szCs w:val="23"/>
        </w:rPr>
      </w:pPr>
    </w:p>
    <w:p>
      <w:pPr>
        <w:pStyle w:val="BodyText"/>
        <w:spacing w:line="240" w:lineRule="auto" w:before="0"/>
        <w:ind w:left="514" w:right="0"/>
        <w:jc w:val="left"/>
      </w:pPr>
      <w:r>
        <w:rPr>
          <w:rFonts w:ascii="Times New Roman" w:hAnsi="Times New Roman" w:cs="Times New Roman" w:eastAsia="Times New Roman" w:hint="default"/>
        </w:rPr>
        <w:t>1</w:t>
      </w:r>
      <w:r>
        <w:rPr/>
        <w:t>、本期新纳入合并范围的子公司、特殊目的主体、通过受托经营或承租等方式形成控制权的经营实体</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3829"/>
        <w:gridCol w:w="4701"/>
      </w:tblGrid>
      <w:tr>
        <w:trPr>
          <w:trHeight w:val="355" w:hRule="exact"/>
        </w:trPr>
        <w:tc>
          <w:tcPr>
            <w:tcW w:w="382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470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6"/>
              <w:jc w:val="center"/>
              <w:rPr>
                <w:rFonts w:ascii="宋体" w:hAnsi="宋体" w:cs="宋体" w:eastAsia="宋体" w:hint="default"/>
                <w:sz w:val="18"/>
                <w:szCs w:val="18"/>
              </w:rPr>
            </w:pPr>
            <w:r>
              <w:rPr>
                <w:rFonts w:ascii="宋体" w:hAnsi="宋体" w:cs="宋体" w:eastAsia="宋体" w:hint="default"/>
                <w:sz w:val="18"/>
                <w:szCs w:val="18"/>
              </w:rPr>
              <w:t>变更原因</w:t>
            </w:r>
          </w:p>
        </w:tc>
      </w:tr>
      <w:tr>
        <w:trPr>
          <w:trHeight w:val="353" w:hRule="exact"/>
        </w:trPr>
        <w:tc>
          <w:tcPr>
            <w:tcW w:w="38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天津滨龙工程管理咨询有限公司</w:t>
            </w:r>
          </w:p>
        </w:tc>
        <w:tc>
          <w:tcPr>
            <w:tcW w:w="470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新设成立</w:t>
            </w:r>
          </w:p>
        </w:tc>
      </w:tr>
      <w:tr>
        <w:trPr>
          <w:trHeight w:val="352" w:hRule="exact"/>
        </w:trPr>
        <w:tc>
          <w:tcPr>
            <w:tcW w:w="38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苏州天平安装工程有限公司</w:t>
            </w:r>
          </w:p>
        </w:tc>
        <w:tc>
          <w:tcPr>
            <w:tcW w:w="470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非同一控制下购并</w:t>
            </w:r>
          </w:p>
        </w:tc>
      </w:tr>
      <w:tr>
        <w:trPr>
          <w:trHeight w:val="352" w:hRule="exact"/>
        </w:trPr>
        <w:tc>
          <w:tcPr>
            <w:tcW w:w="38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安徽中电兴发科技有限公司</w:t>
            </w:r>
          </w:p>
        </w:tc>
        <w:tc>
          <w:tcPr>
            <w:tcW w:w="470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新设成立</w:t>
            </w:r>
          </w:p>
        </w:tc>
      </w:tr>
      <w:tr>
        <w:trPr>
          <w:trHeight w:val="353" w:hRule="exact"/>
        </w:trPr>
        <w:tc>
          <w:tcPr>
            <w:tcW w:w="38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中电兴发软件研发（北京）有限公司</w:t>
            </w:r>
          </w:p>
        </w:tc>
        <w:tc>
          <w:tcPr>
            <w:tcW w:w="470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新设成立</w:t>
            </w:r>
          </w:p>
        </w:tc>
      </w:tr>
      <w:tr>
        <w:trPr>
          <w:trHeight w:val="352" w:hRule="exact"/>
        </w:trPr>
        <w:tc>
          <w:tcPr>
            <w:tcW w:w="38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北京普天智慧科技有限公司</w:t>
            </w:r>
          </w:p>
        </w:tc>
        <w:tc>
          <w:tcPr>
            <w:tcW w:w="470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新设成立</w:t>
            </w:r>
          </w:p>
        </w:tc>
      </w:tr>
      <w:tr>
        <w:trPr>
          <w:trHeight w:val="352" w:hRule="exact"/>
        </w:trPr>
        <w:tc>
          <w:tcPr>
            <w:tcW w:w="38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枣强县智慧城市信息技术服务有限公司</w:t>
            </w:r>
          </w:p>
        </w:tc>
        <w:tc>
          <w:tcPr>
            <w:tcW w:w="470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新设成立</w:t>
            </w:r>
          </w:p>
        </w:tc>
      </w:tr>
      <w:tr>
        <w:trPr>
          <w:trHeight w:val="353" w:hRule="exact"/>
        </w:trPr>
        <w:tc>
          <w:tcPr>
            <w:tcW w:w="38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中普慧园科技（北京）有限公司</w:t>
            </w:r>
          </w:p>
        </w:tc>
        <w:tc>
          <w:tcPr>
            <w:tcW w:w="470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新设成立</w:t>
            </w:r>
          </w:p>
        </w:tc>
      </w:tr>
      <w:tr>
        <w:trPr>
          <w:trHeight w:val="352" w:hRule="exact"/>
        </w:trPr>
        <w:tc>
          <w:tcPr>
            <w:tcW w:w="38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凤凰智慧城市管理运营有限责任公司</w:t>
            </w:r>
          </w:p>
        </w:tc>
        <w:tc>
          <w:tcPr>
            <w:tcW w:w="470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新设成立</w:t>
            </w:r>
          </w:p>
        </w:tc>
      </w:tr>
      <w:tr>
        <w:trPr>
          <w:trHeight w:val="352" w:hRule="exact"/>
        </w:trPr>
        <w:tc>
          <w:tcPr>
            <w:tcW w:w="38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云南中电新联通信网络有限公司</w:t>
            </w:r>
          </w:p>
        </w:tc>
        <w:tc>
          <w:tcPr>
            <w:tcW w:w="470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新设成立</w:t>
            </w:r>
          </w:p>
        </w:tc>
      </w:tr>
      <w:tr>
        <w:trPr>
          <w:trHeight w:val="353" w:hRule="exact"/>
        </w:trPr>
        <w:tc>
          <w:tcPr>
            <w:tcW w:w="38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昭通中典联网络科技有限公司</w:t>
            </w:r>
          </w:p>
        </w:tc>
        <w:tc>
          <w:tcPr>
            <w:tcW w:w="470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新设成立</w:t>
            </w:r>
          </w:p>
        </w:tc>
      </w:tr>
      <w:tr>
        <w:trPr>
          <w:trHeight w:val="352" w:hRule="exact"/>
        </w:trPr>
        <w:tc>
          <w:tcPr>
            <w:tcW w:w="38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昭通欣联企业管理有限合伙企业</w:t>
            </w:r>
          </w:p>
        </w:tc>
        <w:tc>
          <w:tcPr>
            <w:tcW w:w="470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新设成立</w:t>
            </w:r>
          </w:p>
        </w:tc>
      </w:tr>
      <w:tr>
        <w:trPr>
          <w:trHeight w:val="352" w:hRule="exact"/>
        </w:trPr>
        <w:tc>
          <w:tcPr>
            <w:tcW w:w="38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曲靖中典联网络科技有限公司</w:t>
            </w:r>
          </w:p>
        </w:tc>
        <w:tc>
          <w:tcPr>
            <w:tcW w:w="470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新设成立</w:t>
            </w:r>
          </w:p>
        </w:tc>
      </w:tr>
      <w:tr>
        <w:trPr>
          <w:trHeight w:val="353" w:hRule="exact"/>
        </w:trPr>
        <w:tc>
          <w:tcPr>
            <w:tcW w:w="38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曲靖卓联企业管理合伙企业（有限合伙）</w:t>
            </w:r>
          </w:p>
        </w:tc>
        <w:tc>
          <w:tcPr>
            <w:tcW w:w="470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新设成立</w:t>
            </w:r>
          </w:p>
        </w:tc>
      </w:tr>
      <w:tr>
        <w:trPr>
          <w:trHeight w:val="352" w:hRule="exact"/>
        </w:trPr>
        <w:tc>
          <w:tcPr>
            <w:tcW w:w="38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普洱中典联网络科技有限公司</w:t>
            </w:r>
          </w:p>
        </w:tc>
        <w:tc>
          <w:tcPr>
            <w:tcW w:w="470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新设成立</w:t>
            </w:r>
          </w:p>
        </w:tc>
      </w:tr>
      <w:tr>
        <w:trPr>
          <w:trHeight w:val="352" w:hRule="exact"/>
        </w:trPr>
        <w:tc>
          <w:tcPr>
            <w:tcW w:w="38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普洱卓联企业管理合伙企业（有限合伙）</w:t>
            </w:r>
          </w:p>
        </w:tc>
        <w:tc>
          <w:tcPr>
            <w:tcW w:w="470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1"/>
              <w:ind w:right="6"/>
              <w:jc w:val="center"/>
              <w:rPr>
                <w:rFonts w:ascii="宋体" w:hAnsi="宋体" w:cs="宋体" w:eastAsia="宋体" w:hint="default"/>
                <w:sz w:val="18"/>
                <w:szCs w:val="18"/>
              </w:rPr>
            </w:pPr>
            <w:r>
              <w:rPr>
                <w:rFonts w:ascii="宋体" w:hAnsi="宋体" w:cs="宋体" w:eastAsia="宋体" w:hint="default"/>
                <w:sz w:val="18"/>
                <w:szCs w:val="18"/>
              </w:rPr>
              <w:t>新设成立</w:t>
            </w:r>
          </w:p>
        </w:tc>
      </w:tr>
      <w:tr>
        <w:trPr>
          <w:trHeight w:val="353" w:hRule="exact"/>
        </w:trPr>
        <w:tc>
          <w:tcPr>
            <w:tcW w:w="38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楚雄彝州云数据科技有限公司</w:t>
            </w:r>
          </w:p>
        </w:tc>
        <w:tc>
          <w:tcPr>
            <w:tcW w:w="470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新设成立</w:t>
            </w:r>
          </w:p>
        </w:tc>
      </w:tr>
      <w:tr>
        <w:trPr>
          <w:trHeight w:val="352" w:hRule="exact"/>
        </w:trPr>
        <w:tc>
          <w:tcPr>
            <w:tcW w:w="38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楚雄市卓联企业管理合伙企业（有限合伙）</w:t>
            </w:r>
          </w:p>
        </w:tc>
        <w:tc>
          <w:tcPr>
            <w:tcW w:w="470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新设成立</w:t>
            </w:r>
          </w:p>
        </w:tc>
      </w:tr>
      <w:tr>
        <w:trPr>
          <w:trHeight w:val="352" w:hRule="exact"/>
        </w:trPr>
        <w:tc>
          <w:tcPr>
            <w:tcW w:w="38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湖南恒联通达信息科技有限公司</w:t>
            </w:r>
          </w:p>
        </w:tc>
        <w:tc>
          <w:tcPr>
            <w:tcW w:w="470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非同一控制下购并</w:t>
            </w:r>
          </w:p>
        </w:tc>
      </w:tr>
    </w:tbl>
    <w:p>
      <w:pPr>
        <w:spacing w:line="240" w:lineRule="auto" w:before="8"/>
        <w:rPr>
          <w:rFonts w:ascii="宋体" w:hAnsi="宋体" w:cs="宋体" w:eastAsia="宋体" w:hint="default"/>
          <w:sz w:val="6"/>
          <w:szCs w:val="6"/>
        </w:rPr>
      </w:pPr>
    </w:p>
    <w:p>
      <w:pPr>
        <w:pStyle w:val="BodyText"/>
        <w:spacing w:line="415" w:lineRule="auto"/>
        <w:ind w:left="514" w:right="1769" w:firstLine="73"/>
        <w:jc w:val="left"/>
      </w:pPr>
      <w:r>
        <w:rPr>
          <w:rFonts w:ascii="Times New Roman" w:hAnsi="Times New Roman" w:cs="Times New Roman" w:eastAsia="Times New Roman" w:hint="default"/>
        </w:rPr>
        <w:t>2</w:t>
      </w:r>
      <w:r>
        <w:rPr/>
        <w:t>、本期无不再纳入合并范围的子公司、特殊目的主体、通过委托经营或出租等方式丧失控制权的经营实体。 合并范围变更主体的具体信息详见</w:t>
      </w:r>
      <w:r>
        <w:rPr>
          <w:rFonts w:ascii="Times New Roman" w:hAnsi="Times New Roman" w:cs="Times New Roman" w:eastAsia="Times New Roman" w:hint="default"/>
        </w:rPr>
        <w:t>“</w:t>
      </w:r>
      <w:r>
        <w:rPr/>
        <w:t>第十一、节八、合并范围的变更</w:t>
      </w:r>
      <w:r>
        <w:rPr>
          <w:rFonts w:ascii="Times New Roman" w:hAnsi="Times New Roman" w:cs="Times New Roman" w:eastAsia="Times New Roman" w:hint="default"/>
        </w:rPr>
        <w:t>”</w:t>
      </w:r>
      <w:r>
        <w:rPr/>
        <w:t>。</w:t>
      </w:r>
    </w:p>
    <w:p>
      <w:pPr>
        <w:spacing w:line="240" w:lineRule="auto" w:before="10"/>
        <w:rPr>
          <w:rFonts w:ascii="宋体" w:hAnsi="宋体" w:cs="宋体" w:eastAsia="宋体" w:hint="default"/>
          <w:sz w:val="14"/>
          <w:szCs w:val="14"/>
        </w:rPr>
      </w:pPr>
    </w:p>
    <w:p>
      <w:pPr>
        <w:pStyle w:val="Heading4"/>
        <w:spacing w:line="240" w:lineRule="auto"/>
        <w:ind w:right="0"/>
        <w:jc w:val="left"/>
        <w:rPr>
          <w:b w:val="0"/>
          <w:bCs w:val="0"/>
        </w:rPr>
      </w:pPr>
      <w:bookmarkStart w:name="（7）公司报告期内业务、产品或服务发生重大变化或调整有关情况" w:id="35"/>
      <w:bookmarkEnd w:id="35"/>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8）主要销售客户和主要供应商情况" w:id="36"/>
      <w:bookmarkEnd w:id="36"/>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公司主要销售客户情况</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758,429,930.52</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30.88%</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03"/>
        <w:gridCol w:w="3301"/>
        <w:gridCol w:w="2322"/>
        <w:gridCol w:w="3143"/>
      </w:tblGrid>
      <w:tr>
        <w:trPr>
          <w:trHeight w:val="402" w:hRule="exact"/>
        </w:trPr>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423,117,010.33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17.23%</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94,798,438.15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3.86%</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90,474,990.16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3.68%</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77,838,643.83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3.17%</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72,200,848.05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2.94%</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758,429,930.52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30.88%</w:t>
            </w:r>
          </w:p>
        </w:tc>
      </w:tr>
    </w:tbl>
    <w:p>
      <w:pPr>
        <w:pStyle w:val="BodyText"/>
        <w:spacing w:line="240" w:lineRule="auto" w:before="51"/>
        <w:ind w:right="0"/>
        <w:jc w:val="left"/>
      </w:pPr>
      <w:r>
        <w:rPr/>
        <w:t>主要客户其他情况说明</w:t>
      </w:r>
    </w:p>
    <w:p>
      <w:pPr>
        <w:pStyle w:val="BodyText"/>
        <w:spacing w:line="338" w:lineRule="auto" w:before="117"/>
        <w:ind w:right="9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公司主要供应商情况</w:t>
      </w:r>
    </w:p>
    <w:p>
      <w:pPr>
        <w:spacing w:line="240" w:lineRule="auto" w:before="6"/>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274,857,371.60</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17.12%</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120,441,794.29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7.50%</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69,026,644.93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4.30%</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30,376,566.59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1.89%</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30,209,967.30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1.88%</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24,802,398.49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1.55%</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274,857,371.60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17.12%</w:t>
            </w:r>
          </w:p>
        </w:tc>
      </w:tr>
    </w:tbl>
    <w:p>
      <w:pPr>
        <w:pStyle w:val="BodyText"/>
        <w:spacing w:line="240" w:lineRule="auto" w:before="51"/>
        <w:ind w:right="0"/>
        <w:jc w:val="left"/>
      </w:pPr>
      <w:r>
        <w:rPr/>
        <w:t>主要供应商其他情况说明</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费用" w:id="37"/>
      <w:bookmarkEnd w:id="37"/>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7524"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4"/>
        <w:gridCol w:w="1637"/>
        <w:gridCol w:w="1637"/>
        <w:gridCol w:w="1462"/>
        <w:gridCol w:w="2918"/>
      </w:tblGrid>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17"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2" w:right="0"/>
              <w:jc w:val="left"/>
              <w:rPr>
                <w:rFonts w:ascii="Times New Roman" w:hAnsi="Times New Roman" w:cs="Times New Roman" w:eastAsia="Times New Roman" w:hint="default"/>
                <w:sz w:val="18"/>
                <w:szCs w:val="18"/>
              </w:rPr>
            </w:pPr>
            <w:r>
              <w:rPr>
                <w:rFonts w:ascii="Times New Roman"/>
                <w:sz w:val="18"/>
              </w:rPr>
              <w:t>208,921,082.00</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0" w:right="0"/>
              <w:jc w:val="left"/>
              <w:rPr>
                <w:rFonts w:ascii="Times New Roman" w:hAnsi="Times New Roman" w:cs="Times New Roman" w:eastAsia="Times New Roman" w:hint="default"/>
                <w:sz w:val="18"/>
                <w:szCs w:val="18"/>
              </w:rPr>
            </w:pPr>
            <w:r>
              <w:rPr>
                <w:rFonts w:ascii="Times New Roman"/>
                <w:sz w:val="18"/>
              </w:rPr>
              <w:t>106,229,201.29</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96.67%</w:t>
            </w:r>
          </w:p>
        </w:tc>
        <w:tc>
          <w:tcPr>
            <w:tcW w:w="2918"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主要系本期公司增加云南联通移动 </w:t>
            </w:r>
            <w:r>
              <w:rPr>
                <w:rFonts w:ascii="宋体" w:hAnsi="宋体" w:cs="宋体" w:eastAsia="宋体" w:hint="default"/>
                <w:spacing w:val="-2"/>
                <w:sz w:val="18"/>
                <w:szCs w:val="18"/>
              </w:rPr>
              <w:t>业务社会化合作项目，导致其项目运</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营公司销售费用新增所致。</w:t>
            </w:r>
          </w:p>
        </w:tc>
      </w:tr>
      <w:tr>
        <w:trPr>
          <w:trHeight w:val="392"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7"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317"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2" w:right="0"/>
              <w:jc w:val="left"/>
              <w:rPr>
                <w:rFonts w:ascii="Times New Roman" w:hAnsi="Times New Roman" w:cs="Times New Roman" w:eastAsia="Times New Roman" w:hint="default"/>
                <w:sz w:val="18"/>
                <w:szCs w:val="18"/>
              </w:rPr>
            </w:pPr>
            <w:r>
              <w:rPr>
                <w:rFonts w:ascii="Times New Roman"/>
                <w:sz w:val="18"/>
              </w:rPr>
              <w:t>133,453,529.27</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70" w:right="0"/>
              <w:jc w:val="left"/>
              <w:rPr>
                <w:rFonts w:ascii="Times New Roman" w:hAnsi="Times New Roman" w:cs="Times New Roman" w:eastAsia="Times New Roman" w:hint="default"/>
                <w:sz w:val="18"/>
                <w:szCs w:val="18"/>
              </w:rPr>
            </w:pPr>
            <w:r>
              <w:rPr>
                <w:rFonts w:ascii="Times New Roman"/>
                <w:sz w:val="18"/>
              </w:rPr>
              <w:t>95,161,839.12</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40.24%</w:t>
            </w:r>
          </w:p>
        </w:tc>
        <w:tc>
          <w:tcPr>
            <w:tcW w:w="2918"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主要系本期公司增加云南联通移动 </w:t>
            </w:r>
            <w:r>
              <w:rPr>
                <w:rFonts w:ascii="宋体" w:hAnsi="宋体" w:cs="宋体" w:eastAsia="宋体" w:hint="default"/>
                <w:spacing w:val="-2"/>
                <w:sz w:val="18"/>
                <w:szCs w:val="18"/>
              </w:rPr>
              <w:t>业务社会化合作项目，导致其项目运</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营公司管理费用新增所致。</w:t>
            </w:r>
          </w:p>
        </w:tc>
      </w:tr>
      <w:tr>
        <w:trPr>
          <w:trHeight w:val="392"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7"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2" w:right="0"/>
              <w:jc w:val="left"/>
              <w:rPr>
                <w:rFonts w:ascii="Times New Roman" w:hAnsi="Times New Roman" w:cs="Times New Roman" w:eastAsia="Times New Roman" w:hint="default"/>
                <w:sz w:val="18"/>
                <w:szCs w:val="18"/>
              </w:rPr>
            </w:pPr>
            <w:r>
              <w:rPr>
                <w:rFonts w:ascii="Times New Roman"/>
                <w:sz w:val="18"/>
              </w:rPr>
              <w:t>13,035,209.22</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0" w:right="0"/>
              <w:jc w:val="left"/>
              <w:rPr>
                <w:rFonts w:ascii="Times New Roman" w:hAnsi="Times New Roman" w:cs="Times New Roman" w:eastAsia="Times New Roman" w:hint="default"/>
                <w:sz w:val="18"/>
                <w:szCs w:val="18"/>
              </w:rPr>
            </w:pPr>
            <w:r>
              <w:rPr>
                <w:rFonts w:ascii="Times New Roman"/>
                <w:sz w:val="18"/>
              </w:rPr>
              <w:t>-1,354,556.36</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8" w:right="0"/>
              <w:jc w:val="left"/>
              <w:rPr>
                <w:rFonts w:ascii="Times New Roman" w:hAnsi="Times New Roman" w:cs="Times New Roman" w:eastAsia="Times New Roman" w:hint="default"/>
                <w:sz w:val="18"/>
                <w:szCs w:val="18"/>
              </w:rPr>
            </w:pPr>
            <w:r>
              <w:rPr>
                <w:rFonts w:ascii="Times New Roman"/>
                <w:sz w:val="18"/>
              </w:rPr>
              <w:t>1,062.32%</w:t>
            </w:r>
          </w:p>
        </w:tc>
        <w:tc>
          <w:tcPr>
            <w:tcW w:w="2918"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主要系公司银行借款增加，利息支出</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相应增加所致。</w:t>
            </w:r>
          </w:p>
        </w:tc>
      </w:tr>
      <w:tr>
        <w:trPr>
          <w:trHeight w:val="392"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467" w:right="0"/>
              <w:jc w:val="left"/>
              <w:rPr>
                <w:rFonts w:ascii="Times New Roman" w:hAnsi="Times New Roman" w:cs="Times New Roman" w:eastAsia="Times New Roman" w:hint="default"/>
                <w:sz w:val="18"/>
                <w:szCs w:val="18"/>
              </w:rPr>
            </w:pPr>
            <w:r>
              <w:rPr>
                <w:rFonts w:ascii="Times New Roman"/>
                <w:sz w:val="18"/>
              </w:rPr>
              <w:t>123,579,819.32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3" w:right="0"/>
              <w:jc w:val="left"/>
              <w:rPr>
                <w:rFonts w:ascii="Times New Roman" w:hAnsi="Times New Roman" w:cs="Times New Roman" w:eastAsia="Times New Roman" w:hint="default"/>
                <w:sz w:val="18"/>
                <w:szCs w:val="18"/>
              </w:rPr>
            </w:pPr>
            <w:r>
              <w:rPr>
                <w:rFonts w:ascii="Times New Roman"/>
                <w:sz w:val="18"/>
              </w:rPr>
              <w:t>110,293,811.27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12.05%</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4、研发投入" w:id="38"/>
      <w:bookmarkEnd w:id="38"/>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338" w:lineRule="auto" w:before="0"/>
        <w:ind w:left="444" w:right="1118" w:hanging="2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报告期内，公司坚持自主创新，全年研发项目总支出为</w:t>
      </w:r>
      <w:r>
        <w:rPr>
          <w:rFonts w:ascii="Times New Roman" w:hAnsi="Times New Roman" w:cs="Times New Roman" w:eastAsia="Times New Roman" w:hint="default"/>
          <w:spacing w:val="-2"/>
        </w:rPr>
        <w:t>12,357.98</w:t>
      </w:r>
      <w:r>
        <w:rPr>
          <w:spacing w:val="-2"/>
        </w:rPr>
        <w:t>万元，占营业收入的</w:t>
      </w:r>
      <w:r>
        <w:rPr>
          <w:rFonts w:ascii="Times New Roman" w:hAnsi="Times New Roman" w:cs="Times New Roman" w:eastAsia="Times New Roman" w:hint="default"/>
          <w:spacing w:val="-2"/>
        </w:rPr>
        <w:t>5.03%</w:t>
      </w:r>
      <w:r>
        <w:rPr>
          <w:spacing w:val="-2"/>
        </w:rPr>
        <w:t>，较上年同期下降</w:t>
      </w:r>
      <w:r>
        <w:rPr>
          <w:rFonts w:ascii="Times New Roman" w:hAnsi="Times New Roman" w:cs="Times New Roman" w:eastAsia="Times New Roman" w:hint="default"/>
          <w:spacing w:val="-2"/>
        </w:rPr>
        <w:t>0.42</w:t>
      </w:r>
      <w:r>
        <w:rPr>
          <w:spacing w:val="-2"/>
        </w:rPr>
        <w:t>个百分</w:t>
      </w:r>
    </w:p>
    <w:p>
      <w:pPr>
        <w:pStyle w:val="BodyText"/>
        <w:spacing w:line="231" w:lineRule="exact" w:before="0"/>
        <w:ind w:right="0"/>
        <w:jc w:val="left"/>
      </w:pPr>
      <w:r>
        <w:rPr/>
        <w:t>点。本报告期研发支出占公司最近一期经审计净资产比例为</w:t>
      </w:r>
      <w:r>
        <w:rPr>
          <w:rFonts w:ascii="Times New Roman" w:hAnsi="Times New Roman" w:cs="Times New Roman" w:eastAsia="Times New Roman" w:hint="default"/>
        </w:rPr>
        <w:t>2.80%</w:t>
      </w:r>
      <w:r>
        <w:rPr/>
        <w:t>。</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BodyText"/>
        <w:spacing w:line="240" w:lineRule="auto" w:before="0"/>
        <w:ind w:right="0"/>
        <w:jc w:val="left"/>
      </w:pPr>
      <w:r>
        <w:rPr/>
        <w:t>公司研发投入情况</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28.74%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123,579,819.32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110,293,811.27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5"/>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240" w:lineRule="auto" w:before="51"/>
        <w:ind w:right="-19"/>
        <w:jc w:val="left"/>
      </w:pPr>
      <w:r>
        <w:rPr/>
        <w:t>研发投入总额占营业收入的比重较上年发生显著变化的原因</w:t>
      </w:r>
    </w:p>
    <w:p>
      <w:pPr>
        <w:pStyle w:val="BodyText"/>
        <w:spacing w:line="338" w:lineRule="auto" w:before="117"/>
        <w:ind w:right="49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pStyle w:val="BodyText"/>
        <w:spacing w:line="240" w:lineRule="auto" w:before="43"/>
        <w:ind w:right="58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right="-19"/>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before="0"/>
        <w:ind w:left="-32" w:right="0"/>
        <w:jc w:val="left"/>
      </w:pPr>
      <w:r>
        <w:rPr/>
        <w:t>单位：元</w:t>
      </w:r>
    </w:p>
    <w:p>
      <w:pPr>
        <w:spacing w:after="0" w:line="240" w:lineRule="auto"/>
        <w:jc w:val="left"/>
        <w:sectPr>
          <w:type w:val="continuous"/>
          <w:pgSz w:w="11910" w:h="16840"/>
          <w:pgMar w:top="1060" w:bottom="1160" w:left="980" w:right="0"/>
          <w:cols w:num="2" w:equalWidth="0">
            <w:col w:w="9065" w:space="40"/>
            <w:col w:w="1825"/>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1" w:right="0"/>
              <w:jc w:val="left"/>
              <w:rPr>
                <w:rFonts w:ascii="宋体" w:hAnsi="宋体" w:cs="宋体" w:eastAsia="宋体" w:hint="default"/>
                <w:sz w:val="18"/>
                <w:szCs w:val="18"/>
              </w:rPr>
            </w:pPr>
            <w:r>
              <w:rPr>
                <w:rFonts w:ascii="宋体" w:hAnsi="宋体" w:cs="宋体" w:eastAsia="宋体" w:hint="default"/>
                <w:sz w:val="18"/>
                <w:szCs w:val="18"/>
              </w:rPr>
              <w:t>研发资本化金额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相关项目的基本情况</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实施进度</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5、现金流" w:id="39"/>
      <w:bookmarkEnd w:id="39"/>
      <w:r>
        <w:rPr>
          <w:b w:val="0"/>
          <w:bCs w:val="0"/>
        </w:rPr>
      </w:r>
      <w:r>
        <w:rPr>
          <w:rFonts w:ascii="Times New Roman" w:hAnsi="Times New Roman" w:cs="Times New Roman" w:eastAsia="Times New Roman" w:hint="default"/>
        </w:rPr>
        <w:t>5</w:t>
      </w:r>
      <w:r>
        <w:rPr/>
        <w:t>、现金流</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7524"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2,342,698,816.45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2,490,047,993.87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-5.92%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2,545,401,665.41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2,339,082,174.74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8.82%</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-202,702,848.96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150,965,819.13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-234.27%</w:t>
            </w:r>
            <w:r>
              <w:rPr>
                <w:rFonts w:ascii="Times New Roman"/>
                <w:sz w:val="18"/>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226,803,838.93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301,348,886.29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-24.74%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258,042,388.82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300,057,242.98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-14.00%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-31,238,549.89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1,291,643.31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-2,518.51%</w:t>
            </w:r>
            <w:r>
              <w:rPr>
                <w:rFonts w:ascii="Times New Roman"/>
                <w:sz w:val="18"/>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1,249,740,300.00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739,700,000.00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68.95%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1,485,023,851.01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430,844,073.96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244.68%</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-235,283,551.01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308,855,926.04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-176.18%</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36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5" w:right="0"/>
              <w:jc w:val="left"/>
              <w:rPr>
                <w:rFonts w:ascii="Times New Roman" w:hAnsi="Times New Roman" w:cs="Times New Roman" w:eastAsia="Times New Roman" w:hint="default"/>
                <w:sz w:val="18"/>
                <w:szCs w:val="18"/>
              </w:rPr>
            </w:pPr>
            <w:r>
              <w:rPr>
                <w:rFonts w:ascii="Times New Roman"/>
                <w:sz w:val="18"/>
              </w:rPr>
              <w:t>-469,581,442.35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4" w:right="0"/>
              <w:jc w:val="left"/>
              <w:rPr>
                <w:rFonts w:ascii="Times New Roman" w:hAnsi="Times New Roman" w:cs="Times New Roman" w:eastAsia="Times New Roman" w:hint="default"/>
                <w:sz w:val="18"/>
                <w:szCs w:val="18"/>
              </w:rPr>
            </w:pPr>
            <w:r>
              <w:rPr>
                <w:rFonts w:ascii="Times New Roman"/>
                <w:sz w:val="18"/>
              </w:rPr>
              <w:t>461,088,892.21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-201.84%</w:t>
            </w:r>
            <w:r>
              <w:rPr>
                <w:rFonts w:ascii="Times New Roman"/>
                <w:sz w:val="18"/>
              </w:rPr>
            </w:r>
          </w:p>
        </w:tc>
      </w:tr>
    </w:tbl>
    <w:p>
      <w:pPr>
        <w:pStyle w:val="BodyText"/>
        <w:spacing w:line="240" w:lineRule="auto" w:before="51"/>
        <w:ind w:right="0"/>
        <w:jc w:val="left"/>
      </w:pPr>
      <w:r>
        <w:rPr/>
        <w:t>相关数据同比发生重大变动的主要影响因素说明</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197" w:firstLine="360"/>
        <w:jc w:val="left"/>
      </w:pPr>
      <w:r>
        <w:rPr>
          <w:rFonts w:ascii="Times New Roman" w:hAnsi="Times New Roman" w:cs="Times New Roman" w:eastAsia="Times New Roman" w:hint="default"/>
        </w:rPr>
        <w:t>1</w:t>
      </w:r>
      <w:r>
        <w:rPr/>
        <w:t>、本报告期，经营活动产生的现金流量净额较上年同期下降</w:t>
      </w:r>
      <w:r>
        <w:rPr>
          <w:rFonts w:ascii="Times New Roman" w:hAnsi="Times New Roman" w:cs="Times New Roman" w:eastAsia="Times New Roman" w:hint="default"/>
        </w:rPr>
        <w:t>234.27%</w:t>
      </w:r>
      <w:r>
        <w:rPr/>
        <w:t>，主要系公司本期经营性项目投入较多，回款减 少，以及支付给职工以及为职工支付的现金增加较多所致。</w:t>
      </w:r>
    </w:p>
    <w:p>
      <w:pPr>
        <w:pStyle w:val="BodyText"/>
        <w:spacing w:line="300" w:lineRule="auto" w:before="31"/>
        <w:ind w:right="1119" w:firstLine="360"/>
        <w:jc w:val="left"/>
      </w:pPr>
      <w:r>
        <w:rPr>
          <w:rFonts w:ascii="Times New Roman" w:hAnsi="Times New Roman" w:cs="Times New Roman" w:eastAsia="Times New Roman" w:hint="default"/>
          <w:spacing w:val="-1"/>
        </w:rPr>
        <w:t>2</w:t>
      </w:r>
      <w:r>
        <w:rPr>
          <w:spacing w:val="-1"/>
        </w:rPr>
        <w:t>、本报告期，投资活动产生的现金流量净额较上年同期下降</w:t>
      </w:r>
      <w:r>
        <w:rPr>
          <w:rFonts w:ascii="Times New Roman" w:hAnsi="Times New Roman" w:cs="Times New Roman" w:eastAsia="Times New Roman" w:hint="default"/>
          <w:spacing w:val="-1"/>
        </w:rPr>
        <w:t>2,518.51%</w:t>
      </w:r>
      <w:r>
        <w:rPr>
          <w:spacing w:val="-1"/>
        </w:rPr>
        <w:t>，主要系公司上年同期银行理财产品到期收回所</w:t>
      </w:r>
      <w:r>
        <w:rPr/>
        <w:t> 致。</w:t>
      </w:r>
    </w:p>
    <w:p>
      <w:pPr>
        <w:pStyle w:val="BodyText"/>
        <w:spacing w:line="300" w:lineRule="auto" w:before="31"/>
        <w:ind w:right="1197" w:firstLine="360"/>
        <w:jc w:val="left"/>
      </w:pPr>
      <w:r>
        <w:rPr>
          <w:rFonts w:ascii="Times New Roman" w:hAnsi="Times New Roman" w:cs="Times New Roman" w:eastAsia="Times New Roman" w:hint="default"/>
        </w:rPr>
        <w:t>3</w:t>
      </w:r>
      <w:r>
        <w:rPr/>
        <w:t>、本报告期，筹资活动产生的现金流量净额较上年同期下降</w:t>
      </w:r>
      <w:r>
        <w:rPr>
          <w:rFonts w:ascii="Times New Roman" w:hAnsi="Times New Roman" w:cs="Times New Roman" w:eastAsia="Times New Roman" w:hint="default"/>
        </w:rPr>
        <w:t>176.18%</w:t>
      </w:r>
      <w:r>
        <w:rPr/>
        <w:t>，主要系公司本期银行借款净流入减少，以及本 期公司回购股份支付现金等所致。</w:t>
      </w:r>
    </w:p>
    <w:p>
      <w:pPr>
        <w:pStyle w:val="BodyText"/>
        <w:spacing w:line="240" w:lineRule="auto" w:before="72"/>
        <w:ind w:right="0"/>
        <w:jc w:val="left"/>
      </w:pPr>
      <w:r>
        <w:rPr/>
        <w:t>报告期内公司经营活动产生的现金净流量与本年度净利润存在重大差异的原因说明</w:t>
      </w:r>
    </w:p>
    <w:p>
      <w:pPr>
        <w:pStyle w:val="BodyText"/>
        <w:spacing w:line="338" w:lineRule="auto" w:before="117"/>
        <w:ind w:left="444" w:right="6502" w:hanging="2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主要系本期经营性垫资项目建设期大量投入所致。</w:t>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5"/>
          <w:szCs w:val="25"/>
        </w:rPr>
      </w:pPr>
    </w:p>
    <w:p>
      <w:pPr>
        <w:pStyle w:val="Heading2"/>
        <w:spacing w:line="240" w:lineRule="auto"/>
        <w:ind w:right="0"/>
        <w:jc w:val="left"/>
        <w:rPr>
          <w:b w:val="0"/>
          <w:bCs w:val="0"/>
        </w:rPr>
      </w:pPr>
      <w:bookmarkStart w:name="三、非主营业务分析" w:id="40"/>
      <w:bookmarkEnd w:id="40"/>
      <w:r>
        <w:rPr>
          <w:b w:val="0"/>
          <w:bCs w:val="0"/>
        </w:rPr>
      </w:r>
      <w:r>
        <w:rPr/>
        <w:t>三、非主营业务分析</w:t>
      </w:r>
      <w:r>
        <w:rPr>
          <w:b w:val="0"/>
          <w:bCs w:val="0"/>
        </w:rPr>
      </w:r>
    </w:p>
    <w:p>
      <w:pPr>
        <w:spacing w:line="240" w:lineRule="auto" w:before="2"/>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7524"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12"/>
        <w:gridCol w:w="1916"/>
        <w:gridCol w:w="1623"/>
        <w:gridCol w:w="2254"/>
        <w:gridCol w:w="2254"/>
      </w:tblGrid>
      <w:tr>
        <w:trPr>
          <w:trHeight w:val="402"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1"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2"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161"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1" w:right="0"/>
              <w:jc w:val="left"/>
              <w:rPr>
                <w:rFonts w:ascii="Times New Roman" w:hAnsi="Times New Roman" w:cs="Times New Roman" w:eastAsia="Times New Roman" w:hint="default"/>
                <w:sz w:val="18"/>
                <w:szCs w:val="18"/>
              </w:rPr>
            </w:pPr>
            <w:r>
              <w:rPr>
                <w:rFonts w:ascii="Times New Roman"/>
                <w:sz w:val="18"/>
              </w:rPr>
              <w:t>3,193,968.56</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1.46%</w:t>
            </w:r>
          </w:p>
        </w:tc>
        <w:tc>
          <w:tcPr>
            <w:tcW w:w="2254"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58"/>
              <w:jc w:val="left"/>
              <w:rPr>
                <w:rFonts w:ascii="宋体" w:hAnsi="宋体" w:cs="宋体" w:eastAsia="宋体" w:hint="default"/>
                <w:sz w:val="18"/>
                <w:szCs w:val="18"/>
              </w:rPr>
            </w:pPr>
            <w:r>
              <w:rPr>
                <w:rFonts w:ascii="宋体" w:hAnsi="宋体" w:cs="宋体" w:eastAsia="宋体" w:hint="default"/>
                <w:sz w:val="18"/>
                <w:szCs w:val="18"/>
              </w:rPr>
              <w:t>主要系购买理财产品投资收 益</w:t>
            </w:r>
          </w:p>
        </w:tc>
        <w:tc>
          <w:tcPr>
            <w:tcW w:w="2254" w:type="dxa"/>
            <w:vMerge w:val="restart"/>
            <w:tcBorders>
              <w:top w:val="single" w:sz="4" w:space="0" w:color="000000"/>
              <w:left w:val="single" w:sz="4" w:space="0" w:color="000000"/>
              <w:right w:val="single" w:sz="4" w:space="0" w:color="000000"/>
            </w:tcBorders>
          </w:tcPr>
          <w:p>
            <w:pPr/>
          </w:p>
        </w:tc>
      </w:tr>
      <w:tr>
        <w:trPr>
          <w:trHeight w:val="393"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161"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r>
        <w:trPr>
          <w:trHeight w:val="161"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1" w:right="0"/>
              <w:jc w:val="left"/>
              <w:rPr>
                <w:rFonts w:ascii="Times New Roman" w:hAnsi="Times New Roman" w:cs="Times New Roman" w:eastAsia="Times New Roman" w:hint="default"/>
                <w:sz w:val="18"/>
                <w:szCs w:val="18"/>
              </w:rPr>
            </w:pPr>
            <w:r>
              <w:rPr>
                <w:rFonts w:ascii="Times New Roman"/>
                <w:sz w:val="18"/>
              </w:rPr>
              <w:t>43,662,567.71</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6" w:right="0"/>
              <w:jc w:val="left"/>
              <w:rPr>
                <w:rFonts w:ascii="Times New Roman" w:hAnsi="Times New Roman" w:cs="Times New Roman" w:eastAsia="Times New Roman" w:hint="default"/>
                <w:sz w:val="18"/>
                <w:szCs w:val="18"/>
              </w:rPr>
            </w:pPr>
            <w:r>
              <w:rPr>
                <w:rFonts w:ascii="Times New Roman"/>
                <w:sz w:val="18"/>
              </w:rPr>
              <w:t>19.92%</w:t>
            </w:r>
          </w:p>
        </w:tc>
        <w:tc>
          <w:tcPr>
            <w:tcW w:w="2254"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58"/>
              <w:jc w:val="left"/>
              <w:rPr>
                <w:rFonts w:ascii="宋体" w:hAnsi="宋体" w:cs="宋体" w:eastAsia="宋体" w:hint="default"/>
                <w:sz w:val="18"/>
                <w:szCs w:val="18"/>
              </w:rPr>
            </w:pPr>
            <w:r>
              <w:rPr>
                <w:rFonts w:ascii="宋体" w:hAnsi="宋体" w:cs="宋体" w:eastAsia="宋体" w:hint="default"/>
                <w:sz w:val="18"/>
                <w:szCs w:val="18"/>
              </w:rPr>
              <w:t>主要系计提资产减值准备所 致</w:t>
            </w:r>
          </w:p>
        </w:tc>
        <w:tc>
          <w:tcPr>
            <w:tcW w:w="2254" w:type="dxa"/>
            <w:vMerge w:val="restart"/>
            <w:tcBorders>
              <w:top w:val="single" w:sz="4" w:space="0" w:color="000000"/>
              <w:left w:val="single" w:sz="4" w:space="0" w:color="000000"/>
              <w:right w:val="single" w:sz="4" w:space="0" w:color="000000"/>
            </w:tcBorders>
          </w:tcPr>
          <w:p>
            <w:pPr/>
          </w:p>
        </w:tc>
      </w:tr>
      <w:tr>
        <w:trPr>
          <w:trHeight w:val="392"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161"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r>
        <w:trPr>
          <w:trHeight w:val="402"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635,080.84</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0.29%</w:t>
            </w:r>
          </w:p>
        </w:tc>
        <w:tc>
          <w:tcPr>
            <w:tcW w:w="2254"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4,199,717.01</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1.92%</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主要系对外捐赠等</w:t>
            </w:r>
          </w:p>
        </w:tc>
        <w:tc>
          <w:tcPr>
            <w:tcW w:w="225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四、资产及负债状况分析" w:id="41"/>
      <w:bookmarkEnd w:id="41"/>
      <w:r>
        <w:rPr>
          <w:b w:val="0"/>
          <w:bCs w:val="0"/>
        </w:rPr>
      </w:r>
      <w:r>
        <w:rPr/>
        <w:t>四、资产及负债状况分析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资产构成重大变动情况" w:id="42"/>
      <w:bookmarkEnd w:id="42"/>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7524"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7"/>
        <w:gridCol w:w="1164"/>
        <w:gridCol w:w="1063"/>
        <w:gridCol w:w="1196"/>
        <w:gridCol w:w="1063"/>
        <w:gridCol w:w="798"/>
        <w:gridCol w:w="2918"/>
      </w:tblGrid>
      <w:tr>
        <w:trPr>
          <w:trHeight w:val="379" w:hRule="exact"/>
        </w:trPr>
        <w:tc>
          <w:tcPr>
            <w:tcW w:w="1357"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4" w:hRule="exact"/>
        </w:trPr>
        <w:tc>
          <w:tcPr>
            <w:tcW w:w="1357" w:type="dxa"/>
            <w:vMerge w:val="restart"/>
            <w:tcBorders>
              <w:top w:val="single" w:sz="14" w:space="0" w:color="FFFFFF"/>
              <w:left w:val="single" w:sz="4" w:space="0" w:color="000000"/>
              <w:right w:val="single" w:sz="4" w:space="0" w:color="000000"/>
            </w:tcBorders>
            <w:shd w:val="clear" w:color="auto" w:fill="D2D2D2"/>
          </w:tcPr>
          <w:p>
            <w:pPr/>
          </w:p>
        </w:tc>
        <w:tc>
          <w:tcPr>
            <w:tcW w:w="1164"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5"/>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5"/>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57"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7"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786,236,356.8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12.60%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1,248,207,198.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21.30%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-8.70%</w:t>
            </w:r>
          </w:p>
        </w:tc>
        <w:tc>
          <w:tcPr>
            <w:tcW w:w="2918"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主要系公司经营性项目投入较大，支</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付现金较多所致。</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978,660,986.6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15.68%</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868,317,381.41</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14.81%</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0.87%</w:t>
            </w:r>
          </w:p>
        </w:tc>
        <w:tc>
          <w:tcPr>
            <w:tcW w:w="2918" w:type="dxa"/>
            <w:vMerge w:val="restart"/>
            <w:tcBorders>
              <w:top w:val="single" w:sz="4" w:space="0" w:color="000000"/>
              <w:left w:val="single" w:sz="4" w:space="0" w:color="000000"/>
              <w:right w:val="single" w:sz="4" w:space="0" w:color="000000"/>
            </w:tcBorders>
          </w:tcPr>
          <w:p>
            <w:pP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1"/>
              <w:ind w:left="38" w:right="0"/>
              <w:jc w:val="left"/>
              <w:rPr>
                <w:rFonts w:ascii="Times New Roman" w:hAnsi="Times New Roman" w:cs="Times New Roman" w:eastAsia="Times New Roman" w:hint="default"/>
                <w:sz w:val="18"/>
                <w:szCs w:val="18"/>
              </w:rPr>
            </w:pPr>
            <w:r>
              <w:rPr>
                <w:rFonts w:ascii="Times New Roman"/>
                <w:sz w:val="18"/>
              </w:rPr>
              <w:t>1,096,880,825.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75" w:right="0"/>
              <w:jc w:val="left"/>
              <w:rPr>
                <w:rFonts w:ascii="Times New Roman" w:hAnsi="Times New Roman" w:cs="Times New Roman" w:eastAsia="Times New Roman" w:hint="default"/>
                <w:sz w:val="18"/>
                <w:szCs w:val="18"/>
              </w:rPr>
            </w:pPr>
            <w:r>
              <w:rPr>
                <w:rFonts w:ascii="Times New Roman"/>
                <w:sz w:val="18"/>
              </w:rPr>
              <w:t>17.58%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81" w:right="0"/>
              <w:jc w:val="left"/>
              <w:rPr>
                <w:rFonts w:ascii="Times New Roman" w:hAnsi="Times New Roman" w:cs="Times New Roman" w:eastAsia="Times New Roman" w:hint="default"/>
                <w:sz w:val="18"/>
                <w:szCs w:val="18"/>
              </w:rPr>
            </w:pPr>
            <w:r>
              <w:rPr>
                <w:rFonts w:ascii="Times New Roman"/>
                <w:sz w:val="18"/>
              </w:rPr>
              <w:t>1,150,428,526.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75" w:right="0"/>
              <w:jc w:val="left"/>
              <w:rPr>
                <w:rFonts w:ascii="Times New Roman" w:hAnsi="Times New Roman" w:cs="Times New Roman" w:eastAsia="Times New Roman" w:hint="default"/>
                <w:sz w:val="18"/>
                <w:szCs w:val="18"/>
              </w:rPr>
            </w:pPr>
            <w:r>
              <w:rPr>
                <w:rFonts w:ascii="Times New Roman"/>
                <w:sz w:val="18"/>
              </w:rPr>
              <w:t>19.63%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9" w:right="0"/>
              <w:jc w:val="left"/>
              <w:rPr>
                <w:rFonts w:ascii="Times New Roman" w:hAnsi="Times New Roman" w:cs="Times New Roman" w:eastAsia="Times New Roman" w:hint="default"/>
                <w:sz w:val="18"/>
                <w:szCs w:val="18"/>
              </w:rPr>
            </w:pPr>
            <w:r>
              <w:rPr>
                <w:rFonts w:ascii="Times New Roman"/>
                <w:sz w:val="18"/>
              </w:rPr>
              <w:t>-2.05%</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164"/>
        <w:gridCol w:w="1063"/>
        <w:gridCol w:w="1196"/>
        <w:gridCol w:w="1063"/>
        <w:gridCol w:w="798"/>
        <w:gridCol w:w="2918"/>
      </w:tblGrid>
      <w:tr>
        <w:trPr>
          <w:trHeight w:val="36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42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42</w:t>
            </w:r>
          </w:p>
        </w:tc>
        <w:tc>
          <w:tcPr>
            <w:tcW w:w="106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85,801,256.37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94,538,276.98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-0.24%</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21,852,780.85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22,773,197.89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-0.04%</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581,933,466.3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605,834,082.13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10.34%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-1.01%</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493,500,000.0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480,000,000.00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8.19%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-0.28%</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主要系公司银行长期借款增加所致。</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以公允价值计量的资产和负债" w:id="43"/>
      <w:bookmarkEnd w:id="43"/>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截至报告期末的资产权利受限情况" w:id="44"/>
      <w:bookmarkEnd w:id="44"/>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t>截止报告期末，公司的资产权利受限情况如下：</w:t>
      </w:r>
    </w:p>
    <w:p>
      <w:pPr>
        <w:pStyle w:val="BodyText"/>
        <w:spacing w:line="240" w:lineRule="auto" w:before="76"/>
        <w:ind w:left="1882" w:right="525"/>
        <w:jc w:val="center"/>
      </w:pPr>
      <w:r>
        <w:rPr/>
        <w:t>单位：元</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1529"/>
        <w:gridCol w:w="1987"/>
        <w:gridCol w:w="5028"/>
      </w:tblGrid>
      <w:tr>
        <w:trPr>
          <w:trHeight w:val="347" w:hRule="exact"/>
        </w:trPr>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576"/>
              <w:jc w:val="right"/>
              <w:rPr>
                <w:rFonts w:ascii="宋体" w:hAnsi="宋体" w:cs="宋体" w:eastAsia="宋体" w:hint="default"/>
                <w:sz w:val="18"/>
                <w:szCs w:val="18"/>
              </w:rPr>
            </w:pPr>
            <w:r>
              <w:rPr>
                <w:rFonts w:ascii="宋体" w:hAnsi="宋体" w:cs="宋体" w:eastAsia="宋体" w:hint="default"/>
                <w:sz w:val="18"/>
                <w:szCs w:val="18"/>
              </w:rPr>
              <w:t>项目</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余额</w:t>
            </w:r>
          </w:p>
        </w:tc>
        <w:tc>
          <w:tcPr>
            <w:tcW w:w="5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347" w:hRule="exact"/>
        </w:trPr>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2"/>
              <w:jc w:val="right"/>
              <w:rPr>
                <w:rFonts w:ascii="Times New Roman" w:hAnsi="Times New Roman" w:cs="Times New Roman" w:eastAsia="Times New Roman" w:hint="default"/>
                <w:sz w:val="18"/>
                <w:szCs w:val="18"/>
              </w:rPr>
            </w:pPr>
            <w:r>
              <w:rPr>
                <w:rFonts w:ascii="Times New Roman"/>
                <w:spacing w:val="-1"/>
                <w:sz w:val="18"/>
              </w:rPr>
              <w:t>29,475,035.35</w:t>
            </w:r>
          </w:p>
        </w:tc>
        <w:tc>
          <w:tcPr>
            <w:tcW w:w="5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票据保证金、保函保证金等</w:t>
            </w:r>
          </w:p>
        </w:tc>
      </w:tr>
      <w:tr>
        <w:trPr>
          <w:trHeight w:val="348" w:hRule="exact"/>
        </w:trPr>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2"/>
              <w:jc w:val="right"/>
              <w:rPr>
                <w:rFonts w:ascii="Times New Roman" w:hAnsi="Times New Roman" w:cs="Times New Roman" w:eastAsia="Times New Roman" w:hint="default"/>
                <w:sz w:val="18"/>
                <w:szCs w:val="18"/>
              </w:rPr>
            </w:pPr>
            <w:r>
              <w:rPr>
                <w:rFonts w:ascii="Times New Roman"/>
                <w:sz w:val="18"/>
              </w:rPr>
              <w:t>600,000.00</w:t>
            </w:r>
          </w:p>
        </w:tc>
        <w:tc>
          <w:tcPr>
            <w:tcW w:w="5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票据质押用于开具承兑汇票</w:t>
            </w:r>
          </w:p>
        </w:tc>
      </w:tr>
      <w:tr>
        <w:trPr>
          <w:trHeight w:val="426" w:hRule="exact"/>
        </w:trPr>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right"/>
              <w:rPr>
                <w:rFonts w:ascii="Times New Roman" w:hAnsi="Times New Roman" w:cs="Times New Roman" w:eastAsia="Times New Roman" w:hint="default"/>
                <w:sz w:val="18"/>
                <w:szCs w:val="18"/>
              </w:rPr>
            </w:pPr>
            <w:r>
              <w:rPr>
                <w:rFonts w:ascii="Times New Roman"/>
                <w:spacing w:val="-1"/>
                <w:sz w:val="18"/>
              </w:rPr>
              <w:t>9,484,883.33</w:t>
            </w:r>
          </w:p>
        </w:tc>
        <w:tc>
          <w:tcPr>
            <w:tcW w:w="5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诉讼保全</w:t>
            </w:r>
          </w:p>
        </w:tc>
      </w:tr>
      <w:tr>
        <w:trPr>
          <w:trHeight w:val="348" w:hRule="exact"/>
        </w:trPr>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576"/>
              <w:jc w:val="right"/>
              <w:rPr>
                <w:rFonts w:ascii="宋体" w:hAnsi="宋体" w:cs="宋体" w:eastAsia="宋体" w:hint="default"/>
                <w:sz w:val="18"/>
                <w:szCs w:val="18"/>
              </w:rPr>
            </w:pPr>
            <w:r>
              <w:rPr>
                <w:rFonts w:ascii="宋体" w:hAnsi="宋体" w:cs="宋体" w:eastAsia="宋体" w:hint="default"/>
                <w:sz w:val="18"/>
                <w:szCs w:val="18"/>
              </w:rPr>
              <w:t>合计</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2"/>
              <w:jc w:val="right"/>
              <w:rPr>
                <w:rFonts w:ascii="Times New Roman" w:hAnsi="Times New Roman" w:cs="Times New Roman" w:eastAsia="Times New Roman" w:hint="default"/>
                <w:sz w:val="18"/>
                <w:szCs w:val="18"/>
              </w:rPr>
            </w:pPr>
            <w:r>
              <w:rPr>
                <w:rFonts w:ascii="Times New Roman"/>
                <w:spacing w:val="-1"/>
                <w:sz w:val="18"/>
              </w:rPr>
              <w:t>39,559,918.68</w:t>
            </w:r>
          </w:p>
        </w:tc>
        <w:tc>
          <w:tcPr>
            <w:tcW w:w="5028"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pStyle w:val="Heading2"/>
        <w:spacing w:line="240" w:lineRule="auto" w:before="26"/>
        <w:ind w:right="0"/>
        <w:jc w:val="left"/>
        <w:rPr>
          <w:b w:val="0"/>
          <w:bCs w:val="0"/>
        </w:rPr>
      </w:pPr>
      <w:bookmarkStart w:name="五、投资状况分析" w:id="45"/>
      <w:bookmarkEnd w:id="45"/>
      <w:r>
        <w:rPr>
          <w:b w:val="0"/>
          <w:bCs w:val="0"/>
        </w:rPr>
      </w:r>
      <w:r>
        <w:rPr/>
        <w:t>五、投资状况分析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总体情况" w:id="46"/>
      <w:bookmarkEnd w:id="46"/>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0" w:right="0"/>
              <w:jc w:val="left"/>
              <w:rPr>
                <w:rFonts w:ascii="Times New Roman" w:hAnsi="Times New Roman" w:cs="Times New Roman" w:eastAsia="Times New Roman" w:hint="default"/>
                <w:sz w:val="18"/>
                <w:szCs w:val="18"/>
              </w:rPr>
            </w:pPr>
            <w:r>
              <w:rPr>
                <w:rFonts w:ascii="Times New Roman"/>
                <w:sz w:val="18"/>
              </w:rPr>
              <w:t>308,991,700.00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296,720,000.00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4.14%</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报告期内获取的重大的股权投资情况" w:id="47"/>
      <w:bookmarkEnd w:id="47"/>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报告期内正在进行的重大的非股权投资情况" w:id="48"/>
      <w:bookmarkEnd w:id="48"/>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4、以公允价值计量的金融资产" w:id="49"/>
      <w:bookmarkEnd w:id="49"/>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5、募集资金使用情况" w:id="50"/>
      <w:bookmarkEnd w:id="50"/>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1）募集资金总体使用情况" w:id="51"/>
      <w:bookmarkEnd w:id="51"/>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7524" w:right="1130"/>
        <w:jc w:val="right"/>
      </w:pPr>
      <w:r>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pStyle w:val="BodyText"/>
        <w:spacing w:line="240" w:lineRule="auto"/>
        <w:ind w:left="7524" w:right="1143"/>
        <w:jc w:val="right"/>
      </w:pPr>
      <w:r>
        <w:rPr/>
        <w:pict>
          <v:shape style="position:absolute;margin-left:56.459999pt;margin-top:-221.728287pt;width:479pt;height:241.4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69"/>
                  </w:tblGrid>
                  <w:tr>
                    <w:trPr>
                      <w:trHeight w:val="1338"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3" w:right="72"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650"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2016</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08"/>
                          <w:jc w:val="left"/>
                          <w:rPr>
                            <w:rFonts w:ascii="宋体" w:hAnsi="宋体" w:cs="宋体" w:eastAsia="宋体" w:hint="default"/>
                            <w:sz w:val="18"/>
                            <w:szCs w:val="18"/>
                          </w:rPr>
                        </w:pPr>
                        <w:r>
                          <w:rPr>
                            <w:rFonts w:ascii="宋体" w:hAnsi="宋体" w:cs="宋体" w:eastAsia="宋体" w:hint="default"/>
                            <w:sz w:val="18"/>
                            <w:szCs w:val="18"/>
                          </w:rPr>
                          <w:t>非公开募 集</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103,114.52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81,446.45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89,010.55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102,967.56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102,967.56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99.86%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15,685.95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4"/>
                          <w:jc w:val="both"/>
                          <w:rPr>
                            <w:rFonts w:ascii="宋体" w:hAnsi="宋体" w:cs="宋体" w:eastAsia="宋体" w:hint="default"/>
                            <w:sz w:val="18"/>
                            <w:szCs w:val="18"/>
                          </w:rPr>
                        </w:pPr>
                        <w:r>
                          <w:rPr>
                            <w:rFonts w:ascii="宋体" w:hAnsi="宋体" w:cs="宋体" w:eastAsia="宋体" w:hint="default"/>
                            <w:sz w:val="18"/>
                            <w:szCs w:val="18"/>
                          </w:rPr>
                          <w:t>存放于募 集资金专 户余额为</w:t>
                        </w:r>
                      </w:p>
                      <w:p>
                        <w:pPr>
                          <w:pStyle w:val="TableParagraph"/>
                          <w:spacing w:line="240" w:lineRule="auto" w:before="58"/>
                          <w:ind w:left="22" w:right="0"/>
                          <w:jc w:val="both"/>
                          <w:rPr>
                            <w:rFonts w:ascii="Times New Roman" w:hAnsi="Times New Roman" w:cs="Times New Roman" w:eastAsia="Times New Roman" w:hint="default"/>
                            <w:sz w:val="18"/>
                            <w:szCs w:val="18"/>
                          </w:rPr>
                        </w:pPr>
                        <w:r>
                          <w:rPr>
                            <w:rFonts w:ascii="Times New Roman"/>
                            <w:sz w:val="18"/>
                          </w:rPr>
                          <w:t>156,859,48</w:t>
                        </w:r>
                      </w:p>
                      <w:p>
                        <w:pPr>
                          <w:pStyle w:val="TableParagraph"/>
                          <w:spacing w:line="240" w:lineRule="auto" w:before="66"/>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6.38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103,114.52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81,446.45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89,010.55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102,967.56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102,967.56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99.86%</w:t>
                        </w:r>
                      </w:p>
                    </w:tc>
                    <w:tc>
                      <w:tcPr>
                        <w:tcW w:w="87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15,685.95</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026" w:hRule="exact"/>
                    </w:trPr>
                    <w:tc>
                      <w:tcPr>
                        <w:tcW w:w="956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日止，尚未使用募集资金金额为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141,039,709.48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元，募集资金专户余额为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156,859,486.38</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元，与尚未</w:t>
                        </w:r>
                      </w:p>
                      <w:p>
                        <w:pPr>
                          <w:pStyle w:val="TableParagraph"/>
                          <w:spacing w:line="302" w:lineRule="auto" w:before="63"/>
                          <w:ind w:left="22" w:right="81"/>
                          <w:jc w:val="left"/>
                          <w:rPr>
                            <w:rFonts w:ascii="宋体" w:hAnsi="宋体" w:cs="宋体" w:eastAsia="宋体" w:hint="default"/>
                            <w:sz w:val="18"/>
                            <w:szCs w:val="18"/>
                          </w:rPr>
                        </w:pPr>
                        <w:r>
                          <w:rPr>
                            <w:rFonts w:ascii="宋体" w:hAnsi="宋体" w:cs="宋体" w:eastAsia="宋体" w:hint="default"/>
                            <w:sz w:val="18"/>
                            <w:szCs w:val="18"/>
                          </w:rPr>
                          <w:t>使用募集资金余额的差异</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15,819,776.90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元，其中：差异</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16,746,758.03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元系募集资金专户累计利息收入扣除手续费后的净 </w:t>
                        </w:r>
                        <w:r>
                          <w:rPr>
                            <w:rFonts w:ascii="宋体" w:hAnsi="宋体" w:cs="宋体" w:eastAsia="宋体" w:hint="default"/>
                            <w:spacing w:val="-12"/>
                            <w:sz w:val="18"/>
                            <w:szCs w:val="18"/>
                          </w:rPr>
                          <w:t>额，差异</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200,000.00</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元系企业非募集资金户支付的发行费用未置换，差异</w:t>
                        </w:r>
                        <w:r>
                          <w:rPr>
                            <w:rFonts w:ascii="Times New Roman" w:hAnsi="Times New Roman" w:cs="Times New Roman" w:eastAsia="Times New Roman" w:hint="default"/>
                            <w:sz w:val="18"/>
                            <w:szCs w:val="18"/>
                          </w:rPr>
                          <w:t>-1,126,981.13</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元系发行费用对应的增值税进项税</w:t>
                        </w:r>
                      </w:p>
                    </w:tc>
                  </w:tr>
                </w:tbl>
                <w:p>
                  <w:pPr/>
                </w:p>
              </w:txbxContent>
            </v:textbox>
            <w10:wrap type="none"/>
          </v:shape>
        </w:pict>
      </w:r>
      <w:r>
        <w:rPr/>
        <w:t>。</w:t>
      </w:r>
    </w:p>
    <w:p>
      <w:pPr>
        <w:spacing w:line="240" w:lineRule="auto" w:before="12"/>
        <w:rPr>
          <w:rFonts w:ascii="宋体" w:hAnsi="宋体" w:cs="宋体" w:eastAsia="宋体" w:hint="default"/>
          <w:sz w:val="27"/>
          <w:szCs w:val="27"/>
        </w:rPr>
      </w:pPr>
    </w:p>
    <w:p>
      <w:pPr>
        <w:pStyle w:val="Heading4"/>
        <w:spacing w:line="240" w:lineRule="auto" w:before="35"/>
        <w:ind w:right="0"/>
        <w:jc w:val="left"/>
        <w:rPr>
          <w:b w:val="0"/>
          <w:bCs w:val="0"/>
        </w:rPr>
      </w:pPr>
      <w:bookmarkStart w:name="（2）募集资金承诺项目情况" w:id="52"/>
      <w:bookmarkEnd w:id="52"/>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7524"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1338"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520" w:right="69" w:hanging="451"/>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 w:right="24"/>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4"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1"/>
              <w:ind w:left="25"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 w:right="23"/>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7"/>
              <w:jc w:val="both"/>
              <w:rPr>
                <w:rFonts w:ascii="宋体" w:hAnsi="宋体" w:cs="宋体" w:eastAsia="宋体" w:hint="default"/>
                <w:sz w:val="18"/>
                <w:szCs w:val="18"/>
              </w:rPr>
            </w:pPr>
            <w:r>
              <w:rPr>
                <w:rFonts w:ascii="宋体" w:hAnsi="宋体" w:cs="宋体" w:eastAsia="宋体" w:hint="default"/>
                <w:sz w:val="18"/>
                <w:szCs w:val="18"/>
              </w:rPr>
              <w:t>公共安全与反恐领域 机器人及无人机产业 化项目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67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基于有线</w:t>
            </w:r>
            <w:r>
              <w:rPr>
                <w:rFonts w:ascii="Times New Roman" w:hAnsi="Times New Roman" w:cs="Times New Roman" w:eastAsia="Times New Roman" w:hint="default"/>
                <w:sz w:val="18"/>
                <w:szCs w:val="18"/>
              </w:rPr>
              <w:t>/</w:t>
            </w:r>
            <w:r>
              <w:rPr>
                <w:rFonts w:ascii="宋体" w:hAnsi="宋体" w:cs="宋体" w:eastAsia="宋体" w:hint="default"/>
                <w:sz w:val="18"/>
                <w:szCs w:val="18"/>
              </w:rPr>
              <w:t>无线传输的 电动汽车自适应智能</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128.55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shape style="position:absolute;margin-left:56.459999pt;margin-top:71.999985pt;width:479.2pt;height:695pt;mso-position-horizontal-relative:page;mso-position-vertical-relative:page;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36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充电桩建设项目</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7"/>
                          <w:jc w:val="both"/>
                          <w:rPr>
                            <w:rFonts w:ascii="宋体" w:hAnsi="宋体" w:cs="宋体" w:eastAsia="宋体" w:hint="default"/>
                            <w:sz w:val="18"/>
                            <w:szCs w:val="18"/>
                          </w:rPr>
                        </w:pPr>
                        <w:r>
                          <w:rPr>
                            <w:rFonts w:ascii="宋体" w:hAnsi="宋体" w:cs="宋体" w:eastAsia="宋体" w:hint="default"/>
                            <w:sz w:val="18"/>
                            <w:szCs w:val="18"/>
                          </w:rPr>
                          <w:t>智能远动（高铁信号 电力保障系统生产线 建设项目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18.41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7"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146.96</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13" w:space="0" w:color="D2D2D2"/>
                          <w:bottom w:val="single" w:sz="4" w:space="0" w:color="000000"/>
                          <w:right w:val="single" w:sz="10" w:space="0" w:color="D2D2D2"/>
                        </w:tcBorders>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397"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146.96</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97"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Style w:val="TableParagraph"/>
                          <w:spacing w:line="312" w:lineRule="auto" w:before="51"/>
                          <w:ind w:left="16"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基于有线</w:t>
                        </w:r>
                        <w:r>
                          <w:rPr>
                            <w:rFonts w:ascii="Times New Roman" w:hAnsi="Times New Roman" w:cs="Times New Roman" w:eastAsia="Times New Roman" w:hint="default"/>
                            <w:sz w:val="18"/>
                            <w:szCs w:val="18"/>
                          </w:rPr>
                          <w:t>/</w:t>
                        </w:r>
                        <w:r>
                          <w:rPr>
                            <w:rFonts w:ascii="宋体" w:hAnsi="宋体" w:cs="宋体" w:eastAsia="宋体" w:hint="default"/>
                            <w:sz w:val="18"/>
                            <w:szCs w:val="18"/>
                          </w:rPr>
                          <w:t>无线传输的电动汽车自适应智能充电桩建设项目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：主要受公司目标市场相关行业补 贴政策细则落地实施时间的影响，新能源汽车相关配套行业的发展尚需一个过程，充电基础设施前 </w:t>
                        </w:r>
                        <w:r>
                          <w:rPr>
                            <w:rFonts w:ascii="宋体" w:hAnsi="宋体" w:cs="宋体" w:eastAsia="宋体" w:hint="default"/>
                            <w:spacing w:val="-3"/>
                            <w:sz w:val="18"/>
                            <w:szCs w:val="18"/>
                          </w:rPr>
                          <w:t>期投入较大，导致目标市场上充电桩生产和运营企业多数盈利状况不佳。公司董事会综合上述情况</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4"/>
                            <w:sz w:val="18"/>
                            <w:szCs w:val="18"/>
                          </w:rPr>
                          <w:t>经过谨慎的研究决策，决定稳步开展充电桩项目，暂时不进行大规模的资金投入。</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智能远动（高</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铁信号）电力保障系统生产线建设项目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：受高铁相关制造产业增速放缓的影响，相关产品竞争较为</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激烈，回款周期长、回款压力增加，同时，公司收购的苏州开关二厂与公司在输配电设备制造领域 的协同效应 </w:t>
                        </w:r>
                        <w:r>
                          <w:rPr>
                            <w:rFonts w:ascii="宋体" w:hAnsi="宋体" w:cs="宋体" w:eastAsia="宋体" w:hint="default"/>
                            <w:spacing w:val="-7"/>
                            <w:sz w:val="18"/>
                            <w:szCs w:val="18"/>
                          </w:rPr>
                          <w:t>逐步体现。公司董事会综合上述影响，经过谨慎的研究决策，决定暂时不对智能远动（高</w:t>
                        </w:r>
                        <w:r>
                          <w:rPr>
                            <w:rFonts w:ascii="宋体" w:hAnsi="宋体" w:cs="宋体" w:eastAsia="宋体" w:hint="default"/>
                            <w:sz w:val="18"/>
                            <w:szCs w:val="18"/>
                          </w:rPr>
                          <w:t> 铁信号）电力保障系统进行大规模的资金投入，而是通过对现有资</w:t>
                        </w:r>
                        <w:r>
                          <w:rPr>
                            <w:rFonts w:ascii="宋体" w:hAnsi="宋体" w:cs="宋体" w:eastAsia="宋体" w:hint="default"/>
                            <w:spacing w:val="-26"/>
                            <w:sz w:val="18"/>
                            <w:szCs w:val="18"/>
                          </w:rPr>
                          <w:t> </w:t>
                        </w:r>
                        <w:r>
                          <w:rPr>
                            <w:rFonts w:ascii="宋体" w:hAnsi="宋体" w:cs="宋体" w:eastAsia="宋体" w:hint="default"/>
                            <w:spacing w:val="-4"/>
                            <w:sz w:val="18"/>
                            <w:szCs w:val="18"/>
                          </w:rPr>
                          <w:t>源的整合，优化产品结构，改进</w:t>
                        </w:r>
                        <w:r>
                          <w:rPr>
                            <w:rFonts w:ascii="宋体" w:hAnsi="宋体" w:cs="宋体" w:eastAsia="宋体" w:hint="default"/>
                            <w:sz w:val="18"/>
                            <w:szCs w:val="18"/>
                          </w:rPr>
                          <w:t> 生产工艺，调整目标客户结构，满足市场需求。</w:t>
                        </w:r>
                      </w:p>
                    </w:tc>
                  </w:tr>
                  <w:tr>
                    <w:trPr>
                      <w:trHeight w:val="704"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8" w:type="dxa"/>
                        <w:gridSpan w:val="10"/>
                        <w:vMerge/>
                        <w:tcBorders>
                          <w:left w:val="single" w:sz="9" w:space="0" w:color="D2D2D2"/>
                          <w:right w:val="single" w:sz="4" w:space="0" w:color="000000"/>
                        </w:tcBorders>
                      </w:tcPr>
                      <w:p>
                        <w:pPr/>
                      </w:p>
                    </w:tc>
                  </w:tr>
                  <w:tr>
                    <w:trPr>
                      <w:trHeight w:val="1097"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0"/>
                        <w:vMerge/>
                        <w:tcBorders>
                          <w:left w:val="single" w:sz="9" w:space="0" w:color="D2D2D2"/>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6"/>
                          <w:ind w:left="22"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gridSpan w:val="10"/>
                        <w:tcBorders>
                          <w:top w:val="single" w:sz="4" w:space="0" w:color="000000"/>
                          <w:left w:val="single" w:sz="9" w:space="0" w:color="D2D2D2"/>
                          <w:bottom w:val="single" w:sz="4" w:space="0" w:color="000000"/>
                          <w:right w:val="single" w:sz="4" w:space="0" w:color="000000"/>
                        </w:tcBorders>
                      </w:tcPr>
                      <w:p>
                        <w:pPr/>
                      </w:p>
                    </w:tc>
                  </w:tr>
                  <w:tr>
                    <w:trPr>
                      <w:trHeight w:val="251"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1" w:hRule="exact"/>
                    </w:trPr>
                    <w:tc>
                      <w:tcPr>
                        <w:tcW w:w="177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8" w:type="dxa"/>
                        <w:gridSpan w:val="10"/>
                        <w:vMerge/>
                        <w:tcBorders>
                          <w:left w:val="single" w:sz="9" w:space="0" w:color="D2D2D2"/>
                          <w:bottom w:val="single" w:sz="4" w:space="0" w:color="000000"/>
                          <w:right w:val="single" w:sz="4" w:space="0" w:color="000000"/>
                        </w:tcBorders>
                      </w:tcPr>
                      <w:p>
                        <w:pP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gridSpan w:val="10"/>
                        <w:tcBorders>
                          <w:top w:val="single" w:sz="4" w:space="0" w:color="000000"/>
                          <w:left w:val="single" w:sz="9" w:space="0" w:color="D2D2D2"/>
                          <w:bottom w:val="single" w:sz="4" w:space="0" w:color="000000"/>
                          <w:right w:val="single" w:sz="4" w:space="0" w:color="000000"/>
                        </w:tcBorders>
                      </w:tcPr>
                      <w:p>
                        <w:pPr/>
                      </w:p>
                    </w:tc>
                  </w:tr>
                  <w:tr>
                    <w:trPr>
                      <w:trHeight w:val="151" w:hRule="exact"/>
                    </w:trPr>
                    <w:tc>
                      <w:tcPr>
                        <w:tcW w:w="1770" w:type="dxa"/>
                        <w:vMerge/>
                        <w:tcBorders>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
                    </w:tc>
                  </w:tr>
                  <w:tr>
                    <w:trPr>
                      <w:trHeight w:val="251"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0"/>
                        <w:vMerge/>
                        <w:tcBorders>
                          <w:left w:val="single" w:sz="9" w:space="0" w:color="D2D2D2"/>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383" w:hRule="exact"/>
                    </w:trPr>
                    <w:tc>
                      <w:tcPr>
                        <w:tcW w:w="1770" w:type="dxa"/>
                        <w:vMerge/>
                        <w:tcBorders>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Style w:val="TableParagraph"/>
                          <w:spacing w:line="300" w:lineRule="auto" w:before="51"/>
                          <w:ind w:left="16" w:right="20"/>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w:t>
                        </w:r>
                        <w:r>
                          <w:rPr>
                            <w:rFonts w:ascii="宋体" w:hAnsi="宋体" w:cs="宋体" w:eastAsia="宋体" w:hint="default"/>
                            <w:spacing w:val="1"/>
                            <w:sz w:val="18"/>
                            <w:szCs w:val="18"/>
                          </w:rPr>
                          <w:t>开</w:t>
                        </w:r>
                        <w:r>
                          <w:rPr>
                            <w:rFonts w:ascii="宋体" w:hAnsi="宋体" w:cs="宋体" w:eastAsia="宋体" w:hint="default"/>
                            <w:sz w:val="18"/>
                            <w:szCs w:val="18"/>
                          </w:rPr>
                          <w:t>的第七届董事会第九次会议审议通过</w:t>
                        </w:r>
                        <w:r>
                          <w:rPr>
                            <w:rFonts w:ascii="宋体" w:hAnsi="宋体" w:cs="宋体" w:eastAsia="宋体" w:hint="default"/>
                            <w:spacing w:val="-88"/>
                            <w:sz w:val="18"/>
                            <w:szCs w:val="18"/>
                          </w:rPr>
                          <w:t>了</w:t>
                        </w:r>
                        <w:r>
                          <w:rPr>
                            <w:rFonts w:ascii="宋体" w:hAnsi="宋体" w:cs="宋体" w:eastAsia="宋体" w:hint="default"/>
                            <w:sz w:val="18"/>
                            <w:szCs w:val="18"/>
                          </w:rPr>
                          <w:t>《关于变更部分非公开发行募集</w:t>
                        </w:r>
                        <w:r>
                          <w:rPr>
                            <w:rFonts w:ascii="宋体" w:hAnsi="宋体" w:cs="宋体" w:eastAsia="宋体" w:hint="default"/>
                            <w:sz w:val="18"/>
                            <w:szCs w:val="18"/>
                          </w:rPr>
                          <w:t> 资金用途的议案</w:t>
                        </w:r>
                        <w:r>
                          <w:rPr>
                            <w:rFonts w:ascii="宋体" w:hAnsi="宋体" w:cs="宋体" w:eastAsia="宋体" w:hint="default"/>
                            <w:spacing w:val="-90"/>
                            <w:sz w:val="18"/>
                            <w:szCs w:val="18"/>
                          </w:rPr>
                          <w:t>》</w:t>
                        </w:r>
                        <w:r>
                          <w:rPr>
                            <w:rFonts w:ascii="宋体" w:hAnsi="宋体" w:cs="宋体" w:eastAsia="宋体" w:hint="default"/>
                            <w:spacing w:val="-68"/>
                            <w:sz w:val="18"/>
                            <w:szCs w:val="18"/>
                          </w:rPr>
                          <w:t>，</w:t>
                        </w:r>
                        <w:r>
                          <w:rPr>
                            <w:rFonts w:ascii="宋体" w:hAnsi="宋体" w:cs="宋体" w:eastAsia="宋体" w:hint="default"/>
                            <w:sz w:val="18"/>
                            <w:szCs w:val="18"/>
                          </w:rPr>
                          <w:t>公司拟将</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公共安全与反恐领域机器人及无人机产业化项目</w:t>
                        </w:r>
                        <w:r>
                          <w:rPr>
                            <w:rFonts w:ascii="Times New Roman" w:hAnsi="Times New Roman" w:cs="Times New Roman" w:eastAsia="Times New Roman" w:hint="default"/>
                            <w:w w:val="100"/>
                            <w:sz w:val="18"/>
                            <w:szCs w:val="18"/>
                          </w:rPr>
                          <w:t>”</w:t>
                        </w:r>
                        <w:r>
                          <w:rPr>
                            <w:rFonts w:ascii="宋体" w:hAnsi="宋体" w:cs="宋体" w:eastAsia="宋体" w:hint="default"/>
                            <w:sz w:val="18"/>
                            <w:szCs w:val="18"/>
                          </w:rPr>
                          <w:t>计划投入募集资金余 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50,019.65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r>
                          <w:rPr>
                            <w:rFonts w:ascii="宋体" w:hAnsi="宋体" w:cs="宋体" w:eastAsia="宋体" w:hint="default"/>
                            <w:spacing w:val="-89"/>
                            <w:sz w:val="18"/>
                            <w:szCs w:val="18"/>
                          </w:rPr>
                          <w:t>元</w:t>
                        </w:r>
                        <w:r>
                          <w:rPr>
                            <w:rFonts w:ascii="宋体" w:hAnsi="宋体" w:cs="宋体" w:eastAsia="宋体" w:hint="default"/>
                            <w:sz w:val="18"/>
                            <w:szCs w:val="18"/>
                          </w:rPr>
                          <w:t>（含募集资金利息收入</w:t>
                        </w:r>
                        <w:r>
                          <w:rPr>
                            <w:rFonts w:ascii="宋体" w:hAnsi="宋体" w:cs="宋体" w:eastAsia="宋体" w:hint="default"/>
                            <w:spacing w:val="-89"/>
                            <w:sz w:val="18"/>
                            <w:szCs w:val="18"/>
                          </w:rPr>
                          <w:t>，</w:t>
                        </w:r>
                        <w:r>
                          <w:rPr>
                            <w:rFonts w:ascii="宋体" w:hAnsi="宋体" w:cs="宋体" w:eastAsia="宋体" w:hint="default"/>
                            <w:sz w:val="18"/>
                            <w:szCs w:val="18"/>
                          </w:rPr>
                          <w:t>具体变更募集资金用途的金额以实施时账户实际金额为准</w:t>
                        </w:r>
                      </w:p>
                      <w:p>
                        <w:pPr>
                          <w:pStyle w:val="TableParagraph"/>
                          <w:spacing w:line="240" w:lineRule="auto" w:before="13"/>
                          <w:ind w:left="16"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全部变更为</w:t>
                        </w:r>
                        <w:r>
                          <w:rPr>
                            <w:rFonts w:ascii="Times New Roman" w:hAnsi="Times New Roman" w:cs="Times New Roman" w:eastAsia="Times New Roman" w:hint="default"/>
                            <w:sz w:val="18"/>
                            <w:szCs w:val="18"/>
                          </w:rPr>
                          <w:t>“</w:t>
                        </w:r>
                        <w:r>
                          <w:rPr>
                            <w:rFonts w:ascii="宋体" w:hAnsi="宋体" w:cs="宋体" w:eastAsia="宋体" w:hint="default"/>
                            <w:sz w:val="18"/>
                            <w:szCs w:val="18"/>
                          </w:rPr>
                          <w:t>投资中国联通移动业务社会化服务合作</w:t>
                        </w:r>
                        <w:r>
                          <w:rPr>
                            <w:rFonts w:ascii="Times New Roman" w:hAnsi="Times New Roman" w:cs="Times New Roman" w:eastAsia="Times New Roman" w:hint="default"/>
                            <w:sz w:val="18"/>
                            <w:szCs w:val="18"/>
                          </w:rPr>
                          <w:t>--</w:t>
                        </w:r>
                        <w:r>
                          <w:rPr>
                            <w:rFonts w:ascii="宋体" w:hAnsi="宋体" w:cs="宋体" w:eastAsia="宋体" w:hint="default"/>
                            <w:sz w:val="18"/>
                            <w:szCs w:val="18"/>
                          </w:rPr>
                          <w:t>云南联通移动业务项目建设</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p>
                        <w:pPr>
                          <w:pStyle w:val="TableParagraph"/>
                          <w:spacing w:line="300" w:lineRule="auto" w:before="63"/>
                          <w:ind w:left="16" w:right="20"/>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3"/>
                            <w:sz w:val="18"/>
                            <w:szCs w:val="18"/>
                          </w:rPr>
                          <w:t> </w:t>
                        </w:r>
                        <w:r>
                          <w:rPr>
                            <w:rFonts w:ascii="宋体" w:hAnsi="宋体" w:cs="宋体" w:eastAsia="宋体" w:hint="default"/>
                            <w:spacing w:val="-3"/>
                            <w:sz w:val="18"/>
                            <w:szCs w:val="18"/>
                          </w:rPr>
                          <w:t>日召开的第七届董事会第十四次会议审议通过了《关于变更部分非公开发行募集资金投向用于</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6"/>
                            <w:w w:val="100"/>
                            <w:sz w:val="18"/>
                            <w:szCs w:val="18"/>
                          </w:rPr>
                          <w:t>永久性补充流动资金的议案》，公司拟将</w:t>
                        </w:r>
                        <w:r>
                          <w:rPr>
                            <w:rFonts w:ascii="Times New Roman" w:hAnsi="Times New Roman" w:cs="Times New Roman" w:eastAsia="Times New Roman" w:hint="default"/>
                            <w:spacing w:val="-6"/>
                            <w:w w:val="100"/>
                            <w:sz w:val="18"/>
                            <w:szCs w:val="18"/>
                          </w:rPr>
                          <w:t>“</w:t>
                        </w:r>
                        <w:r>
                          <w:rPr>
                            <w:rFonts w:ascii="宋体" w:hAnsi="宋体" w:cs="宋体" w:eastAsia="宋体" w:hint="default"/>
                            <w:spacing w:val="-6"/>
                            <w:w w:val="100"/>
                            <w:sz w:val="18"/>
                            <w:szCs w:val="18"/>
                          </w:rPr>
                          <w:t>智能远动（高铁信号）电力保障系统生产线建设项目</w:t>
                        </w:r>
                        <w:r>
                          <w:rPr>
                            <w:rFonts w:ascii="Times New Roman" w:hAnsi="Times New Roman" w:cs="Times New Roman" w:eastAsia="Times New Roman" w:hint="default"/>
                            <w:spacing w:val="-6"/>
                            <w:w w:val="100"/>
                            <w:sz w:val="18"/>
                            <w:szCs w:val="18"/>
                          </w:rPr>
                          <w:t>”</w:t>
                        </w:r>
                        <w:r>
                          <w:rPr>
                            <w:rFonts w:ascii="宋体" w:hAnsi="宋体" w:cs="宋体" w:eastAsia="宋体" w:hint="default"/>
                            <w:spacing w:val="-6"/>
                            <w:w w:val="100"/>
                            <w:sz w:val="18"/>
                            <w:szCs w:val="18"/>
                          </w:rPr>
                          <w:t>和</w:t>
                        </w:r>
                        <w:r>
                          <w:rPr>
                            <w:rFonts w:ascii="Times New Roman" w:hAnsi="Times New Roman" w:cs="Times New Roman" w:eastAsia="Times New Roman" w:hint="default"/>
                            <w:spacing w:val="-6"/>
                            <w:w w:val="100"/>
                            <w:sz w:val="18"/>
                            <w:szCs w:val="18"/>
                          </w:rPr>
                          <w:t>“</w:t>
                        </w:r>
                        <w:r>
                          <w:rPr>
                            <w:rFonts w:ascii="宋体" w:hAnsi="宋体" w:cs="宋体" w:eastAsia="宋体" w:hint="default"/>
                            <w:spacing w:val="-6"/>
                            <w:w w:val="100"/>
                            <w:sz w:val="18"/>
                            <w:szCs w:val="18"/>
                          </w:rPr>
                          <w:t>基</w:t>
                        </w:r>
                        <w:r>
                          <w:rPr>
                            <w:rFonts w:ascii="宋体" w:hAnsi="宋体" w:cs="宋体" w:eastAsia="宋体" w:hint="default"/>
                            <w:spacing w:val="-56"/>
                            <w:w w:val="100"/>
                            <w:sz w:val="18"/>
                            <w:szCs w:val="18"/>
                          </w:rPr>
                          <w:t> </w:t>
                        </w:r>
                        <w:r>
                          <w:rPr>
                            <w:rFonts w:ascii="宋体" w:hAnsi="宋体" w:cs="宋体" w:eastAsia="宋体" w:hint="default"/>
                            <w:sz w:val="18"/>
                            <w:szCs w:val="18"/>
                          </w:rPr>
                          <w:t>于有线</w:t>
                        </w:r>
                        <w:r>
                          <w:rPr>
                            <w:rFonts w:ascii="Times New Roman" w:hAnsi="Times New Roman" w:cs="Times New Roman" w:eastAsia="Times New Roman" w:hint="default"/>
                            <w:sz w:val="18"/>
                            <w:szCs w:val="18"/>
                          </w:rPr>
                          <w:t>/</w:t>
                        </w:r>
                        <w:r>
                          <w:rPr>
                            <w:rFonts w:ascii="宋体" w:hAnsi="宋体" w:cs="宋体" w:eastAsia="宋体" w:hint="default"/>
                            <w:sz w:val="18"/>
                            <w:szCs w:val="18"/>
                          </w:rPr>
                          <w:t>无线传输的电动汽车自适应智能充电桩建设项目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剩余募集资金永久性补充流动资金。</w:t>
                        </w:r>
                      </w:p>
                    </w:tc>
                  </w:tr>
                  <w:tr>
                    <w:trPr>
                      <w:trHeight w:val="704"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8" w:type="dxa"/>
                        <w:gridSpan w:val="10"/>
                        <w:vMerge/>
                        <w:tcBorders>
                          <w:left w:val="single" w:sz="9" w:space="0" w:color="D2D2D2"/>
                          <w:right w:val="single" w:sz="4" w:space="0" w:color="000000"/>
                        </w:tcBorders>
                      </w:tcPr>
                      <w:p>
                        <w:pPr/>
                      </w:p>
                    </w:tc>
                  </w:tr>
                  <w:tr>
                    <w:trPr>
                      <w:trHeight w:val="1187"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0"/>
                        <w:vMerge/>
                        <w:tcBorders>
                          <w:left w:val="single" w:sz="9" w:space="0" w:color="D2D2D2"/>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5"/>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gridSpan w:val="10"/>
                        <w:tcBorders>
                          <w:top w:val="single" w:sz="4" w:space="0" w:color="000000"/>
                          <w:left w:val="single" w:sz="9" w:space="0" w:color="D2D2D2"/>
                          <w:bottom w:val="single" w:sz="4" w:space="0" w:color="000000"/>
                          <w:right w:val="single" w:sz="4" w:space="0" w:color="000000"/>
                        </w:tcBorders>
                      </w:tcPr>
                      <w:p>
                        <w:pPr/>
                      </w:p>
                    </w:tc>
                  </w:tr>
                  <w:tr>
                    <w:trPr>
                      <w:trHeight w:val="186"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16" w:hRule="exact"/>
                    </w:trPr>
                    <w:tc>
                      <w:tcPr>
                        <w:tcW w:w="177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8" w:type="dxa"/>
                        <w:gridSpan w:val="10"/>
                        <w:vMerge/>
                        <w:tcBorders>
                          <w:left w:val="single" w:sz="9" w:space="0" w:color="D2D2D2"/>
                          <w:bottom w:val="single" w:sz="4" w:space="0" w:color="000000"/>
                          <w:right w:val="single" w:sz="4" w:space="0" w:color="000000"/>
                        </w:tcBorders>
                      </w:tcPr>
                      <w:p>
                        <w:pPr/>
                      </w:p>
                    </w:tc>
                  </w:tr>
                  <w:tr>
                    <w:trPr>
                      <w:trHeight w:val="487" w:hRule="exact"/>
                    </w:trPr>
                    <w:tc>
                      <w:tcPr>
                        <w:tcW w:w="1770" w:type="dxa"/>
                        <w:vMerge/>
                        <w:tcBorders>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日召开的第七届董事会第二次会议审议通过了《关于使用部分闲置募集资</w:t>
                        </w:r>
                      </w:p>
                      <w:p>
                        <w:pPr>
                          <w:pStyle w:val="TableParagraph"/>
                          <w:spacing w:line="240" w:lineRule="auto" w:before="61"/>
                          <w:ind w:left="16" w:right="0"/>
                          <w:jc w:val="left"/>
                          <w:rPr>
                            <w:rFonts w:ascii="宋体" w:hAnsi="宋体" w:cs="宋体" w:eastAsia="宋体" w:hint="default"/>
                            <w:sz w:val="18"/>
                            <w:szCs w:val="18"/>
                          </w:rPr>
                        </w:pPr>
                        <w:r>
                          <w:rPr>
                            <w:rFonts w:ascii="宋体" w:hAnsi="宋体" w:cs="宋体" w:eastAsia="宋体" w:hint="default"/>
                            <w:sz w:val="18"/>
                            <w:szCs w:val="18"/>
                          </w:rPr>
                          <w:t>金暂时补充流动资金的议案</w:t>
                        </w:r>
                        <w:r>
                          <w:rPr>
                            <w:rFonts w:ascii="宋体" w:hAnsi="宋体" w:cs="宋体" w:eastAsia="宋体" w:hint="default"/>
                            <w:spacing w:val="-90"/>
                            <w:sz w:val="18"/>
                            <w:szCs w:val="18"/>
                          </w:rPr>
                          <w:t>》</w:t>
                        </w:r>
                        <w:r>
                          <w:rPr>
                            <w:rFonts w:ascii="宋体" w:hAnsi="宋体" w:cs="宋体" w:eastAsia="宋体" w:hint="default"/>
                            <w:spacing w:val="-44"/>
                            <w:sz w:val="18"/>
                            <w:szCs w:val="18"/>
                          </w:rPr>
                          <w:t>，</w:t>
                        </w:r>
                        <w:r>
                          <w:rPr>
                            <w:rFonts w:ascii="宋体" w:hAnsi="宋体" w:cs="宋体" w:eastAsia="宋体" w:hint="default"/>
                            <w:sz w:val="18"/>
                            <w:szCs w:val="18"/>
                          </w:rPr>
                          <w:t>同意公司使用总额不超过人民币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750,000,0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0.00 </w:t>
                        </w:r>
                        <w:r>
                          <w:rPr>
                            <w:rFonts w:ascii="宋体" w:hAnsi="宋体" w:cs="宋体" w:eastAsia="宋体" w:hint="default"/>
                            <w:sz w:val="18"/>
                            <w:szCs w:val="18"/>
                          </w:rPr>
                          <w:t>元的闲置募集资金暂</w:t>
                        </w:r>
                      </w:p>
                    </w:tc>
                  </w:tr>
                  <w:tr>
                    <w:trPr>
                      <w:trHeight w:val="187"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0"/>
                        <w:vMerge/>
                        <w:tcBorders>
                          <w:left w:val="single" w:sz="9" w:space="0" w:color="D2D2D2"/>
                          <w:bottom w:val="single" w:sz="4" w:space="0" w:color="000000"/>
                          <w:right w:val="single" w:sz="4" w:space="0" w:color="000000"/>
                        </w:tcBorders>
                      </w:tcPr>
                      <w:p>
                        <w:pP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spacing w:line="312" w:lineRule="exact"/>
        <w:ind w:left="1929"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38.5pt;height:15.6pt;mso-position-horizontal-relative:char;mso-position-vertical-relative:line" coordorigin="0,0" coordsize="770,312">
            <v:group style="position:absolute;left:0;top:0;width:770;height:312" coordorigin="0,0" coordsize="770,312">
              <v:shape style="position:absolute;left:0;top:0;width:770;height:312" coordorigin="0,0" coordsize="770,312" path="m0,312l769,312,769,0,0,0,0,312xe" filled="true" fillcolor="#ffffff" stroked="false">
                <v:path arrowok="t"/>
                <v:fill type="solid"/>
              </v:shape>
            </v:group>
          </v:group>
        </w:pict>
      </w:r>
      <w:r>
        <w:rPr>
          <w:rFonts w:ascii="宋体" w:hAnsi="宋体" w:cs="宋体" w:eastAsia="宋体" w:hint="default"/>
          <w:position w:val="-5"/>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BodyText"/>
        <w:spacing w:line="240" w:lineRule="auto"/>
        <w:ind w:left="7524" w:right="1141"/>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ind w:left="7524" w:right="1139"/>
        <w:jc w:val="right"/>
      </w:pPr>
      <w:r>
        <w:rPr/>
        <w:t>）</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70"/>
        <w:gridCol w:w="7798"/>
      </w:tblGrid>
      <w:tr>
        <w:trPr>
          <w:trHeight w:val="1923" w:hRule="exact"/>
        </w:trPr>
        <w:tc>
          <w:tcPr>
            <w:tcW w:w="1770"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0"/>
              <w:ind w:left="22" w:right="0"/>
              <w:jc w:val="both"/>
              <w:rPr>
                <w:rFonts w:ascii="宋体" w:hAnsi="宋体" w:cs="宋体" w:eastAsia="宋体" w:hint="default"/>
                <w:sz w:val="18"/>
                <w:szCs w:val="18"/>
              </w:rPr>
            </w:pPr>
            <w:r>
              <w:rPr>
                <w:rFonts w:ascii="宋体" w:hAnsi="宋体" w:cs="宋体" w:eastAsia="宋体" w:hint="default"/>
                <w:sz w:val="18"/>
                <w:szCs w:val="18"/>
              </w:rPr>
              <w:t>时补充流动资金。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日，公司已将上述用于暂时补充流动资金的募集资金人民币</w:t>
            </w:r>
          </w:p>
          <w:p>
            <w:pPr>
              <w:pStyle w:val="TableParagraph"/>
              <w:spacing w:line="240" w:lineRule="auto" w:before="63"/>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750,000,000.00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元归还至募集资金专项账户。</w:t>
            </w:r>
          </w:p>
          <w:p>
            <w:pPr>
              <w:pStyle w:val="TableParagraph"/>
              <w:spacing w:line="309" w:lineRule="auto" w:before="63"/>
              <w:ind w:left="22" w:right="22"/>
              <w:jc w:val="both"/>
              <w:rPr>
                <w:rFonts w:ascii="宋体" w:hAnsi="宋体" w:cs="宋体" w:eastAsia="宋体" w:hint="default"/>
                <w:sz w:val="18"/>
                <w:szCs w:val="18"/>
              </w:rPr>
            </w:pPr>
            <w:r>
              <w:rPr>
                <w:rFonts w:ascii="Times New Roman" w:hAnsi="Times New Roman" w:cs="Times New Roman" w:eastAsia="Times New Roman" w:hint="default"/>
                <w:spacing w:val="-12"/>
                <w:sz w:val="18"/>
                <w:szCs w:val="18"/>
              </w:rPr>
              <w:t>2</w:t>
            </w:r>
            <w:r>
              <w:rPr>
                <w:rFonts w:ascii="宋体" w:hAnsi="宋体" w:cs="宋体" w:eastAsia="宋体" w:hint="default"/>
                <w:spacing w:val="-12"/>
                <w:sz w:val="18"/>
                <w:szCs w:val="18"/>
              </w:rPr>
              <w:t>、公司</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日召开的第七届董事会第八次会议审议的《关于继续使用部分闲置募集资金 </w:t>
            </w:r>
            <w:r>
              <w:rPr>
                <w:rFonts w:ascii="宋体" w:hAnsi="宋体" w:cs="宋体" w:eastAsia="宋体" w:hint="default"/>
                <w:spacing w:val="-5"/>
                <w:sz w:val="18"/>
                <w:szCs w:val="18"/>
              </w:rPr>
              <w:t>暂时补充流动资金的议案》，同意公司将继续使用部分闲置募集资金暂时补充流动资金，金额不超过</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450,000,000.00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元，使用期限不超过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日，公司已将上述用于暂时补</w:t>
            </w:r>
          </w:p>
          <w:p>
            <w:pPr>
              <w:pStyle w:val="TableParagraph"/>
              <w:spacing w:line="240" w:lineRule="auto" w:before="6"/>
              <w:ind w:left="22" w:right="0"/>
              <w:jc w:val="both"/>
              <w:rPr>
                <w:rFonts w:ascii="宋体" w:hAnsi="宋体" w:cs="宋体" w:eastAsia="宋体" w:hint="default"/>
                <w:sz w:val="18"/>
                <w:szCs w:val="18"/>
              </w:rPr>
            </w:pPr>
            <w:r>
              <w:rPr>
                <w:rFonts w:ascii="宋体" w:hAnsi="宋体" w:cs="宋体" w:eastAsia="宋体" w:hint="default"/>
                <w:sz w:val="18"/>
                <w:szCs w:val="18"/>
              </w:rPr>
              <w:t>充流动资金的募集资金人民币 </w:t>
            </w:r>
            <w:r>
              <w:rPr>
                <w:rFonts w:ascii="Times New Roman" w:hAnsi="Times New Roman" w:cs="Times New Roman" w:eastAsia="Times New Roman" w:hint="default"/>
                <w:sz w:val="18"/>
                <w:szCs w:val="18"/>
              </w:rPr>
              <w:t>45,000</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万元归还至募集资金专项账户。</w:t>
            </w:r>
          </w:p>
        </w:tc>
      </w:tr>
      <w:tr>
        <w:trPr>
          <w:trHeight w:val="402" w:hRule="exact"/>
        </w:trPr>
        <w:tc>
          <w:tcPr>
            <w:tcW w:w="1770" w:type="dxa"/>
            <w:vMerge w:val="restart"/>
            <w:tcBorders>
              <w:top w:val="single" w:sz="4" w:space="0" w:color="FFFFFF"/>
              <w:left w:val="single" w:sz="4" w:space="0" w:color="000000"/>
              <w:right w:val="single" w:sz="4" w:space="0" w:color="000000"/>
            </w:tcBorders>
            <w:shd w:val="clear" w:color="auto" w:fill="D2D2D2"/>
          </w:tcPr>
          <w:p>
            <w:pPr>
              <w:pStyle w:val="TableParagraph"/>
              <w:spacing w:line="319" w:lineRule="auto" w:before="95"/>
              <w:ind w:left="22"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存放于募集资金专户余额为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156,859,486.38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募集资金变更项目情况" w:id="53"/>
      <w:bookmarkEnd w:id="53"/>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7524"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8"/>
        <w:gridCol w:w="958"/>
        <w:gridCol w:w="956"/>
        <w:gridCol w:w="959"/>
        <w:gridCol w:w="956"/>
        <w:gridCol w:w="956"/>
        <w:gridCol w:w="956"/>
        <w:gridCol w:w="957"/>
        <w:gridCol w:w="958"/>
        <w:gridCol w:w="956"/>
      </w:tblGrid>
      <w:tr>
        <w:trPr>
          <w:trHeight w:val="1338"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82" w:right="23" w:hanging="360"/>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04"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3"/>
              <w:jc w:val="center"/>
              <w:rPr>
                <w:rFonts w:ascii="宋体" w:hAnsi="宋体" w:cs="宋体" w:eastAsia="宋体" w:hint="default"/>
                <w:sz w:val="18"/>
                <w:szCs w:val="18"/>
              </w:rPr>
            </w:pPr>
            <w:r>
              <w:rPr>
                <w:rFonts w:ascii="宋体" w:hAnsi="宋体" w:cs="宋体" w:eastAsia="宋体" w:hint="default"/>
                <w:sz w:val="18"/>
                <w:szCs w:val="18"/>
              </w:rPr>
              <w:t>变更后项目 拟投入募集 资金总额</w:t>
            </w:r>
          </w:p>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 w:right="22"/>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13" w:right="21" w:hanging="90"/>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02" w:right="23"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3"/>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1962"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投资中国联 通移动业务 社会化服务 合作</w:t>
            </w:r>
            <w:r>
              <w:rPr>
                <w:rFonts w:ascii="Times New Roman" w:hAnsi="Times New Roman" w:cs="Times New Roman" w:eastAsia="Times New Roman" w:hint="default"/>
                <w:sz w:val="18"/>
                <w:szCs w:val="18"/>
              </w:rPr>
              <w:t>--</w:t>
            </w:r>
            <w:r>
              <w:rPr>
                <w:rFonts w:ascii="宋体" w:hAnsi="宋体" w:cs="宋体" w:eastAsia="宋体" w:hint="default"/>
                <w:sz w:val="18"/>
                <w:szCs w:val="18"/>
              </w:rPr>
              <w:t>云南 联通移动业 务项目建设</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3"/>
              <w:jc w:val="both"/>
              <w:rPr>
                <w:rFonts w:ascii="宋体" w:hAnsi="宋体" w:cs="宋体" w:eastAsia="宋体" w:hint="default"/>
                <w:sz w:val="18"/>
                <w:szCs w:val="18"/>
              </w:rPr>
            </w:pPr>
            <w:r>
              <w:rPr>
                <w:rFonts w:ascii="宋体" w:hAnsi="宋体" w:cs="宋体" w:eastAsia="宋体" w:hint="default"/>
                <w:sz w:val="18"/>
                <w:szCs w:val="18"/>
              </w:rPr>
              <w:t>公共安全与 反恐领域机 器人及无人 机产业化项 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27,576.71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34,993.85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69.99%</w:t>
            </w:r>
          </w:p>
        </w:tc>
        <w:tc>
          <w:tcPr>
            <w:tcW w:w="956"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-145.57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23"/>
              <w:jc w:val="left"/>
              <w:rPr>
                <w:rFonts w:ascii="宋体" w:hAnsi="宋体" w:cs="宋体" w:eastAsia="宋体" w:hint="default"/>
                <w:sz w:val="18"/>
                <w:szCs w:val="18"/>
              </w:rPr>
            </w:pPr>
            <w:r>
              <w:rPr>
                <w:rFonts w:ascii="宋体" w:hAnsi="宋体" w:cs="宋体" w:eastAsia="宋体" w:hint="default"/>
                <w:sz w:val="18"/>
                <w:szCs w:val="18"/>
              </w:rPr>
              <w:t>永久性补充 流动资金</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基于有线</w:t>
            </w:r>
            <w:r>
              <w:rPr>
                <w:rFonts w:ascii="Times New Roman" w:hAnsi="Times New Roman" w:cs="Times New Roman" w:eastAsia="Times New Roman" w:hint="default"/>
                <w:sz w:val="18"/>
                <w:szCs w:val="18"/>
              </w:rPr>
              <w:t>/ </w:t>
            </w:r>
            <w:r>
              <w:rPr>
                <w:rFonts w:ascii="宋体" w:hAnsi="宋体" w:cs="宋体" w:eastAsia="宋体" w:hint="default"/>
                <w:sz w:val="18"/>
                <w:szCs w:val="18"/>
              </w:rPr>
              <w:t>无线传输的 电动汽车自 适应智能</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23,420.28</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23,420.28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23,420.28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956"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50"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永久性补充 流动资金</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智能远动</w:t>
            </w:r>
          </w:p>
          <w:p>
            <w:pPr>
              <w:pStyle w:val="TableParagraph"/>
              <w:spacing w:line="319" w:lineRule="auto" w:before="75"/>
              <w:ind w:left="22" w:right="23"/>
              <w:jc w:val="left"/>
              <w:rPr>
                <w:rFonts w:ascii="宋体" w:hAnsi="宋体" w:cs="宋体" w:eastAsia="宋体" w:hint="default"/>
                <w:sz w:val="18"/>
                <w:szCs w:val="18"/>
              </w:rPr>
            </w:pPr>
            <w:r>
              <w:rPr>
                <w:rFonts w:ascii="宋体" w:hAnsi="宋体" w:cs="宋体" w:eastAsia="宋体" w:hint="default"/>
                <w:sz w:val="18"/>
                <w:szCs w:val="18"/>
              </w:rPr>
              <w:t>（高铁信 号）电力保 障系统生产 线建设项目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30,449.46</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30,449.46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30,449.46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956"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103,869.74</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81,446.45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88,863.59</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-145.57</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140" w:hRule="exact"/>
        </w:trPr>
        <w:tc>
          <w:tcPr>
            <w:tcW w:w="2872"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6699" w:type="dxa"/>
            <w:gridSpan w:val="7"/>
            <w:vMerge w:val="restart"/>
            <w:tcBorders>
              <w:top w:val="single" w:sz="4" w:space="0" w:color="000000"/>
              <w:left w:val="single" w:sz="13" w:space="0" w:color="D2D2D2"/>
              <w:right w:val="single" w:sz="4" w:space="0" w:color="000000"/>
            </w:tcBorders>
          </w:tcPr>
          <w:p>
            <w:pPr>
              <w:pStyle w:val="TableParagraph"/>
              <w:spacing w:line="309" w:lineRule="auto" w:before="51"/>
              <w:ind w:left="1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、公共安全与反恐领域机器人及无人机产业化项目：公司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日召开的 第七届董事会第九次会议审议通过了《关于变更部分非公开发行募集资金用途的议 </w:t>
            </w:r>
            <w:r>
              <w:rPr>
                <w:rFonts w:ascii="宋体" w:hAnsi="宋体" w:cs="宋体" w:eastAsia="宋体" w:hint="default"/>
                <w:spacing w:val="-3"/>
                <w:sz w:val="18"/>
                <w:szCs w:val="18"/>
              </w:rPr>
              <w:t>案》，根据公司发展战略，快速抢占智慧城市市场份额，确立行业地位，深耕智慧城</w:t>
            </w:r>
          </w:p>
        </w:tc>
      </w:tr>
      <w:tr>
        <w:trPr>
          <w:trHeight w:val="704" w:hRule="exact"/>
        </w:trPr>
        <w:tc>
          <w:tcPr>
            <w:tcW w:w="2872" w:type="dxa"/>
            <w:gridSpan w:val="3"/>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21"/>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变更原因、决策程序及信息披露情况</w:t>
            </w:r>
            <w:r>
              <w:rPr>
                <w:rFonts w:ascii="宋体" w:hAnsi="宋体" w:cs="宋体" w:eastAsia="宋体" w:hint="default"/>
                <w:sz w:val="18"/>
                <w:szCs w:val="18"/>
              </w:rPr>
              <w:t> 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vMerge/>
            <w:tcBorders>
              <w:left w:val="single" w:sz="13" w:space="0" w:color="D2D2D2"/>
              <w:right w:val="single" w:sz="4" w:space="0" w:color="000000"/>
            </w:tcBorders>
          </w:tcPr>
          <w:p>
            <w:pPr/>
          </w:p>
        </w:tc>
      </w:tr>
      <w:tr>
        <w:trPr>
          <w:trHeight w:val="142" w:hRule="exact"/>
        </w:trPr>
        <w:tc>
          <w:tcPr>
            <w:tcW w:w="2872"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6699" w:type="dxa"/>
            <w:gridSpan w:val="7"/>
            <w:vMerge/>
            <w:tcBorders>
              <w:left w:val="single" w:sz="13" w:space="0" w:color="D2D2D2"/>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shape style="position:absolute;margin-left:56.459999pt;margin-top:71.999985pt;width:479.3pt;height:687.5pt;mso-position-horizontal-relative:page;mso-position-vertical-relative:page;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72"/>
                    <w:gridCol w:w="6699"/>
                  </w:tblGrid>
                  <w:tr>
                    <w:trPr>
                      <w:trHeight w:val="322" w:hRule="exact"/>
                    </w:trPr>
                    <w:tc>
                      <w:tcPr>
                        <w:tcW w:w="2872" w:type="dxa"/>
                        <w:vMerge w:val="restart"/>
                        <w:tcBorders>
                          <w:top w:val="single" w:sz="4" w:space="0" w:color="000000"/>
                          <w:left w:val="single" w:sz="4" w:space="0" w:color="000000"/>
                          <w:right w:val="single" w:sz="4" w:space="0" w:color="000000"/>
                        </w:tcBorders>
                        <w:shd w:val="clear" w:color="auto" w:fill="D2D2D2"/>
                      </w:tcPr>
                      <w:p>
                        <w:pPr/>
                      </w:p>
                    </w:tc>
                    <w:tc>
                      <w:tcPr>
                        <w:tcW w:w="66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市和反恐领域，公司拟将</w:t>
                        </w:r>
                        <w:r>
                          <w:rPr>
                            <w:rFonts w:ascii="Times New Roman" w:hAnsi="Times New Roman" w:cs="Times New Roman" w:eastAsia="Times New Roman" w:hint="default"/>
                            <w:sz w:val="18"/>
                            <w:szCs w:val="18"/>
                          </w:rPr>
                          <w:t>“</w:t>
                        </w:r>
                        <w:r>
                          <w:rPr>
                            <w:rFonts w:ascii="宋体" w:hAnsi="宋体" w:cs="宋体" w:eastAsia="宋体" w:hint="default"/>
                            <w:sz w:val="18"/>
                            <w:szCs w:val="18"/>
                          </w:rPr>
                          <w:t>公共安全与反恐领域机器人及无人机产业化项目</w:t>
                        </w:r>
                        <w:r>
                          <w:rPr>
                            <w:rFonts w:ascii="Times New Roman" w:hAnsi="Times New Roman" w:cs="Times New Roman" w:eastAsia="Times New Roman" w:hint="default"/>
                            <w:sz w:val="18"/>
                            <w:szCs w:val="18"/>
                          </w:rPr>
                          <w:t>”</w:t>
                        </w:r>
                        <w:r>
                          <w:rPr>
                            <w:rFonts w:ascii="宋体" w:hAnsi="宋体" w:cs="宋体" w:eastAsia="宋体" w:hint="default"/>
                            <w:sz w:val="18"/>
                            <w:szCs w:val="18"/>
                          </w:rPr>
                          <w:t>计划投入</w:t>
                        </w:r>
                      </w:p>
                    </w:tc>
                  </w:tr>
                  <w:tr>
                    <w:trPr>
                      <w:trHeight w:val="312" w:hRule="exact"/>
                    </w:trPr>
                    <w:tc>
                      <w:tcPr>
                        <w:tcW w:w="2872"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募集资金余额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50,019.65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万元（含募集资金利息收入，具体变更募集资金用途的金额</w:t>
                        </w:r>
                      </w:p>
                    </w:tc>
                  </w:tr>
                  <w:tr>
                    <w:trPr>
                      <w:trHeight w:val="312" w:hRule="exact"/>
                    </w:trPr>
                    <w:tc>
                      <w:tcPr>
                        <w:tcW w:w="2872"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以实施时账户实际金额为准）全部变更为</w:t>
                        </w:r>
                        <w:r>
                          <w:rPr>
                            <w:rFonts w:ascii="Times New Roman" w:hAnsi="Times New Roman" w:cs="Times New Roman" w:eastAsia="Times New Roman" w:hint="default"/>
                            <w:sz w:val="18"/>
                            <w:szCs w:val="18"/>
                          </w:rPr>
                          <w:t>“</w:t>
                        </w:r>
                        <w:r>
                          <w:rPr>
                            <w:rFonts w:ascii="宋体" w:hAnsi="宋体" w:cs="宋体" w:eastAsia="宋体" w:hint="default"/>
                            <w:sz w:val="18"/>
                            <w:szCs w:val="18"/>
                          </w:rPr>
                          <w:t>投资中国联通移动业务社会化服务合作</w:t>
                        </w:r>
                        <w:r>
                          <w:rPr>
                            <w:rFonts w:ascii="Times New Roman" w:hAnsi="Times New Roman" w:cs="Times New Roman" w:eastAsia="Times New Roman" w:hint="default"/>
                            <w:sz w:val="18"/>
                            <w:szCs w:val="18"/>
                          </w:rPr>
                          <w:t>--</w:t>
                        </w:r>
                      </w:p>
                    </w:tc>
                  </w:tr>
                  <w:tr>
                    <w:trPr>
                      <w:trHeight w:val="312" w:hRule="exact"/>
                    </w:trPr>
                    <w:tc>
                      <w:tcPr>
                        <w:tcW w:w="2872"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云南联通移动业务项目建设</w:t>
                        </w:r>
                        <w:r>
                          <w:rPr>
                            <w:rFonts w:ascii="Times New Roman" w:hAnsi="Times New Roman" w:cs="Times New Roman" w:eastAsia="Times New Roman" w:hint="default"/>
                            <w:sz w:val="18"/>
                            <w:szCs w:val="18"/>
                          </w:rPr>
                          <w:t>”</w:t>
                        </w:r>
                        <w:r>
                          <w:rPr>
                            <w:rFonts w:ascii="宋体" w:hAnsi="宋体" w:cs="宋体" w:eastAsia="宋体" w:hint="default"/>
                            <w:sz w:val="18"/>
                            <w:szCs w:val="18"/>
                          </w:rPr>
                          <w:t>。随着《中共中央国务院关于深化国有企业改革的指导</w:t>
                        </w:r>
                      </w:p>
                    </w:tc>
                  </w:tr>
                  <w:tr>
                    <w:trPr>
                      <w:trHeight w:val="312" w:hRule="exact"/>
                    </w:trPr>
                    <w:tc>
                      <w:tcPr>
                        <w:tcW w:w="2872"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意见</w:t>
                        </w:r>
                        <w:r>
                          <w:rPr>
                            <w:rFonts w:ascii="宋体" w:hAnsi="宋体" w:cs="宋体" w:eastAsia="宋体" w:hint="default"/>
                            <w:spacing w:val="-137"/>
                            <w:sz w:val="18"/>
                            <w:szCs w:val="18"/>
                          </w:rPr>
                          <w:t>》</w:t>
                        </w:r>
                        <w:r>
                          <w:rPr>
                            <w:rFonts w:ascii="宋体" w:hAnsi="宋体" w:cs="宋体" w:eastAsia="宋体" w:hint="default"/>
                            <w:sz w:val="18"/>
                            <w:szCs w:val="18"/>
                          </w:rPr>
                          <w:t>（中</w:t>
                        </w:r>
                        <w:r>
                          <w:rPr>
                            <w:rFonts w:ascii="宋体" w:hAnsi="宋体" w:cs="宋体" w:eastAsia="宋体" w:hint="default"/>
                            <w:spacing w:val="-47"/>
                            <w:sz w:val="18"/>
                            <w:szCs w:val="18"/>
                          </w:rPr>
                          <w:t>发</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宋体" w:hAnsi="宋体" w:cs="宋体" w:eastAsia="宋体" w:hint="default"/>
                            <w:spacing w:val="-47"/>
                            <w:sz w:val="18"/>
                            <w:szCs w:val="18"/>
                          </w:rPr>
                          <w:t>〕</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7"/>
                            <w:sz w:val="18"/>
                            <w:szCs w:val="18"/>
                          </w:rPr>
                          <w:t>）</w:t>
                        </w:r>
                        <w:r>
                          <w:rPr>
                            <w:rFonts w:ascii="宋体" w:hAnsi="宋体" w:cs="宋体" w:eastAsia="宋体" w:hint="default"/>
                            <w:spacing w:val="1"/>
                            <w:sz w:val="18"/>
                            <w:szCs w:val="18"/>
                          </w:rPr>
                          <w:t>及</w:t>
                        </w:r>
                        <w:r>
                          <w:rPr>
                            <w:rFonts w:ascii="宋体" w:hAnsi="宋体" w:cs="宋体" w:eastAsia="宋体" w:hint="default"/>
                            <w:sz w:val="18"/>
                            <w:szCs w:val="18"/>
                          </w:rPr>
                          <w:t>相关文件的不断出台</w:t>
                        </w:r>
                        <w:r>
                          <w:rPr>
                            <w:rFonts w:ascii="宋体" w:hAnsi="宋体" w:cs="宋体" w:eastAsia="宋体" w:hint="default"/>
                            <w:spacing w:val="-47"/>
                            <w:sz w:val="18"/>
                            <w:szCs w:val="18"/>
                          </w:rPr>
                          <w:t>，</w:t>
                        </w:r>
                        <w:r>
                          <w:rPr>
                            <w:rFonts w:ascii="宋体" w:hAnsi="宋体" w:cs="宋体" w:eastAsia="宋体" w:hint="default"/>
                            <w:sz w:val="18"/>
                            <w:szCs w:val="18"/>
                          </w:rPr>
                          <w:t>结合中央经济工作会议提出的</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完</w:t>
                        </w:r>
                      </w:p>
                    </w:tc>
                  </w:tr>
                  <w:tr>
                    <w:trPr>
                      <w:trHeight w:val="312" w:hRule="exact"/>
                    </w:trPr>
                    <w:tc>
                      <w:tcPr>
                        <w:tcW w:w="2872"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善治理、强化激励、突出主业、提高效率</w:t>
                        </w:r>
                        <w:r>
                          <w:rPr>
                            <w:rFonts w:ascii="Times New Roman" w:hAnsi="Times New Roman" w:cs="Times New Roman" w:eastAsia="Times New Roman" w:hint="default"/>
                            <w:sz w:val="18"/>
                            <w:szCs w:val="18"/>
                          </w:rPr>
                          <w:t>”</w:t>
                        </w:r>
                        <w:r>
                          <w:rPr>
                            <w:rFonts w:ascii="宋体" w:hAnsi="宋体" w:cs="宋体" w:eastAsia="宋体" w:hint="default"/>
                            <w:sz w:val="18"/>
                            <w:szCs w:val="18"/>
                          </w:rPr>
                          <w:t>的混改十六字方针，按照国务院国资委的</w:t>
                        </w:r>
                      </w:p>
                    </w:tc>
                  </w:tr>
                  <w:tr>
                    <w:trPr>
                      <w:trHeight w:val="312" w:hRule="exact"/>
                    </w:trPr>
                    <w:tc>
                      <w:tcPr>
                        <w:tcW w:w="2872"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5"/>
                            <w:sz w:val="18"/>
                            <w:szCs w:val="18"/>
                          </w:rPr>
                          <w:t>要求：</w:t>
                        </w:r>
                        <w:r>
                          <w:rPr>
                            <w:rFonts w:ascii="Times New Roman" w:hAnsi="Times New Roman" w:cs="Times New Roman" w:eastAsia="Times New Roman" w:hint="default"/>
                            <w:spacing w:val="-5"/>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pacing w:val="-4"/>
                            <w:sz w:val="18"/>
                            <w:szCs w:val="18"/>
                          </w:rPr>
                          <w:t>年要力争在包括集团层面的混改上有所突破，电力、石油、天然气、铁路</w:t>
                        </w:r>
                      </w:p>
                    </w:tc>
                  </w:tr>
                  <w:tr>
                    <w:trPr>
                      <w:trHeight w:val="307" w:hRule="exact"/>
                    </w:trPr>
                    <w:tc>
                      <w:tcPr>
                        <w:tcW w:w="2872"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民航、电信、军工等领域混改应迈出实质性的步伐，将抓紧实施第三批混改试点。改</w:t>
                        </w:r>
                      </w:p>
                    </w:tc>
                  </w:tr>
                  <w:tr>
                    <w:trPr>
                      <w:trHeight w:val="312" w:hRule="exact"/>
                    </w:trPr>
                    <w:tc>
                      <w:tcPr>
                        <w:tcW w:w="2872"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革试点范围或不局限于央企，地方企业也将纳入混改试点范围，进一步提高混改领域</w:t>
                        </w:r>
                      </w:p>
                    </w:tc>
                  </w:tr>
                  <w:tr>
                    <w:trPr>
                      <w:trHeight w:val="312" w:hRule="exact"/>
                    </w:trPr>
                    <w:tc>
                      <w:tcPr>
                        <w:tcW w:w="2872"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覆盖面，国企混改有望提速，混改的未来市场空间巨大。中国联通作为唯一一家集团</w:t>
                        </w:r>
                      </w:p>
                    </w:tc>
                  </w:tr>
                  <w:tr>
                    <w:trPr>
                      <w:trHeight w:val="312" w:hRule="exact"/>
                    </w:trPr>
                    <w:tc>
                      <w:tcPr>
                        <w:tcW w:w="2872"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整体混改试点单位和先行者，紧抓混改机遇，试点引入其他国有资本和非国有资本，</w:t>
                        </w:r>
                      </w:p>
                    </w:tc>
                  </w:tr>
                  <w:tr>
                    <w:trPr>
                      <w:trHeight w:val="312" w:hRule="exact"/>
                    </w:trPr>
                    <w:tc>
                      <w:tcPr>
                        <w:tcW w:w="2872"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多元业务合作驱动创新，对外引入实力雄厚的战略投资者，借助外力，推动产业链、</w:t>
                        </w:r>
                      </w:p>
                    </w:tc>
                  </w:tr>
                  <w:tr>
                    <w:trPr>
                      <w:trHeight w:val="312" w:hRule="exact"/>
                    </w:trPr>
                    <w:tc>
                      <w:tcPr>
                        <w:tcW w:w="2872"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价值链关键业务重组整合，优势互补，实现聚合资源、整合优势、能力互补、强强联</w:t>
                        </w:r>
                      </w:p>
                    </w:tc>
                  </w:tr>
                  <w:tr>
                    <w:trPr>
                      <w:trHeight w:val="312" w:hRule="exact"/>
                    </w:trPr>
                    <w:tc>
                      <w:tcPr>
                        <w:tcW w:w="2872"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合、互利共赢，并将进行多层面的创新合作，形成优势互补的利益共同体；对内则积</w:t>
                        </w:r>
                      </w:p>
                    </w:tc>
                  </w:tr>
                  <w:tr>
                    <w:trPr>
                      <w:trHeight w:val="312" w:hRule="exact"/>
                    </w:trPr>
                    <w:tc>
                      <w:tcPr>
                        <w:tcW w:w="2872"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极改革体制、实施更加灵活的管理与人事机制，健全协调运转、有效制衡的公司法人</w:t>
                        </w:r>
                      </w:p>
                    </w:tc>
                  </w:tr>
                  <w:tr>
                    <w:trPr>
                      <w:trHeight w:val="312" w:hRule="exact"/>
                    </w:trPr>
                    <w:tc>
                      <w:tcPr>
                        <w:tcW w:w="2872"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治理结构，完善市场化的激励约束机制，充分提升员工的主观能动性，从而有望实现</w:t>
                        </w:r>
                      </w:p>
                    </w:tc>
                  </w:tr>
                  <w:tr>
                    <w:trPr>
                      <w:trHeight w:val="312" w:hRule="exact"/>
                    </w:trPr>
                    <w:tc>
                      <w:tcPr>
                        <w:tcW w:w="2872"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企业效益的全面提升，推动公司进入快速发展模式。联通混改打造与互联网和垂直行</w:t>
                        </w:r>
                      </w:p>
                    </w:tc>
                  </w:tr>
                  <w:tr>
                    <w:trPr>
                      <w:trHeight w:val="312" w:hRule="exact"/>
                    </w:trPr>
                    <w:tc>
                      <w:tcPr>
                        <w:tcW w:w="2872"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业的全方位、多层面合作将树立电信行业转型的新标杆。扩大中国联通在创新业务领</w:t>
                        </w:r>
                      </w:p>
                    </w:tc>
                  </w:tr>
                  <w:tr>
                    <w:trPr>
                      <w:trHeight w:val="312" w:hRule="exact"/>
                    </w:trPr>
                    <w:tc>
                      <w:tcPr>
                        <w:tcW w:w="2872"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域的中高端供给，培育壮大公司创新发展的新动能。本次出资合作云南联通移动业务</w:t>
                        </w:r>
                      </w:p>
                    </w:tc>
                  </w:tr>
                  <w:tr>
                    <w:trPr>
                      <w:trHeight w:val="312" w:hRule="exact"/>
                    </w:trPr>
                    <w:tc>
                      <w:tcPr>
                        <w:tcW w:w="2872"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将进一步提高公司在智慧城市、公共安全与反恐的市场影响力及示范作用，增强公司</w:t>
                        </w:r>
                      </w:p>
                    </w:tc>
                  </w:tr>
                  <w:tr>
                    <w:trPr>
                      <w:trHeight w:val="312" w:hRule="exact"/>
                    </w:trPr>
                    <w:tc>
                      <w:tcPr>
                        <w:tcW w:w="2872"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在智慧城市、公共安全与反恐领域中的综合实力和市场竞争力，助推公司在智慧城市</w:t>
                        </w:r>
                      </w:p>
                    </w:tc>
                  </w:tr>
                  <w:tr>
                    <w:trPr>
                      <w:trHeight w:val="312" w:hRule="exact"/>
                    </w:trPr>
                    <w:tc>
                      <w:tcPr>
                        <w:tcW w:w="2872"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公共安全与反恐领域的建设、投资与运营业务的快速发展，从而进一步提升公司未来</w:t>
                        </w:r>
                      </w:p>
                    </w:tc>
                  </w:tr>
                  <w:tr>
                    <w:trPr>
                      <w:trHeight w:val="312" w:hRule="exact"/>
                    </w:trPr>
                    <w:tc>
                      <w:tcPr>
                        <w:tcW w:w="2872"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的经营业绩，符合公司发展战略和产业政策，有利于公司的长远发展。本次变更募集</w:t>
                        </w:r>
                      </w:p>
                    </w:tc>
                  </w:tr>
                  <w:tr>
                    <w:trPr>
                      <w:trHeight w:val="312" w:hRule="exact"/>
                    </w:trPr>
                    <w:tc>
                      <w:tcPr>
                        <w:tcW w:w="2872"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资金投资项目，是公司结合行业发展形式、公司的业务发展情况和发展战略、募集资</w:t>
                        </w:r>
                      </w:p>
                    </w:tc>
                  </w:tr>
                  <w:tr>
                    <w:trPr>
                      <w:trHeight w:val="312" w:hRule="exact"/>
                    </w:trPr>
                    <w:tc>
                      <w:tcPr>
                        <w:tcW w:w="2872"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金投资项目的实际实施情况，并综合考虑项目风险与收益等方面之后作出的谨慎决</w:t>
                        </w:r>
                      </w:p>
                    </w:tc>
                  </w:tr>
                  <w:tr>
                    <w:trPr>
                      <w:trHeight w:val="312" w:hRule="exact"/>
                    </w:trPr>
                    <w:tc>
                      <w:tcPr>
                        <w:tcW w:w="2872"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定，将为公司带来较为稳定的投资收益，提升公司的盈利能力，提高募集资金使用效</w:t>
                        </w:r>
                      </w:p>
                    </w:tc>
                  </w:tr>
                  <w:tr>
                    <w:trPr>
                      <w:trHeight w:val="312" w:hRule="exact"/>
                    </w:trPr>
                    <w:tc>
                      <w:tcPr>
                        <w:tcW w:w="2872"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率，不存在变相改变募集资金用途和损害股东利益的情形，符合公司全体股东的利益</w:t>
                        </w:r>
                      </w:p>
                    </w:tc>
                  </w:tr>
                  <w:tr>
                    <w:trPr>
                      <w:trHeight w:val="317" w:hRule="exact"/>
                    </w:trPr>
                    <w:tc>
                      <w:tcPr>
                        <w:tcW w:w="2872"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、基于有线</w:t>
                        </w:r>
                        <w:r>
                          <w:rPr>
                            <w:rFonts w:ascii="Times New Roman" w:hAnsi="Times New Roman" w:cs="Times New Roman" w:eastAsia="Times New Roman" w:hint="default"/>
                            <w:sz w:val="18"/>
                            <w:szCs w:val="18"/>
                          </w:rPr>
                          <w:t>/</w:t>
                        </w:r>
                        <w:r>
                          <w:rPr>
                            <w:rFonts w:ascii="宋体" w:hAnsi="宋体" w:cs="宋体" w:eastAsia="宋体" w:hint="default"/>
                            <w:sz w:val="18"/>
                            <w:szCs w:val="18"/>
                          </w:rPr>
                          <w:t>无线传输的电动汽车自适应智能充电桩建设项目：主要受公司目标市场</w:t>
                        </w:r>
                      </w:p>
                    </w:tc>
                  </w:tr>
                  <w:tr>
                    <w:trPr>
                      <w:trHeight w:val="307" w:hRule="exact"/>
                    </w:trPr>
                    <w:tc>
                      <w:tcPr>
                        <w:tcW w:w="2872"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相关行业补贴政策细则落地实施时间的影响，新能源汽车相关配套行业的发展尚需一</w:t>
                        </w:r>
                      </w:p>
                    </w:tc>
                  </w:tr>
                  <w:tr>
                    <w:trPr>
                      <w:trHeight w:val="312" w:hRule="exact"/>
                    </w:trPr>
                    <w:tc>
                      <w:tcPr>
                        <w:tcW w:w="2872"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个过程，充电基础设施前期投入较大，导致目标市场上充电桩生产和运营企业多数盈</w:t>
                        </w:r>
                      </w:p>
                    </w:tc>
                  </w:tr>
                  <w:tr>
                    <w:trPr>
                      <w:trHeight w:val="312" w:hRule="exact"/>
                    </w:trPr>
                    <w:tc>
                      <w:tcPr>
                        <w:tcW w:w="2872"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利状况不佳。公司董事会综合上述情况，经过谨慎的研究决策，决定稳步开展充电桩</w:t>
                        </w:r>
                      </w:p>
                    </w:tc>
                  </w:tr>
                  <w:tr>
                    <w:trPr>
                      <w:trHeight w:val="312" w:hRule="exact"/>
                    </w:trPr>
                    <w:tc>
                      <w:tcPr>
                        <w:tcW w:w="2872"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项目，暂时不进行大规模的资金投入。同时，为了提高募集资金的使用效率，满足公</w:t>
                        </w:r>
                      </w:p>
                    </w:tc>
                  </w:tr>
                  <w:tr>
                    <w:trPr>
                      <w:trHeight w:val="317" w:hRule="exact"/>
                    </w:trPr>
                    <w:tc>
                      <w:tcPr>
                        <w:tcW w:w="2872"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司业务对流动资金的需求，降低财务费用和运营成本，于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日召开的第</w:t>
                        </w:r>
                      </w:p>
                    </w:tc>
                  </w:tr>
                  <w:tr>
                    <w:trPr>
                      <w:trHeight w:val="312" w:hRule="exact"/>
                    </w:trPr>
                    <w:tc>
                      <w:tcPr>
                        <w:tcW w:w="2872"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七届董事会第十四次会议</w:t>
                        </w:r>
                        <w:r>
                          <w:rPr>
                            <w:rFonts w:ascii="宋体" w:hAnsi="宋体" w:cs="宋体" w:eastAsia="宋体" w:hint="default"/>
                            <w:spacing w:val="-90"/>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日召开的</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年度股东大会审议通过</w:t>
                        </w:r>
                        <w:r>
                          <w:rPr>
                            <w:rFonts w:ascii="宋体" w:hAnsi="宋体" w:cs="宋体" w:eastAsia="宋体" w:hint="default"/>
                            <w:spacing w:val="-90"/>
                            <w:sz w:val="18"/>
                            <w:szCs w:val="18"/>
                          </w:rPr>
                          <w:t>了</w:t>
                        </w:r>
                        <w:r>
                          <w:rPr>
                            <w:rFonts w:ascii="宋体" w:hAnsi="宋体" w:cs="宋体" w:eastAsia="宋体" w:hint="default"/>
                            <w:sz w:val="18"/>
                            <w:szCs w:val="18"/>
                          </w:rPr>
                          <w:t>《关</w:t>
                        </w:r>
                      </w:p>
                    </w:tc>
                  </w:tr>
                  <w:tr>
                    <w:trPr>
                      <w:trHeight w:val="312" w:hRule="exact"/>
                    </w:trPr>
                    <w:tc>
                      <w:tcPr>
                        <w:tcW w:w="2872"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于变更部分非公开发行募集资金投向用于永久性补充流动资金的议案</w:t>
                        </w:r>
                        <w:r>
                          <w:rPr>
                            <w:rFonts w:ascii="宋体" w:hAnsi="宋体" w:cs="宋体" w:eastAsia="宋体" w:hint="default"/>
                            <w:spacing w:val="-90"/>
                            <w:sz w:val="18"/>
                            <w:szCs w:val="18"/>
                          </w:rPr>
                          <w:t>》</w:t>
                        </w:r>
                        <w:r>
                          <w:rPr>
                            <w:rFonts w:ascii="宋体" w:hAnsi="宋体" w:cs="宋体" w:eastAsia="宋体" w:hint="default"/>
                            <w:spacing w:val="-8"/>
                            <w:sz w:val="18"/>
                            <w:szCs w:val="18"/>
                          </w:rPr>
                          <w:t>，</w:t>
                        </w:r>
                        <w:r>
                          <w:rPr>
                            <w:rFonts w:ascii="宋体" w:hAnsi="宋体" w:cs="宋体" w:eastAsia="宋体" w:hint="default"/>
                            <w:sz w:val="18"/>
                            <w:szCs w:val="18"/>
                          </w:rPr>
                          <w:t>将</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基于有线</w:t>
                        </w:r>
                      </w:p>
                    </w:tc>
                  </w:tr>
                  <w:tr>
                    <w:trPr>
                      <w:trHeight w:val="312" w:hRule="exact"/>
                    </w:trPr>
                    <w:tc>
                      <w:tcPr>
                        <w:tcW w:w="2872"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无线传输的电动汽车自适应智能充电桩建设项目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募集资金余额用于永久性补充流动</w:t>
                        </w:r>
                      </w:p>
                    </w:tc>
                  </w:tr>
                  <w:tr>
                    <w:trPr>
                      <w:trHeight w:val="307" w:hRule="exact"/>
                    </w:trPr>
                    <w:tc>
                      <w:tcPr>
                        <w:tcW w:w="2872"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资金，用于智慧城市、公共安全与反恐等主营业务的生产经营。以上项目后续如果需</w:t>
                        </w:r>
                      </w:p>
                    </w:tc>
                  </w:tr>
                  <w:tr>
                    <w:trPr>
                      <w:trHeight w:val="317" w:hRule="exact"/>
                    </w:trPr>
                    <w:tc>
                      <w:tcPr>
                        <w:tcW w:w="2872"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要继续投入，公司将以自有资金继续投入完成。</w:t>
                        </w:r>
                        <w:r>
                          <w:rPr>
                            <w:rFonts w:ascii="宋体" w:hAnsi="宋体" w:cs="宋体" w:eastAsia="宋体" w:hint="default"/>
                            <w:spacing w:val="-20"/>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、智能远动（高铁信号）电力保障</w:t>
                        </w:r>
                      </w:p>
                    </w:tc>
                  </w:tr>
                  <w:tr>
                    <w:trPr>
                      <w:trHeight w:val="307" w:hRule="exact"/>
                    </w:trPr>
                    <w:tc>
                      <w:tcPr>
                        <w:tcW w:w="2872"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3"/>
                            <w:sz w:val="18"/>
                            <w:szCs w:val="18"/>
                          </w:rPr>
                          <w:t>系统生产线建设项目：受高铁相关制造产业增速放缓的影响，相关产品竞争较为激烈</w:t>
                        </w:r>
                      </w:p>
                    </w:tc>
                  </w:tr>
                  <w:tr>
                    <w:trPr>
                      <w:trHeight w:val="312" w:hRule="exact"/>
                    </w:trPr>
                    <w:tc>
                      <w:tcPr>
                        <w:tcW w:w="2872"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回款周期长、回款压力增加，同时，公司收购的苏州开关二厂与公司在输配电设备制</w:t>
                        </w:r>
                      </w:p>
                    </w:tc>
                  </w:tr>
                  <w:tr>
                    <w:trPr>
                      <w:trHeight w:val="312" w:hRule="exact"/>
                    </w:trPr>
                    <w:tc>
                      <w:tcPr>
                        <w:tcW w:w="2872"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造领域的协同效应逐步体现。公司董事会综合上述影响，经过谨慎的研究决策，决定</w:t>
                        </w:r>
                      </w:p>
                    </w:tc>
                  </w:tr>
                  <w:tr>
                    <w:trPr>
                      <w:trHeight w:val="312" w:hRule="exact"/>
                    </w:trPr>
                    <w:tc>
                      <w:tcPr>
                        <w:tcW w:w="2872"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暂时不对智能远动（高铁信号）电力保障系统进行大规模的资金投入，而是通过对现</w:t>
                        </w:r>
                      </w:p>
                    </w:tc>
                  </w:tr>
                  <w:tr>
                    <w:trPr>
                      <w:trHeight w:val="312" w:hRule="exact"/>
                    </w:trPr>
                    <w:tc>
                      <w:tcPr>
                        <w:tcW w:w="2872"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有资源的整合，优化产品结构，改进生产工艺，调整目标客户结构，满足市场需求。</w:t>
                        </w:r>
                      </w:p>
                    </w:tc>
                  </w:tr>
                  <w:tr>
                    <w:trPr>
                      <w:trHeight w:val="318" w:hRule="exact"/>
                    </w:trPr>
                    <w:tc>
                      <w:tcPr>
                        <w:tcW w:w="2872" w:type="dxa"/>
                        <w:vMerge/>
                        <w:tcBorders>
                          <w:left w:val="single" w:sz="4" w:space="0" w:color="000000"/>
                          <w:bottom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同时，为了提高募集资金的使用效率，满足公司业务对流动资金的需求，降低财务费</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BodyText"/>
        <w:spacing w:line="240" w:lineRule="auto"/>
        <w:ind w:left="7524" w:right="1137"/>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pStyle w:val="BodyText"/>
        <w:spacing w:line="240" w:lineRule="auto"/>
        <w:ind w:left="7524" w:right="1137"/>
        <w:jc w:val="right"/>
      </w:pPr>
      <w:r>
        <w:rPr/>
        <w:t>，</w:t>
      </w:r>
    </w:p>
    <w:p>
      <w:pPr>
        <w:spacing w:line="240" w:lineRule="auto" w:before="4"/>
        <w:rPr>
          <w:rFonts w:ascii="宋体" w:hAnsi="宋体" w:cs="宋体" w:eastAsia="宋体" w:hint="default"/>
          <w:sz w:val="26"/>
          <w:szCs w:val="26"/>
        </w:rPr>
      </w:pPr>
    </w:p>
    <w:p>
      <w:pPr>
        <w:pStyle w:val="BodyText"/>
        <w:spacing w:line="240" w:lineRule="auto"/>
        <w:ind w:left="7524" w:right="1137"/>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pStyle w:val="BodyText"/>
        <w:spacing w:line="240" w:lineRule="auto"/>
        <w:ind w:left="7524" w:right="1137"/>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pStyle w:val="BodyText"/>
        <w:spacing w:line="240" w:lineRule="auto"/>
        <w:ind w:left="7524" w:right="1137"/>
        <w:jc w:val="right"/>
      </w:pPr>
      <w:r>
        <w:rPr/>
        <w:t>，</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72"/>
        <w:gridCol w:w="6699"/>
      </w:tblGrid>
      <w:tr>
        <w:trPr>
          <w:trHeight w:val="1923" w:hRule="exact"/>
        </w:trPr>
        <w:tc>
          <w:tcPr>
            <w:tcW w:w="287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用和运营成本，公司于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日召开的第七届董事会第十四次会议、</w:t>
            </w:r>
            <w:r>
              <w:rPr>
                <w:rFonts w:ascii="Times New Roman" w:hAnsi="Times New Roman" w:cs="Times New Roman" w:eastAsia="Times New Roman" w:hint="default"/>
                <w:sz w:val="18"/>
                <w:szCs w:val="18"/>
              </w:rPr>
              <w:t>2018</w:t>
            </w:r>
          </w:p>
          <w:p>
            <w:pPr>
              <w:pStyle w:val="TableParagraph"/>
              <w:spacing w:line="304" w:lineRule="auto" w:before="63"/>
              <w:ind w:left="23" w:right="21"/>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日召开的</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年度股东大会审议通过了《关于变更部分非公开发行募集资 </w:t>
            </w:r>
            <w:r>
              <w:rPr>
                <w:rFonts w:ascii="宋体" w:hAnsi="宋体" w:cs="宋体" w:eastAsia="宋体" w:hint="default"/>
                <w:spacing w:val="-3"/>
                <w:sz w:val="18"/>
                <w:szCs w:val="18"/>
              </w:rPr>
              <w:t>金投向用于永久性补充流动资金的议案》，将将</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智能远动（高铁信号）电力保障系统</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生产线建设项目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募集资金余额用于永久性补充流动资金，用于智慧城市、公共安全 </w:t>
            </w:r>
            <w:r>
              <w:rPr>
                <w:rFonts w:ascii="宋体" w:hAnsi="宋体" w:cs="宋体" w:eastAsia="宋体" w:hint="default"/>
                <w:spacing w:val="-1"/>
                <w:sz w:val="18"/>
                <w:szCs w:val="18"/>
              </w:rPr>
              <w:t>与反恐等主营业务的生产经营。以上项目后续如果需要继续投入，公司将以自有资金</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继续投入完成。</w:t>
            </w:r>
          </w:p>
        </w:tc>
      </w:tr>
      <w:tr>
        <w:trPr>
          <w:trHeight w:val="714" w:hRule="exact"/>
        </w:trPr>
        <w:tc>
          <w:tcPr>
            <w:tcW w:w="2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37"/>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2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37"/>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六、重大资产和股权出售" w:id="54"/>
      <w:bookmarkEnd w:id="54"/>
      <w:r>
        <w:rPr>
          <w:b w:val="0"/>
          <w:bCs w:val="0"/>
        </w:rPr>
      </w:r>
      <w:r>
        <w:rPr/>
        <w:t>六、重大资产和股权出售</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出售重大资产情况" w:id="55"/>
      <w:bookmarkEnd w:id="55"/>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before="0"/>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2、出售重大股权情况" w:id="56"/>
      <w:bookmarkEnd w:id="56"/>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七、主要控股参股公司分析" w:id="57"/>
      <w:bookmarkEnd w:id="57"/>
      <w:r>
        <w:rPr>
          <w:b w:val="0"/>
          <w:bCs w:val="0"/>
        </w:rPr>
      </w: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20"/>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left="153" w:right="0"/>
        <w:jc w:val="left"/>
      </w:pPr>
      <w:r>
        <w:rPr/>
        <w:pict>
          <v:shape style="position:absolute;margin-left:197.537003pt;margin-top:88.931732pt;width:75.95pt;height:69.2pt;mso-position-horizontal-relative:page;mso-position-vertical-relative:paragraph;z-index:-1196296" type="#_x0000_t202" filled="false" stroked="false">
            <v:textbox inset="0,0,0,0">
              <w:txbxContent>
                <w:p>
                  <w:pPr>
                    <w:pStyle w:val="BodyText"/>
                    <w:spacing w:line="240" w:lineRule="auto" w:before="51"/>
                    <w:ind w:left="0" w:right="0"/>
                    <w:jc w:val="left"/>
                  </w:pPr>
                  <w:r>
                    <w:rPr/>
                    <w:t>加工：</w:t>
                  </w:r>
                </w:p>
              </w:txbxContent>
            </v:textbox>
            <w10:wrap type="none"/>
          </v:shape>
        </w:pict>
      </w:r>
      <w:r>
        <w:rPr/>
        <w:t>单位：元</w:t>
      </w:r>
    </w:p>
    <w:p>
      <w:pPr>
        <w:spacing w:after="0" w:line="240" w:lineRule="auto"/>
        <w:jc w:val="left"/>
        <w:sectPr>
          <w:type w:val="continuous"/>
          <w:pgSz w:w="11910" w:h="16840"/>
          <w:pgMar w:top="1060" w:bottom="1160" w:left="980" w:right="0"/>
          <w:cols w:num="2" w:equalWidth="0">
            <w:col w:w="4849" w:space="4070"/>
            <w:col w:w="201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8"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北京中电兴 发科技有限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智慧城市、 公共安全及 反恐</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1,334,751,40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8.91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2,562,747,71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9.31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1,852,491,21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3.07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1,434,102,17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1.04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205,663,154.</w:t>
            </w:r>
          </w:p>
          <w:p>
            <w:pPr>
              <w:pStyle w:val="TableParagraph"/>
              <w:spacing w:line="240" w:lineRule="auto" w:before="105"/>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171,635,067.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22</w:t>
            </w:r>
          </w:p>
        </w:tc>
      </w:tr>
      <w:tr>
        <w:trPr>
          <w:trHeight w:val="348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319" w:lineRule="auto"/>
              <w:ind w:left="22" w:right="119"/>
              <w:jc w:val="left"/>
              <w:rPr>
                <w:rFonts w:ascii="宋体" w:hAnsi="宋体" w:cs="宋体" w:eastAsia="宋体" w:hint="default"/>
                <w:sz w:val="18"/>
                <w:szCs w:val="18"/>
              </w:rPr>
            </w:pPr>
            <w:r>
              <w:rPr>
                <w:rFonts w:ascii="宋体" w:hAnsi="宋体" w:cs="宋体" w:eastAsia="宋体" w:hint="default"/>
                <w:sz w:val="18"/>
                <w:szCs w:val="18"/>
              </w:rPr>
              <w:t>苏州开关二 厂有限公司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制造、 高低压成套 装置，输配 电设备，工 业过程控制 及监控系 统，仪器仪 表，金属制 品，电子通 讯设备，调 气、调压设</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1383" w:lineRule="exact"/>
              <w:ind w:right="-49"/>
              <w:jc w:val="left"/>
              <w:rPr>
                <w:rFonts w:ascii="宋体" w:hAnsi="宋体" w:cs="宋体" w:eastAsia="宋体" w:hint="default"/>
                <w:sz w:val="20"/>
                <w:szCs w:val="20"/>
              </w:rPr>
            </w:pPr>
            <w:r>
              <w:rPr>
                <w:rFonts w:ascii="宋体" w:hAnsi="宋体" w:cs="宋体" w:eastAsia="宋体" w:hint="default"/>
                <w:position w:val="-27"/>
                <w:sz w:val="20"/>
                <w:szCs w:val="20"/>
              </w:rPr>
              <w:pict>
                <v:group style="width:51.75pt;height:69.2pt;mso-position-horizontal-relative:char;mso-position-vertical-relative:line" coordorigin="0,0" coordsize="1035,1384">
                  <v:group style="position:absolute;left:0;top:0;width:1035;height:1384" coordorigin="0,0" coordsize="1035,1384">
                    <v:shape style="position:absolute;left:0;top:0;width:1035;height:1384" coordorigin="0,0" coordsize="1035,1384" path="m0,1384l1035,1384,1035,0,0,0,0,1384xe" filled="true" fillcolor="#ffffff" stroked="false">
                      <v:path arrowok="t"/>
                      <v:fill type="solid"/>
                    </v:shape>
                  </v:group>
                </v:group>
              </w:pict>
            </w:r>
            <w:r>
              <w:rPr>
                <w:rFonts w:ascii="宋体" w:hAnsi="宋体" w:cs="宋体" w:eastAsia="宋体" w:hint="default"/>
                <w:position w:val="-27"/>
                <w:sz w:val="20"/>
                <w:szCs w:val="20"/>
              </w:rPr>
            </w:r>
          </w:p>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52,000,000.0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461,463,603.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275,169,849.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269,402,790.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48,296,287.1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41,878,669.1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674" w:hRule="exact"/>
        </w:trPr>
        <w:tc>
          <w:tcPr>
            <w:tcW w:w="1054"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10"/>
              <w:jc w:val="left"/>
              <w:rPr>
                <w:rFonts w:ascii="宋体" w:hAnsi="宋体" w:cs="宋体" w:eastAsia="宋体" w:hint="default"/>
                <w:sz w:val="18"/>
                <w:szCs w:val="18"/>
              </w:rPr>
            </w:pPr>
            <w:r>
              <w:rPr>
                <w:rFonts w:ascii="宋体" w:hAnsi="宋体" w:cs="宋体" w:eastAsia="宋体" w:hint="default"/>
                <w:sz w:val="18"/>
                <w:szCs w:val="18"/>
              </w:rPr>
              <w:t>备，电器元 件</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报告期内取得和处置子公司的情况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天津滨龙工程管理咨询有限公司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新设成立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建设期</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苏州天平安装工程有限公司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非同一控制下购并</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有利于促进苏二开产业链向上游延伸， 进一步提升经营规模和市场竞 争力</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安徽中电兴发科技有限公司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新设成立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建设期</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中电兴发软件研发（北京）有限公司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新设成立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建设期</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北京普天智慧科技有限公司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新设成立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建设期</w:t>
            </w:r>
          </w:p>
        </w:tc>
      </w:tr>
      <w:tr>
        <w:trPr>
          <w:trHeight w:val="1650"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枣强县智慧城市信息技术服务有限公司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新设成立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进一步提高公司在智慧平安城 </w:t>
            </w:r>
            <w:r>
              <w:rPr>
                <w:rFonts w:ascii="宋体" w:hAnsi="宋体" w:cs="宋体" w:eastAsia="宋体" w:hint="default"/>
                <w:spacing w:val="-4"/>
                <w:sz w:val="18"/>
                <w:szCs w:val="18"/>
              </w:rPr>
              <w:t>市、公共</w:t>
            </w:r>
            <w:r>
              <w:rPr>
                <w:rFonts w:ascii="宋体" w:hAnsi="宋体" w:cs="宋体" w:eastAsia="宋体" w:hint="default"/>
                <w:sz w:val="18"/>
                <w:szCs w:val="18"/>
              </w:rPr>
              <w:t> 安全及雪亮工程的市场影响力及示范作 用，进一步增强公司在智慧城市、公</w:t>
            </w:r>
            <w:r>
              <w:rPr>
                <w:rFonts w:ascii="宋体" w:hAnsi="宋体" w:cs="宋体" w:eastAsia="宋体" w:hint="default"/>
                <w:spacing w:val="-14"/>
                <w:sz w:val="18"/>
                <w:szCs w:val="18"/>
              </w:rPr>
              <w:t> </w:t>
            </w:r>
            <w:r>
              <w:rPr>
                <w:rFonts w:ascii="宋体" w:hAnsi="宋体" w:cs="宋体" w:eastAsia="宋体" w:hint="default"/>
                <w:sz w:val="18"/>
                <w:szCs w:val="18"/>
              </w:rPr>
              <w:t>共</w:t>
            </w:r>
            <w:r>
              <w:rPr>
                <w:rFonts w:ascii="宋体" w:hAnsi="宋体" w:cs="宋体" w:eastAsia="宋体" w:hint="default"/>
                <w:sz w:val="18"/>
                <w:szCs w:val="18"/>
              </w:rPr>
              <w:t> 安全与反恐领域中的综合实力和市场竞 争力</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中普慧园科技（北京）有限公司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新设成立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建设期</w:t>
            </w:r>
          </w:p>
        </w:tc>
      </w:tr>
      <w:tr>
        <w:trPr>
          <w:trHeight w:val="1026"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凤凰智慧城市管理运营有限责任公司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新设成立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对中电兴发在智慧城市领域的市场拓展 产生积极的促进和推动作用，提升了中 电兴发在新型智慧城市领域的知名度</w:t>
            </w:r>
          </w:p>
        </w:tc>
      </w:tr>
      <w:tr>
        <w:trPr>
          <w:trHeight w:val="133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云南中电新联通信网络有限公司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新设成立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进一步提高公司在智慧城市、公共安全 与反恐的市场影响力及示范作用，</w:t>
            </w:r>
            <w:r>
              <w:rPr>
                <w:rFonts w:ascii="宋体" w:hAnsi="宋体" w:cs="宋体" w:eastAsia="宋体" w:hint="default"/>
                <w:spacing w:val="-14"/>
                <w:sz w:val="18"/>
                <w:szCs w:val="18"/>
              </w:rPr>
              <w:t> </w:t>
            </w:r>
            <w:r>
              <w:rPr>
                <w:rFonts w:ascii="宋体" w:hAnsi="宋体" w:cs="宋体" w:eastAsia="宋体" w:hint="default"/>
                <w:sz w:val="18"/>
                <w:szCs w:val="18"/>
              </w:rPr>
              <w:t>增强</w:t>
            </w:r>
            <w:r>
              <w:rPr>
                <w:rFonts w:ascii="宋体" w:hAnsi="宋体" w:cs="宋体" w:eastAsia="宋体" w:hint="default"/>
                <w:sz w:val="18"/>
                <w:szCs w:val="18"/>
              </w:rPr>
              <w:t> 公司在智慧城市、公共安全与反恐领域 中的综合实力和市场竞争力</w:t>
            </w:r>
          </w:p>
        </w:tc>
      </w:tr>
      <w:tr>
        <w:trPr>
          <w:trHeight w:val="133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昭通中典联网络科技有限公司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新设成立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进一步提高公司在智慧城市、公共安全 与反恐的市场影响力及示范作用，</w:t>
            </w:r>
            <w:r>
              <w:rPr>
                <w:rFonts w:ascii="宋体" w:hAnsi="宋体" w:cs="宋体" w:eastAsia="宋体" w:hint="default"/>
                <w:spacing w:val="-14"/>
                <w:sz w:val="18"/>
                <w:szCs w:val="18"/>
              </w:rPr>
              <w:t> </w:t>
            </w:r>
            <w:r>
              <w:rPr>
                <w:rFonts w:ascii="宋体" w:hAnsi="宋体" w:cs="宋体" w:eastAsia="宋体" w:hint="default"/>
                <w:sz w:val="18"/>
                <w:szCs w:val="18"/>
              </w:rPr>
              <w:t>增强</w:t>
            </w:r>
            <w:r>
              <w:rPr>
                <w:rFonts w:ascii="宋体" w:hAnsi="宋体" w:cs="宋体" w:eastAsia="宋体" w:hint="default"/>
                <w:sz w:val="18"/>
                <w:szCs w:val="18"/>
              </w:rPr>
              <w:t> 公司在智慧城市、公共安全与反恐领域 中的综合实力和市场竞争力</w:t>
            </w:r>
          </w:p>
        </w:tc>
      </w:tr>
      <w:tr>
        <w:trPr>
          <w:trHeight w:val="133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普洱中典联网络科技有限公司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新设成立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进一步提高公司在智慧城市、公共安全 与反恐的市场影响力及示范作用，</w:t>
            </w:r>
            <w:r>
              <w:rPr>
                <w:rFonts w:ascii="宋体" w:hAnsi="宋体" w:cs="宋体" w:eastAsia="宋体" w:hint="default"/>
                <w:spacing w:val="-14"/>
                <w:sz w:val="18"/>
                <w:szCs w:val="18"/>
              </w:rPr>
              <w:t> </w:t>
            </w:r>
            <w:r>
              <w:rPr>
                <w:rFonts w:ascii="宋体" w:hAnsi="宋体" w:cs="宋体" w:eastAsia="宋体" w:hint="default"/>
                <w:sz w:val="18"/>
                <w:szCs w:val="18"/>
              </w:rPr>
              <w:t>增强</w:t>
            </w:r>
            <w:r>
              <w:rPr>
                <w:rFonts w:ascii="宋体" w:hAnsi="宋体" w:cs="宋体" w:eastAsia="宋体" w:hint="default"/>
                <w:sz w:val="18"/>
                <w:szCs w:val="18"/>
              </w:rPr>
              <w:t> 公司在智慧城市、公共安全与反恐领域 中的综合实力和市场竞争力</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湖南恒联通达信息科技有限公司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非同一控制下购并</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建设期</w:t>
            </w:r>
          </w:p>
        </w:tc>
      </w:tr>
    </w:tbl>
    <w:p>
      <w:pPr>
        <w:pStyle w:val="BodyText"/>
        <w:spacing w:line="240" w:lineRule="auto" w:before="51"/>
        <w:ind w:right="0"/>
        <w:jc w:val="left"/>
      </w:pPr>
      <w:r>
        <w:rPr/>
        <w:t>主要控股参股公司情况说明</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八、公司控制的结构化主体情况" w:id="58"/>
      <w:bookmarkEnd w:id="58"/>
      <w:r>
        <w:rPr>
          <w:b w:val="0"/>
          <w:bCs w:val="0"/>
        </w:rPr>
      </w:r>
      <w:r>
        <w:rPr/>
        <w:t>八、公司控制的结构化主体情况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九、公司未来发展的展望" w:id="59"/>
      <w:bookmarkEnd w:id="59"/>
      <w:r>
        <w:rPr>
          <w:b w:val="0"/>
          <w:bCs w:val="0"/>
        </w:rPr>
      </w:r>
      <w:r>
        <w:rPr/>
        <w:t>九、公司未来发展的展望</w:t>
      </w:r>
      <w:r>
        <w:rPr>
          <w:b w:val="0"/>
          <w:bCs w:val="0"/>
        </w:rPr>
      </w:r>
    </w:p>
    <w:p>
      <w:pPr>
        <w:spacing w:line="240" w:lineRule="auto" w:before="7"/>
        <w:rPr>
          <w:rFonts w:ascii="宋体" w:hAnsi="宋体" w:cs="宋体" w:eastAsia="宋体" w:hint="default"/>
          <w:b/>
          <w:bCs/>
          <w:sz w:val="26"/>
          <w:szCs w:val="26"/>
        </w:rPr>
      </w:pPr>
    </w:p>
    <w:p>
      <w:pPr>
        <w:spacing w:line="316" w:lineRule="auto" w:before="0"/>
        <w:ind w:left="514" w:right="0" w:firstLine="1"/>
        <w:jc w:val="left"/>
        <w:rPr>
          <w:rFonts w:ascii="宋体" w:hAnsi="宋体" w:cs="宋体" w:eastAsia="宋体" w:hint="default"/>
          <w:sz w:val="18"/>
          <w:szCs w:val="18"/>
        </w:rPr>
      </w:pPr>
      <w:r>
        <w:rPr>
          <w:rFonts w:ascii="宋体" w:hAnsi="宋体" w:cs="宋体" w:eastAsia="宋体" w:hint="default"/>
          <w:b/>
          <w:bCs/>
          <w:sz w:val="18"/>
          <w:szCs w:val="18"/>
        </w:rPr>
        <w:t>（一）公司行业面临的竞争格局</w:t>
      </w:r>
      <w:r>
        <w:rPr>
          <w:rFonts w:ascii="宋体" w:hAnsi="宋体" w:cs="宋体" w:eastAsia="宋体" w:hint="default"/>
          <w:b/>
          <w:bCs/>
          <w:w w:val="99"/>
          <w:sz w:val="18"/>
          <w:szCs w:val="18"/>
        </w:rPr>
        <w:t> </w:t>
      </w:r>
      <w:r>
        <w:rPr>
          <w:rFonts w:ascii="宋体" w:hAnsi="宋体" w:cs="宋体" w:eastAsia="宋体" w:hint="default"/>
          <w:spacing w:val="-2"/>
          <w:sz w:val="18"/>
          <w:szCs w:val="18"/>
        </w:rPr>
        <w:t>近年来，行业内的中国企业在市场份额、产品竞争力、综合技术服务能力等方面逐步赶超欧美、日韩等企业，并在国家</w:t>
      </w:r>
    </w:p>
    <w:p>
      <w:pPr>
        <w:pStyle w:val="BodyText"/>
        <w:spacing w:line="316" w:lineRule="auto" w:before="19"/>
        <w:ind w:right="1130"/>
        <w:jc w:val="both"/>
      </w:pPr>
      <w:r>
        <w:rPr>
          <w:spacing w:val="-2"/>
        </w:rPr>
        <w:t>科技强国、制造强国等战略的引领下，逐步完善上下游产业链布局，综合竞争力进一步加强。未来，中国企业在全球智慧科</w:t>
      </w:r>
      <w:r>
        <w:rPr>
          <w:spacing w:val="-66"/>
        </w:rPr>
        <w:t> </w:t>
      </w:r>
      <w:r>
        <w:rPr>
          <w:spacing w:val="-66"/>
        </w:rPr>
      </w:r>
      <w:r>
        <w:rPr>
          <w:spacing w:val="-2"/>
        </w:rPr>
        <w:t>技市场的竞争力将保持高速增长。就国内市场而言，未来随着行业竞争进一步加剧，将促使行业集中度向一些具备技术、资</w:t>
      </w:r>
      <w:r>
        <w:rPr>
          <w:spacing w:val="-66"/>
        </w:rPr>
        <w:t> </w:t>
      </w:r>
      <w:r>
        <w:rPr>
          <w:spacing w:val="-66"/>
        </w:rPr>
      </w:r>
      <w:r>
        <w:rPr>
          <w:spacing w:val="-2"/>
        </w:rPr>
        <w:t>质、资金、人才、规模等综合优势的大企业聚集。缺乏技术创新、服务能力和独特商业应用模式的企业将逐步被淘汰，竞争</w:t>
      </w:r>
      <w:r>
        <w:rPr>
          <w:spacing w:val="-68"/>
        </w:rPr>
        <w:t> </w:t>
      </w:r>
      <w:r>
        <w:rPr>
          <w:spacing w:val="-68"/>
        </w:rPr>
      </w:r>
      <w:r>
        <w:rPr/>
        <w:t>实力较弱的中小企业数量将大幅减少，行业面临着大者恒大，强者恒强的残酷竞争格局。</w:t>
      </w:r>
    </w:p>
    <w:p>
      <w:pPr>
        <w:pStyle w:val="BodyText"/>
        <w:spacing w:line="316" w:lineRule="auto" w:before="19"/>
        <w:ind w:left="514" w:right="0" w:firstLine="1"/>
        <w:jc w:val="left"/>
      </w:pPr>
      <w:r>
        <w:rPr>
          <w:rFonts w:ascii="宋体" w:hAnsi="宋体" w:cs="宋体" w:eastAsia="宋体" w:hint="default"/>
          <w:b/>
          <w:bCs/>
        </w:rPr>
        <w:t>（二）公司发展战略</w:t>
      </w:r>
      <w:r>
        <w:rPr>
          <w:rFonts w:ascii="宋体" w:hAnsi="宋体" w:cs="宋体" w:eastAsia="宋体" w:hint="default"/>
          <w:b/>
          <w:bCs/>
          <w:w w:val="99"/>
        </w:rPr>
        <w:t> </w:t>
      </w:r>
      <w:r>
        <w:rPr>
          <w:spacing w:val="-2"/>
        </w:rPr>
        <w:t>综合分析国内外形势，国家经济发展仍处于重要战略机遇期，公司积极适应国家经济坚持稳中求进的工作总基调、高质</w:t>
      </w:r>
    </w:p>
    <w:p>
      <w:pPr>
        <w:pStyle w:val="BodyText"/>
        <w:spacing w:line="307" w:lineRule="auto" w:before="19"/>
        <w:ind w:right="1130"/>
        <w:jc w:val="both"/>
      </w:pPr>
      <w:r>
        <w:rPr>
          <w:spacing w:val="-2"/>
        </w:rPr>
        <w:t>量发展的总要求，适应于时代发展的新局面，全面开启公司发展的新征程，积极推进企业管理体制创新、经营模式创新、科</w:t>
      </w:r>
      <w:r>
        <w:rPr>
          <w:spacing w:val="-66"/>
        </w:rPr>
        <w:t> </w:t>
      </w:r>
      <w:r>
        <w:rPr>
          <w:spacing w:val="-66"/>
        </w:rPr>
      </w:r>
      <w:r>
        <w:rPr/>
        <w:t>学技术创新、业务模式创新、商业模式创新和法律服务创新等，提升核心竞争力，以加速形成并夯实</w:t>
      </w:r>
      <w:r>
        <w:rPr>
          <w:rFonts w:ascii="Times New Roman" w:hAnsi="Times New Roman" w:cs="Times New Roman" w:eastAsia="Times New Roman" w:hint="default"/>
        </w:rPr>
        <w:t>“</w:t>
      </w:r>
      <w:r>
        <w:rPr/>
        <w:t>中国最好的智慧城市 </w:t>
      </w:r>
      <w:r>
        <w:rPr>
          <w:spacing w:val="-2"/>
        </w:rPr>
        <w:t>建设与运营服务商</w:t>
      </w:r>
      <w:r>
        <w:rPr>
          <w:rFonts w:ascii="Times New Roman" w:hAnsi="Times New Roman" w:cs="Times New Roman" w:eastAsia="Times New Roman" w:hint="default"/>
          <w:spacing w:val="-2"/>
        </w:rPr>
        <w:t>”</w:t>
      </w:r>
      <w:r>
        <w:rPr>
          <w:spacing w:val="-2"/>
        </w:rPr>
        <w:t>的行业龙头品牌地位，形成</w:t>
      </w:r>
      <w:r>
        <w:rPr>
          <w:rFonts w:ascii="Times New Roman" w:hAnsi="Times New Roman" w:cs="Times New Roman" w:eastAsia="Times New Roman" w:hint="default"/>
          <w:spacing w:val="-2"/>
        </w:rPr>
        <w:t>“</w:t>
      </w:r>
      <w:r>
        <w:rPr>
          <w:spacing w:val="-2"/>
        </w:rPr>
        <w:t>以智慧中国业务为龙头，以新通信业务和新一代光纤通信业务为两翼的主营</w:t>
      </w:r>
      <w:r>
        <w:rPr>
          <w:spacing w:val="-45"/>
        </w:rPr>
        <w:t> </w:t>
      </w:r>
      <w:r>
        <w:rPr>
          <w:spacing w:val="-45"/>
        </w:rPr>
      </w:r>
      <w:r>
        <w:rPr/>
        <w:t>业务发展格局</w:t>
      </w:r>
      <w:r>
        <w:rPr>
          <w:rFonts w:ascii="Times New Roman" w:hAnsi="Times New Roman" w:cs="Times New Roman" w:eastAsia="Times New Roman" w:hint="default"/>
        </w:rPr>
        <w:t>”</w:t>
      </w:r>
      <w:r>
        <w:rPr>
          <w:rFonts w:ascii="宋体" w:hAnsi="宋体" w:cs="宋体" w:eastAsia="宋体" w:hint="default"/>
          <w:b/>
          <w:bCs/>
        </w:rPr>
        <w:t>，</w:t>
      </w:r>
      <w:r>
        <w:rPr/>
        <w:t>实现公司做稳、做强、做大。公司发展战略，归结为：</w:t>
      </w:r>
    </w:p>
    <w:p>
      <w:pPr>
        <w:pStyle w:val="BodyText"/>
        <w:spacing w:line="300" w:lineRule="auto" w:before="7"/>
        <w:ind w:left="514" w:right="0"/>
        <w:jc w:val="left"/>
      </w:pPr>
      <w:r>
        <w:rPr>
          <w:rFonts w:ascii="Times New Roman" w:hAnsi="Times New Roman" w:cs="Times New Roman" w:eastAsia="Times New Roman" w:hint="default"/>
          <w:b/>
          <w:bCs/>
        </w:rPr>
        <w:t>1</w:t>
      </w:r>
      <w:r>
        <w:rPr>
          <w:rFonts w:ascii="宋体" w:hAnsi="宋体" w:cs="宋体" w:eastAsia="宋体" w:hint="default"/>
          <w:b/>
          <w:bCs/>
        </w:rPr>
        <w:t>、经营发展战略</w:t>
      </w:r>
      <w:r>
        <w:rPr>
          <w:rFonts w:ascii="宋体" w:hAnsi="宋体" w:cs="宋体" w:eastAsia="宋体" w:hint="default"/>
          <w:b/>
          <w:bCs/>
          <w:w w:val="99"/>
        </w:rPr>
        <w:t> </w:t>
      </w:r>
      <w:r>
        <w:rPr>
          <w:spacing w:val="-2"/>
        </w:rPr>
        <w:t>坚持专注于智慧科技方向的尖端传感器（芯片）、人工智能、物联网、产业互联网、大数据、云计算与云存储、智慧应</w:t>
      </w:r>
    </w:p>
    <w:p>
      <w:pPr>
        <w:pStyle w:val="BodyText"/>
        <w:spacing w:line="314" w:lineRule="auto" w:before="31"/>
        <w:ind w:right="1032"/>
        <w:jc w:val="left"/>
      </w:pPr>
      <w:r>
        <w:rPr/>
        <w:t>用软件等关键技术的研究和开发，全面掌握核心技术，专注于智慧城市的建设、投资与运营，在智能反恐维稳、智慧安防、 </w:t>
      </w:r>
      <w:r>
        <w:rPr>
          <w:spacing w:val="-2"/>
        </w:rPr>
        <w:t>智慧警务、大数据中心建设、智慧政务、国家战略设施安全、军队信息化、智慧交通、智慧文体、智慧国土、智慧法院、智</w:t>
      </w:r>
      <w:r>
        <w:rPr>
          <w:spacing w:val="-69"/>
        </w:rPr>
        <w:t> </w:t>
      </w:r>
      <w:r>
        <w:rPr>
          <w:spacing w:val="-69"/>
        </w:rPr>
      </w:r>
      <w:r>
        <w:rPr>
          <w:spacing w:val="-2"/>
        </w:rPr>
        <w:t>慧司法、智慧科研、智慧教育、智慧医疗、智慧社区、智慧楼宇、智慧会展、智慧用能、智慧金融等诸多智慧应用领域，形</w:t>
      </w:r>
      <w:r>
        <w:rPr>
          <w:spacing w:val="-69"/>
        </w:rPr>
        <w:t> </w:t>
      </w:r>
      <w:r>
        <w:rPr>
          <w:spacing w:val="-69"/>
        </w:rPr>
      </w:r>
      <w:r>
        <w:rPr/>
        <w:t>成面向智慧社会治理、智慧民生服务、智慧产业经济等三位一体的完全自主可控、国内领先且具有国际竞争力的核心技术、 产品和全面解决方案，不断积累更加丰富的投资、建设和运营经验，并不断精益求精地复制，以加速形成并夯实</w:t>
      </w:r>
      <w:r>
        <w:rPr>
          <w:rFonts w:ascii="Times New Roman" w:hAnsi="Times New Roman" w:cs="Times New Roman" w:eastAsia="Times New Roman" w:hint="default"/>
        </w:rPr>
        <w:t>“</w:t>
      </w:r>
      <w:r>
        <w:rPr/>
        <w:t>中国最好 的智慧城市建设与运营服务商</w:t>
      </w:r>
      <w:r>
        <w:rPr>
          <w:rFonts w:ascii="Times New Roman" w:hAnsi="Times New Roman" w:cs="Times New Roman" w:eastAsia="Times New Roman" w:hint="default"/>
        </w:rPr>
        <w:t>”</w:t>
      </w:r>
      <w:r>
        <w:rPr/>
        <w:t>的行业龙头品牌地位。</w:t>
      </w:r>
    </w:p>
    <w:p>
      <w:pPr>
        <w:pStyle w:val="BodyText"/>
        <w:spacing w:line="300" w:lineRule="auto" w:before="1"/>
        <w:ind w:left="514" w:right="0"/>
        <w:jc w:val="left"/>
      </w:pPr>
      <w:r>
        <w:rPr>
          <w:rFonts w:ascii="Times New Roman" w:hAnsi="Times New Roman" w:cs="Times New Roman" w:eastAsia="Times New Roman" w:hint="default"/>
          <w:b/>
          <w:bCs/>
        </w:rPr>
        <w:t>2</w:t>
      </w:r>
      <w:r>
        <w:rPr>
          <w:rFonts w:ascii="宋体" w:hAnsi="宋体" w:cs="宋体" w:eastAsia="宋体" w:hint="default"/>
          <w:b/>
          <w:bCs/>
        </w:rPr>
        <w:t>、企业文化和人才战略</w:t>
      </w:r>
      <w:r>
        <w:rPr>
          <w:rFonts w:ascii="宋体" w:hAnsi="宋体" w:cs="宋体" w:eastAsia="宋体" w:hint="default"/>
          <w:b/>
          <w:bCs/>
          <w:w w:val="99"/>
        </w:rPr>
        <w:t> </w:t>
      </w:r>
      <w:r>
        <w:rPr>
          <w:spacing w:val="-2"/>
        </w:rPr>
        <w:t>由公司战略、使命、共同价值观、经营总方针、业务发展总模式、经营工作总原则等共同组成的企业文化，是实现企业</w:t>
      </w:r>
    </w:p>
    <w:p>
      <w:pPr>
        <w:pStyle w:val="BodyText"/>
        <w:spacing w:line="312" w:lineRule="auto" w:before="31"/>
        <w:ind w:right="0"/>
        <w:jc w:val="left"/>
      </w:pPr>
      <w:r>
        <w:rPr/>
        <w:t>战略目标的驱动力与重要支柱。坚持</w:t>
      </w:r>
      <w:r>
        <w:rPr>
          <w:rFonts w:ascii="Times New Roman" w:hAnsi="Times New Roman" w:cs="Times New Roman" w:eastAsia="Times New Roman" w:hint="default"/>
        </w:rPr>
        <w:t>“</w:t>
      </w:r>
      <w:r>
        <w:rPr/>
        <w:t>乾乾君子，泱泱华夏；忠信贞固，信息报国</w:t>
      </w:r>
      <w:r>
        <w:rPr>
          <w:rFonts w:ascii="Times New Roman" w:hAnsi="Times New Roman" w:cs="Times New Roman" w:eastAsia="Times New Roman" w:hint="default"/>
        </w:rPr>
        <w:t>”</w:t>
      </w:r>
      <w:r>
        <w:rPr/>
        <w:t>的经营理念，坚持</w:t>
      </w:r>
      <w:r>
        <w:rPr>
          <w:rFonts w:ascii="Times New Roman" w:hAnsi="Times New Roman" w:cs="Times New Roman" w:eastAsia="Times New Roman" w:hint="default"/>
        </w:rPr>
        <w:t>“</w:t>
      </w:r>
      <w:r>
        <w:rPr/>
        <w:t>对外合作共赢，对内 </w:t>
      </w:r>
      <w:r>
        <w:rPr>
          <w:spacing w:val="-2"/>
        </w:rPr>
        <w:t>重视创新、公平竞争的开放精神；以客户为中心的感恩精神；坦荡干净和坚持自我批判的君子精神；以奋斗者为本并坚持长</w:t>
      </w:r>
      <w:r>
        <w:rPr>
          <w:spacing w:val="-66"/>
        </w:rPr>
        <w:t> </w:t>
      </w:r>
      <w:r>
        <w:rPr>
          <w:spacing w:val="-66"/>
        </w:rPr>
      </w:r>
      <w:r>
        <w:rPr/>
        <w:t>期艰苦奋斗的奋斗精神</w:t>
      </w:r>
      <w:r>
        <w:rPr>
          <w:rFonts w:ascii="Times New Roman" w:hAnsi="Times New Roman" w:cs="Times New Roman" w:eastAsia="Times New Roman" w:hint="default"/>
        </w:rPr>
        <w:t>”</w:t>
      </w:r>
      <w:r>
        <w:rPr/>
        <w:t>的企业核心价值观，利用企业文化作为导航和支撑，用文化树立企业信誉，用文化传播企业形象， </w:t>
      </w:r>
      <w:r>
        <w:rPr>
          <w:spacing w:val="-2"/>
        </w:rPr>
        <w:t>用文化打造企业品牌，用文化提升企业竞争，必将在国家的智慧城市、公共安全、政府及军队信息化等智慧行业不断做出卓</w:t>
      </w:r>
      <w:r>
        <w:rPr>
          <w:spacing w:val="-66"/>
        </w:rPr>
        <w:t> </w:t>
      </w:r>
      <w:r>
        <w:rPr>
          <w:spacing w:val="-66"/>
        </w:rPr>
      </w:r>
      <w:r>
        <w:rPr>
          <w:spacing w:val="-4"/>
        </w:rPr>
        <w:t>越贡献，成为受人尊敬的国际领先的民族企业，树立科技报国创新驱动的典范，为公司实现健康稳定可持续的发展奠定基础，</w:t>
      </w:r>
      <w:r>
        <w:rPr>
          <w:spacing w:val="-44"/>
        </w:rPr>
        <w:t> </w:t>
      </w:r>
      <w:r>
        <w:rPr>
          <w:spacing w:val="-44"/>
        </w:rPr>
      </w:r>
      <w:r>
        <w:rPr/>
        <w:t>为实现公司做稳、做强、做大，并朝着中国最好的智慧城市建设与运营服务商的战略目标而努力奋斗。</w:t>
      </w:r>
    </w:p>
    <w:p>
      <w:pPr>
        <w:pStyle w:val="Heading5"/>
        <w:spacing w:line="240" w:lineRule="auto" w:before="22"/>
        <w:ind w:right="0"/>
        <w:jc w:val="left"/>
        <w:rPr>
          <w:b w:val="0"/>
          <w:bCs w:val="0"/>
        </w:rPr>
      </w:pPr>
      <w:r>
        <w:rPr/>
        <w:t>（三）</w:t>
      </w:r>
      <w:r>
        <w:rPr>
          <w:rFonts w:ascii="Times New Roman" w:hAnsi="Times New Roman" w:cs="Times New Roman" w:eastAsia="Times New Roman" w:hint="default"/>
        </w:rPr>
        <w:t>2019</w:t>
      </w:r>
      <w:r>
        <w:rPr/>
        <w:t>年主要经营计划</w:t>
      </w:r>
      <w:r>
        <w:rPr>
          <w:b w:val="0"/>
          <w:bCs w:val="0"/>
        </w:rPr>
      </w:r>
    </w:p>
    <w:p>
      <w:pPr>
        <w:pStyle w:val="BodyText"/>
        <w:spacing w:line="312" w:lineRule="auto" w:before="63"/>
        <w:ind w:right="1032" w:firstLine="360"/>
        <w:jc w:val="left"/>
      </w:pPr>
      <w:r>
        <w:rPr>
          <w:rFonts w:ascii="Times New Roman" w:hAnsi="Times New Roman" w:cs="Times New Roman" w:eastAsia="Times New Roman" w:hint="default"/>
          <w:spacing w:val="-2"/>
        </w:rPr>
        <w:t>2019</w:t>
      </w:r>
      <w:r>
        <w:rPr>
          <w:spacing w:val="-2"/>
        </w:rPr>
        <w:t>年，公司在董事会的领导下，将继续按照公司发展战略，进一步加强内控管理，进一步提高公司运作水平，发挥各</w:t>
      </w:r>
      <w:r>
        <w:rPr/>
        <w:t> </w:t>
      </w:r>
      <w:r>
        <w:rPr>
          <w:spacing w:val="-2"/>
        </w:rPr>
        <w:t>子公司之间的资源共享、优势互补的协同效应，进一步完善内控制度，强化公司规范运作能力，进一步加强精细化管理，发</w:t>
      </w:r>
      <w:r>
        <w:rPr>
          <w:spacing w:val="-66"/>
        </w:rPr>
        <w:t> </w:t>
      </w:r>
      <w:r>
        <w:rPr>
          <w:spacing w:val="-66"/>
        </w:rPr>
      </w:r>
      <w:r>
        <w:rPr>
          <w:spacing w:val="-2"/>
        </w:rPr>
        <w:t>挥协同效应，促进公司高质量发展，继续加大对智慧城市核心业务及创新业务的研发投入，提升公司研发创新水平，提升公</w:t>
      </w:r>
      <w:r>
        <w:rPr>
          <w:spacing w:val="-66"/>
        </w:rPr>
        <w:t> </w:t>
      </w:r>
      <w:r>
        <w:rPr>
          <w:spacing w:val="-66"/>
        </w:rPr>
      </w:r>
      <w:r>
        <w:rPr/>
        <w:t>司核心竞争力，坚持以市场为导向，以发展为主题，以科技为依托，以创新为动力，以经济效益为中心，实现资本多元化， </w:t>
      </w:r>
      <w:r>
        <w:rPr>
          <w:spacing w:val="-2"/>
        </w:rPr>
        <w:t>经营专业化，深挖企业内部和市场潜力，优化产业链，继续做大、做强、做精主导产业，做实战略规划、资本运作、风险管</w:t>
      </w:r>
      <w:r>
        <w:rPr>
          <w:spacing w:val="-67"/>
        </w:rPr>
        <w:t> </w:t>
      </w:r>
      <w:r>
        <w:rPr>
          <w:spacing w:val="-67"/>
        </w:rPr>
      </w:r>
      <w:r>
        <w:rPr/>
        <w:t>控三大职能，提升企业综合运营能力，努力全面完成 </w:t>
      </w:r>
      <w:r>
        <w:rPr>
          <w:rFonts w:ascii="Times New Roman" w:hAnsi="Times New Roman" w:cs="Times New Roman" w:eastAsia="Times New Roman" w:hint="default"/>
        </w:rPr>
        <w:t>2019</w:t>
      </w:r>
      <w:r>
        <w:rPr>
          <w:rFonts w:ascii="Times New Roman" w:hAnsi="Times New Roman" w:cs="Times New Roman" w:eastAsia="Times New Roman" w:hint="default"/>
          <w:spacing w:val="-21"/>
        </w:rPr>
        <w:t> </w:t>
      </w:r>
      <w:r>
        <w:rPr/>
        <w:t>年度各项经营任务目标。同时继续加强与军工企业、科研院所的 </w:t>
      </w:r>
      <w:r>
        <w:rPr>
          <w:spacing w:val="-4"/>
        </w:rPr>
        <w:t>深入合作，促进军民融合战略的实施和推进，注重人才梯队建设，完善人才激励机制和企业文化，助推公司长期可持续发展，</w:t>
      </w:r>
      <w:r>
        <w:rPr>
          <w:spacing w:val="-46"/>
        </w:rPr>
        <w:t> </w:t>
      </w:r>
      <w:r>
        <w:rPr>
          <w:spacing w:val="-46"/>
        </w:rPr>
      </w:r>
      <w:r>
        <w:rPr/>
        <w:t>打造智慧科技创新产业生态圈，将公司打造成智慧中国市场建设、投资与运营服务的龙头企业。</w:t>
      </w:r>
    </w:p>
    <w:p>
      <w:pPr>
        <w:pStyle w:val="Heading5"/>
        <w:spacing w:line="240" w:lineRule="auto" w:before="22"/>
        <w:ind w:right="0"/>
        <w:jc w:val="left"/>
        <w:rPr>
          <w:b w:val="0"/>
          <w:bCs w:val="0"/>
        </w:rPr>
      </w:pPr>
      <w:r>
        <w:rPr>
          <w:rFonts w:ascii="Times New Roman" w:hAnsi="Times New Roman" w:cs="Times New Roman" w:eastAsia="Times New Roman" w:hint="default"/>
        </w:rPr>
        <w:t>1</w:t>
      </w:r>
      <w:r>
        <w:rPr/>
        <w:t>、进一步加强内控管理，提升公司运作效率和管理水平，进一步促进公司合规经营</w:t>
      </w:r>
      <w:r>
        <w:rPr>
          <w:b w:val="0"/>
          <w:bCs w:val="0"/>
        </w:rPr>
      </w:r>
    </w:p>
    <w:p>
      <w:pPr>
        <w:pStyle w:val="BodyText"/>
        <w:spacing w:line="312" w:lineRule="auto" w:before="63"/>
        <w:ind w:right="1050" w:firstLine="290"/>
        <w:jc w:val="both"/>
      </w:pPr>
      <w:r>
        <w:rPr>
          <w:rFonts w:ascii="Times New Roman" w:hAnsi="Times New Roman" w:cs="Times New Roman" w:eastAsia="Times New Roman" w:hint="default"/>
        </w:rPr>
        <w:t>2019</w:t>
      </w:r>
      <w:r>
        <w:rPr/>
        <w:t>年，公司经营管理层将严格按照董事会制定的经营发展战略，围绕战略管理的核心职能全力开展工作，严格按照公 </w:t>
      </w:r>
      <w:r>
        <w:rPr>
          <w:spacing w:val="-2"/>
        </w:rPr>
        <w:t>司《内部控制制度》、《内部审计制度》等制度，规范公司治理结构，完善内控制度和内控管理体系，加强对公司及下属各</w:t>
      </w:r>
      <w:r>
        <w:rPr>
          <w:spacing w:val="-67"/>
        </w:rPr>
        <w:t> </w:t>
      </w:r>
      <w:r>
        <w:rPr>
          <w:spacing w:val="-67"/>
        </w:rPr>
      </w:r>
      <w:r>
        <w:rPr>
          <w:spacing w:val="-2"/>
        </w:rPr>
        <w:t>子公司的生产经营、财务、人力资源等多方面有效的内部控制监督管理，加大过程管控力度，提高执行力，以各项任务指标</w:t>
      </w:r>
      <w:r>
        <w:rPr>
          <w:spacing w:val="-66"/>
        </w:rPr>
        <w:t> </w:t>
      </w:r>
      <w:r>
        <w:rPr>
          <w:spacing w:val="-66"/>
        </w:rPr>
      </w:r>
      <w:r>
        <w:rPr/>
        <w:t>的完成推动公司战略目标的达成，提升公司运作效率和管理水平，进一步促进公司合规经营，实现公司做稳、做强、做大，</w:t>
      </w:r>
    </w:p>
    <w:p>
      <w:pPr>
        <w:spacing w:after="0" w:line="312"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ind w:right="0"/>
        <w:jc w:val="left"/>
      </w:pPr>
      <w:r>
        <w:rPr/>
        <w:t>更好地维护公司全体股东的利益。</w:t>
      </w:r>
    </w:p>
    <w:p>
      <w:pPr>
        <w:spacing w:line="300" w:lineRule="auto" w:before="76"/>
        <w:ind w:left="514" w:right="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、加强精细化管理，发挥协同效应，促进公司高质量发展</w:t>
      </w:r>
      <w:r>
        <w:rPr>
          <w:rFonts w:ascii="宋体" w:hAnsi="宋体" w:cs="宋体" w:eastAsia="宋体" w:hint="default"/>
          <w:b/>
          <w:bCs/>
          <w:w w:val="99"/>
          <w:sz w:val="18"/>
          <w:szCs w:val="18"/>
        </w:rPr>
        <w:t> </w:t>
      </w:r>
      <w:r>
        <w:rPr>
          <w:rFonts w:ascii="宋体" w:hAnsi="宋体" w:cs="宋体" w:eastAsia="宋体" w:hint="default"/>
          <w:spacing w:val="-2"/>
          <w:sz w:val="18"/>
          <w:szCs w:val="18"/>
        </w:rPr>
        <w:t>在董事会的领导下，按照公司经营发展目标，进一步加强精细化管理，对内挖潜增效、去存降本，加强工艺改进，全面</w:t>
      </w:r>
    </w:p>
    <w:p>
      <w:pPr>
        <w:pStyle w:val="BodyText"/>
        <w:spacing w:line="312" w:lineRule="auto" w:before="31"/>
        <w:ind w:right="1032"/>
        <w:jc w:val="left"/>
      </w:pPr>
      <w:r>
        <w:rPr/>
        <w:t>重整管理架构，从战略、需求管理、质量管理和端到端交付等方面构建公司的核心竞争力。规避经营风险，推动管理改进； </w:t>
      </w:r>
      <w:r>
        <w:rPr>
          <w:spacing w:val="-2"/>
        </w:rPr>
        <w:t>对外开拓市场，坚持</w:t>
      </w:r>
      <w:r>
        <w:rPr>
          <w:rFonts w:ascii="Times New Roman" w:hAnsi="Times New Roman" w:cs="Times New Roman" w:eastAsia="Times New Roman" w:hint="default"/>
          <w:spacing w:val="-2"/>
        </w:rPr>
        <w:t>“</w:t>
      </w:r>
      <w:r>
        <w:rPr>
          <w:spacing w:val="-2"/>
        </w:rPr>
        <w:t>客户导向、求实创新、诚实守信、合作共赢</w:t>
      </w:r>
      <w:r>
        <w:rPr>
          <w:rFonts w:ascii="Times New Roman" w:hAnsi="Times New Roman" w:cs="Times New Roman" w:eastAsia="Times New Roman" w:hint="default"/>
          <w:spacing w:val="-2"/>
        </w:rPr>
        <w:t>”</w:t>
      </w:r>
      <w:r>
        <w:rPr>
          <w:spacing w:val="-2"/>
        </w:rPr>
        <w:t>的市场价值观，扩大市场份额，充分发挥各子公司之间的</w:t>
      </w:r>
      <w:r>
        <w:rPr>
          <w:spacing w:val="-45"/>
        </w:rPr>
        <w:t> </w:t>
      </w:r>
      <w:r>
        <w:rPr>
          <w:spacing w:val="-45"/>
        </w:rPr>
      </w:r>
      <w:r>
        <w:rPr>
          <w:spacing w:val="-2"/>
        </w:rPr>
        <w:t>资源共享、优势互补的协同效应，协同公司各子公司、各部门相互交流并展开协同，如产品、技术、管理、市场等方面的协</w:t>
      </w:r>
      <w:r>
        <w:rPr>
          <w:spacing w:val="-72"/>
        </w:rPr>
        <w:t> </w:t>
      </w:r>
      <w:r>
        <w:rPr>
          <w:spacing w:val="-72"/>
        </w:rPr>
      </w:r>
      <w:r>
        <w:rPr/>
        <w:t>同，发挥团队作战优势，确保经营稳健，资产质量优良，从而促进公司高质量发展，实现公司健康、稳定和可持续的发展。</w:t>
      </w:r>
    </w:p>
    <w:p>
      <w:pPr>
        <w:spacing w:line="300" w:lineRule="auto" w:before="22"/>
        <w:ind w:left="514" w:right="1232" w:firstLine="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、继续大力发展智慧城市的投资、建设与运营服务</w:t>
      </w:r>
      <w:r>
        <w:rPr>
          <w:rFonts w:ascii="宋体" w:hAnsi="宋体" w:cs="宋体" w:eastAsia="宋体" w:hint="default"/>
          <w:b/>
          <w:bCs/>
          <w:w w:val="99"/>
          <w:sz w:val="18"/>
          <w:szCs w:val="18"/>
        </w:rPr>
        <w:t> </w:t>
      </w:r>
      <w:r>
        <w:rPr>
          <w:rFonts w:ascii="宋体" w:hAnsi="宋体" w:cs="宋体" w:eastAsia="宋体" w:hint="default"/>
          <w:sz w:val="18"/>
          <w:szCs w:val="18"/>
        </w:rPr>
        <w:t>公司作为目前中国具有国家多部委颁发的九个</w:t>
      </w:r>
      <w:r>
        <w:rPr>
          <w:rFonts w:ascii="Times New Roman" w:hAnsi="Times New Roman" w:cs="Times New Roman" w:eastAsia="Times New Roman" w:hint="default"/>
          <w:sz w:val="18"/>
          <w:szCs w:val="18"/>
        </w:rPr>
        <w:t>“</w:t>
      </w:r>
      <w:r>
        <w:rPr>
          <w:rFonts w:ascii="宋体" w:hAnsi="宋体" w:cs="宋体" w:eastAsia="宋体" w:hint="default"/>
          <w:sz w:val="18"/>
          <w:szCs w:val="18"/>
        </w:rPr>
        <w:t>甲级</w:t>
      </w:r>
      <w:r>
        <w:rPr>
          <w:rFonts w:ascii="Times New Roman" w:hAnsi="Times New Roman" w:cs="Times New Roman" w:eastAsia="Times New Roman" w:hint="default"/>
          <w:sz w:val="18"/>
          <w:szCs w:val="18"/>
        </w:rPr>
        <w:t>”</w:t>
      </w:r>
      <w:r>
        <w:rPr>
          <w:rFonts w:ascii="宋体" w:hAnsi="宋体" w:cs="宋体" w:eastAsia="宋体" w:hint="default"/>
          <w:sz w:val="18"/>
          <w:szCs w:val="18"/>
        </w:rPr>
        <w:t>资质的总集成商、整体解决方案供应商及新型智慧城市运营服务</w:t>
      </w:r>
    </w:p>
    <w:p>
      <w:pPr>
        <w:pStyle w:val="BodyText"/>
        <w:spacing w:line="312" w:lineRule="auto" w:before="13"/>
        <w:ind w:right="1032"/>
        <w:jc w:val="left"/>
      </w:pPr>
      <w:r>
        <w:rPr>
          <w:spacing w:val="-2"/>
        </w:rPr>
        <w:t>商，将紧紧把握国家大力发展智慧城市的市场机遇，专注于智慧科技方向的尖端传感器（芯片）、人工智能、物联网、产业</w:t>
      </w:r>
      <w:r>
        <w:rPr>
          <w:spacing w:val="-71"/>
        </w:rPr>
        <w:t> </w:t>
      </w:r>
      <w:r>
        <w:rPr>
          <w:spacing w:val="-71"/>
        </w:rPr>
      </w:r>
      <w:r>
        <w:rPr/>
        <w:t>互联网、大数据、云计算与云存储、智慧应用软件等关键技术的研究和开发，全面掌握核心技术；专注于智慧城市的建设、 </w:t>
      </w:r>
      <w:r>
        <w:rPr>
          <w:spacing w:val="-4"/>
        </w:rPr>
        <w:t>投资与运营，以信息化、大数据和云计算为支撑，聚焦智慧中国三大核心市场（客户）：</w:t>
      </w:r>
      <w:r>
        <w:rPr>
          <w:rFonts w:ascii="Times New Roman" w:hAnsi="Times New Roman" w:cs="Times New Roman" w:eastAsia="Times New Roman" w:hint="default"/>
          <w:spacing w:val="-4"/>
        </w:rPr>
        <w:t>“</w:t>
      </w:r>
      <w:r>
        <w:rPr>
          <w:spacing w:val="-4"/>
        </w:rPr>
        <w:t>智慧城市（政府）、智慧国防（军</w:t>
      </w:r>
      <w:r>
        <w:rPr>
          <w:spacing w:val="-38"/>
        </w:rPr>
        <w:t> </w:t>
      </w:r>
      <w:r>
        <w:rPr>
          <w:spacing w:val="-38"/>
        </w:rPr>
      </w:r>
      <w:r>
        <w:rPr/>
        <w:t>队）、智慧行业（国土、交通、通信、金融等）</w:t>
      </w:r>
      <w:r>
        <w:rPr>
          <w:rFonts w:ascii="Times New Roman" w:hAnsi="Times New Roman" w:cs="Times New Roman" w:eastAsia="Times New Roman" w:hint="default"/>
        </w:rPr>
        <w:t>”</w:t>
      </w:r>
      <w:r>
        <w:rPr/>
        <w:t>，已形成面向智慧社会治理、智慧民生服务、智慧产业经济等三位一体的 </w:t>
      </w:r>
      <w:r>
        <w:rPr>
          <w:spacing w:val="-2"/>
        </w:rPr>
        <w:t>完全自主可控、国内领先且具有国际竞争力的核心技术、产品和全面解决方案，提高公司在智慧城市的运行效率并不断精益</w:t>
      </w:r>
      <w:r>
        <w:rPr>
          <w:spacing w:val="-66"/>
        </w:rPr>
        <w:t> </w:t>
      </w:r>
      <w:r>
        <w:rPr>
          <w:spacing w:val="-66"/>
        </w:rPr>
      </w:r>
      <w:r>
        <w:rPr>
          <w:spacing w:val="-2"/>
        </w:rPr>
        <w:t>求精地复制，增强公司在公共安全与反恐、智能城市领域中的综合实力和市场竞争力，促进公司在智慧城市业务的规划、设</w:t>
      </w:r>
      <w:r>
        <w:rPr>
          <w:spacing w:val="-66"/>
        </w:rPr>
        <w:t> </w:t>
      </w:r>
      <w:r>
        <w:rPr>
          <w:spacing w:val="-66"/>
        </w:rPr>
      </w:r>
      <w:r>
        <w:rPr>
          <w:spacing w:val="-3"/>
        </w:rPr>
        <w:t>计、建设、投资与运营等方面的更好发展，以加速形成并夯实</w:t>
      </w:r>
      <w:r>
        <w:rPr>
          <w:rFonts w:ascii="Times New Roman" w:hAnsi="Times New Roman" w:cs="Times New Roman" w:eastAsia="Times New Roman" w:hint="default"/>
          <w:spacing w:val="-3"/>
        </w:rPr>
        <w:t>“</w:t>
      </w:r>
      <w:r>
        <w:rPr>
          <w:spacing w:val="-3"/>
        </w:rPr>
        <w:t>中国最好的智慧城市建设与运营服务商</w:t>
      </w:r>
      <w:r>
        <w:rPr>
          <w:rFonts w:ascii="Times New Roman" w:hAnsi="Times New Roman" w:cs="Times New Roman" w:eastAsia="Times New Roman" w:hint="default"/>
          <w:spacing w:val="-3"/>
        </w:rPr>
        <w:t>”</w:t>
      </w:r>
      <w:r>
        <w:rPr>
          <w:spacing w:val="-3"/>
        </w:rPr>
        <w:t>的行业龙头品牌地位。</w:t>
      </w:r>
    </w:p>
    <w:p>
      <w:pPr>
        <w:spacing w:line="300" w:lineRule="auto" w:before="3"/>
        <w:ind w:left="514" w:right="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、继续加大对智慧城市核心业务及创新业务的研发投入，提升公司研发创新水平</w:t>
      </w:r>
      <w:r>
        <w:rPr>
          <w:rFonts w:ascii="宋体" w:hAnsi="宋体" w:cs="宋体" w:eastAsia="宋体" w:hint="default"/>
          <w:b/>
          <w:bCs/>
          <w:w w:val="99"/>
          <w:sz w:val="18"/>
          <w:szCs w:val="18"/>
        </w:rPr>
        <w:t> </w:t>
      </w:r>
      <w:r>
        <w:rPr>
          <w:rFonts w:ascii="宋体" w:hAnsi="宋体" w:cs="宋体" w:eastAsia="宋体" w:hint="default"/>
          <w:spacing w:val="-2"/>
          <w:sz w:val="18"/>
          <w:szCs w:val="18"/>
        </w:rPr>
        <w:t>公司将继续坚持以技术持续创新为基础，以技术适宜应用为重点，进一步实行资源管理制与项目管理制相结合的管理模</w:t>
      </w:r>
    </w:p>
    <w:p>
      <w:pPr>
        <w:pStyle w:val="BodyText"/>
        <w:spacing w:line="316" w:lineRule="auto" w:before="31"/>
        <w:ind w:right="1130"/>
        <w:jc w:val="both"/>
      </w:pPr>
      <w:r>
        <w:rPr>
          <w:spacing w:val="-2"/>
        </w:rPr>
        <w:t>式，建立完善的技术创新体系和激励约束制度，继续加强与高校、科研院所的合作，成立联合研发中心、培养技术人才，重</w:t>
      </w:r>
      <w:r>
        <w:rPr>
          <w:spacing w:val="-67"/>
        </w:rPr>
        <w:t> </w:t>
      </w:r>
      <w:r>
        <w:rPr>
          <w:spacing w:val="-67"/>
        </w:rPr>
      </w:r>
      <w:r>
        <w:rPr>
          <w:spacing w:val="-2"/>
        </w:rPr>
        <w:t>点围绕人工智能、物联网、大数据、云计算和区块链等面向未来的核心技术增强研发能力，以保持公司技术上持续的领先优</w:t>
      </w:r>
      <w:r>
        <w:rPr>
          <w:spacing w:val="-66"/>
        </w:rPr>
        <w:t> </w:t>
      </w:r>
      <w:r>
        <w:rPr>
          <w:spacing w:val="-66"/>
        </w:rPr>
      </w:r>
      <w:r>
        <w:rPr/>
        <w:t>势，运用领先的创新能力，持续探索和掌握发展新机遇，为公司打开全新的增长空间。</w:t>
      </w:r>
    </w:p>
    <w:p>
      <w:pPr>
        <w:pStyle w:val="BodyText"/>
        <w:spacing w:line="319" w:lineRule="auto" w:before="19"/>
        <w:ind w:right="1131" w:firstLine="360"/>
        <w:jc w:val="both"/>
      </w:pPr>
      <w:r>
        <w:rPr>
          <w:spacing w:val="-2"/>
        </w:rPr>
        <w:t>公司将持续整合人工智能、云计算和大数据、物联网等资源，坚持以市场需求为导向，加强产品创新和升级，在智慧城</w:t>
      </w:r>
      <w:r>
        <w:rPr/>
        <w:t> </w:t>
      </w:r>
      <w:r>
        <w:rPr>
          <w:spacing w:val="-2"/>
        </w:rPr>
        <w:t>市业务领域提升项目储备和产品储备，不断探索其在智慧城市物联网领域的应用，继续围绕智慧城市领域探索不同的业务模</w:t>
      </w:r>
      <w:r>
        <w:rPr>
          <w:spacing w:val="-64"/>
        </w:rPr>
        <w:t> </w:t>
      </w:r>
      <w:r>
        <w:rPr>
          <w:spacing w:val="-64"/>
        </w:rPr>
      </w:r>
      <w:r>
        <w:rPr/>
        <w:t>式，持续加大对创新业务的投入，从创新业务中挖掘新的增长点。</w:t>
      </w:r>
    </w:p>
    <w:p>
      <w:pPr>
        <w:spacing w:line="300" w:lineRule="auto" w:before="17"/>
        <w:ind w:left="514" w:right="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、注重人才梯队建设，完善人才激励机制和企业文化，助推公司长期可持续发展</w:t>
      </w:r>
      <w:r>
        <w:rPr>
          <w:rFonts w:ascii="宋体" w:hAnsi="宋体" w:cs="宋体" w:eastAsia="宋体" w:hint="default"/>
          <w:b/>
          <w:bCs/>
          <w:w w:val="99"/>
          <w:sz w:val="18"/>
          <w:szCs w:val="18"/>
        </w:rPr>
        <w:t> </w:t>
      </w:r>
      <w:r>
        <w:rPr>
          <w:rFonts w:ascii="宋体" w:hAnsi="宋体" w:cs="宋体" w:eastAsia="宋体" w:hint="default"/>
          <w:spacing w:val="-2"/>
          <w:sz w:val="18"/>
          <w:szCs w:val="18"/>
        </w:rPr>
        <w:t>公司将坚持以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以奋斗者为本</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的企业文化和价值导向，构建企业发展的核心动力。多渠道引进高素质的经营管理人才和</w:t>
      </w:r>
    </w:p>
    <w:p>
      <w:pPr>
        <w:pStyle w:val="BodyText"/>
        <w:spacing w:line="312" w:lineRule="auto" w:before="13"/>
        <w:ind w:right="0"/>
        <w:jc w:val="left"/>
      </w:pPr>
      <w:r>
        <w:rPr/>
        <w:t>能力强的专业技术人才，通过引进顶尖专业人才和大力培养、重用校招培训生等措施，打造核心技术和管理团队</w:t>
      </w:r>
      <w:r>
        <w:rPr>
          <w:rFonts w:ascii="Times New Roman" w:hAnsi="Times New Roman" w:cs="Times New Roman" w:eastAsia="Times New Roman" w:hint="default"/>
        </w:rPr>
        <w:t>,</w:t>
      </w:r>
      <w:r>
        <w:rPr/>
        <w:t>优化人才 </w:t>
      </w:r>
      <w:r>
        <w:rPr>
          <w:spacing w:val="-4"/>
        </w:rPr>
        <w:t>结构，形成一支能够适应市场竞争和公司发展需求的人才队伍；进一步建立符合现代企业制度要求的激励机制和培训机制等，</w:t>
      </w:r>
      <w:r>
        <w:rPr>
          <w:spacing w:val="-43"/>
        </w:rPr>
        <w:t> </w:t>
      </w:r>
      <w:r>
        <w:rPr>
          <w:spacing w:val="-43"/>
        </w:rPr>
      </w:r>
      <w:r>
        <w:rPr>
          <w:spacing w:val="-2"/>
        </w:rPr>
        <w:t>持续建设与国际接轨的人力资源管理体系，以支撑公司在新战略下的业务运营模式，为公司实现健康稳定可持续的发展奠定</w:t>
      </w:r>
      <w:r>
        <w:rPr>
          <w:spacing w:val="-64"/>
        </w:rPr>
        <w:t> </w:t>
      </w:r>
      <w:r>
        <w:rPr>
          <w:spacing w:val="-64"/>
        </w:rPr>
      </w:r>
      <w:r>
        <w:rPr/>
        <w:t>人才基础，助推公司长期可持续发展。</w:t>
      </w:r>
    </w:p>
    <w:p>
      <w:pPr>
        <w:pStyle w:val="Heading5"/>
        <w:spacing w:line="240" w:lineRule="auto" w:before="22"/>
        <w:ind w:right="0"/>
        <w:jc w:val="left"/>
        <w:rPr>
          <w:b w:val="0"/>
          <w:bCs w:val="0"/>
        </w:rPr>
      </w:pPr>
      <w:r>
        <w:rPr/>
        <w:t>（四）可能面对的风险因素</w:t>
      </w:r>
      <w:r>
        <w:rPr>
          <w:b w:val="0"/>
          <w:bCs w:val="0"/>
        </w:rPr>
      </w:r>
    </w:p>
    <w:p>
      <w:pPr>
        <w:pStyle w:val="BodyText"/>
        <w:spacing w:line="314" w:lineRule="auto" w:before="76"/>
        <w:ind w:right="1032" w:firstLine="360"/>
        <w:jc w:val="left"/>
      </w:pPr>
      <w:r>
        <w:rPr>
          <w:rFonts w:ascii="Times New Roman" w:hAnsi="Times New Roman" w:cs="Times New Roman" w:eastAsia="Times New Roman" w:hint="default"/>
        </w:rPr>
        <w:t>1</w:t>
      </w:r>
      <w:r>
        <w:rPr/>
        <w:t>、政策与市场竞争风险。公司智慧城市、公共安全与反恐业务主要以建设、投资与运营模式为主的政府投资行为，受 国家政策和地方政策投资决策影响程度较大，订单业绩较易受到国家宏观政策和政府部门投资计划的影响。随着人工智能、 </w:t>
      </w:r>
      <w:r>
        <w:rPr>
          <w:spacing w:val="-2"/>
        </w:rPr>
        <w:t>物联网、大数据等新一代信息技术逐步成熟，市场竞争愈发激烈。公司将加强对所处行业的政策、发展方向及产业发展规律</w:t>
      </w:r>
      <w:r>
        <w:rPr>
          <w:spacing w:val="-66"/>
        </w:rPr>
        <w:t> </w:t>
      </w:r>
      <w:r>
        <w:rPr>
          <w:spacing w:val="-66"/>
        </w:rPr>
      </w:r>
      <w:r>
        <w:rPr>
          <w:spacing w:val="-2"/>
        </w:rPr>
        <w:t>的研究，把握政策、市场和行业技术变革先机，加强持续升级自身的产品、技术和解决方案，密切关注所处行业的市场迭代</w:t>
      </w:r>
      <w:r>
        <w:rPr>
          <w:spacing w:val="-66"/>
        </w:rPr>
        <w:t> </w:t>
      </w:r>
      <w:r>
        <w:rPr>
          <w:spacing w:val="-66"/>
        </w:rPr>
      </w:r>
      <w:r>
        <w:rPr/>
        <w:t>及新市场的发展，积极运用新一代信息技术升级产品和解决方案，及时应对政策市场竞争的风险。</w:t>
      </w:r>
    </w:p>
    <w:p>
      <w:pPr>
        <w:pStyle w:val="BodyText"/>
        <w:spacing w:line="314" w:lineRule="auto" w:before="20"/>
        <w:ind w:right="0" w:firstLine="360"/>
        <w:jc w:val="left"/>
      </w:pPr>
      <w:r>
        <w:rPr>
          <w:rFonts w:ascii="Times New Roman" w:hAnsi="Times New Roman" w:cs="Times New Roman" w:eastAsia="Times New Roman" w:hint="default"/>
        </w:rPr>
        <w:t>2</w:t>
      </w:r>
      <w:r>
        <w:rPr/>
        <w:t>、项目与技术更新换代风险。智慧城市项目都是大型系统集成项目，项目实施复杂，项目实施风险较高，投资、建设 </w:t>
      </w:r>
      <w:r>
        <w:rPr>
          <w:spacing w:val="-4"/>
        </w:rPr>
        <w:t>与运营等全过程都必须实行精细化管理，这对公司的综合实力要求非常高，可能会存在项目实施风险；随着云计算、大数据、</w:t>
      </w:r>
      <w:r>
        <w:rPr>
          <w:spacing w:val="-46"/>
        </w:rPr>
        <w:t> </w:t>
      </w:r>
      <w:r>
        <w:rPr>
          <w:spacing w:val="-46"/>
        </w:rPr>
      </w:r>
      <w:r>
        <w:rPr>
          <w:spacing w:val="-2"/>
        </w:rPr>
        <w:t>人工智能等技术的不断演进，行业的业务模式和应用需求可能会随之演变。如果不能密切追踪前沿技术的更新和变化，不能</w:t>
      </w:r>
      <w:r>
        <w:rPr>
          <w:spacing w:val="-66"/>
        </w:rPr>
        <w:t> </w:t>
      </w:r>
      <w:r>
        <w:rPr>
          <w:spacing w:val="-66"/>
        </w:rPr>
      </w:r>
      <w:r>
        <w:rPr>
          <w:spacing w:val="-2"/>
        </w:rPr>
        <w:t>快速实现业务的创新发展，可能面临因无法保持持续创新能力导致市场竞争力下降的风险。公司已总结和积累了实施大型智</w:t>
      </w:r>
      <w:r>
        <w:rPr>
          <w:spacing w:val="-64"/>
        </w:rPr>
        <w:t> </w:t>
      </w:r>
      <w:r>
        <w:rPr>
          <w:spacing w:val="-64"/>
        </w:rPr>
      </w:r>
      <w:r>
        <w:rPr>
          <w:spacing w:val="-2"/>
        </w:rPr>
        <w:t>慧城市项目的成功经验，将不断加强项目管理，细化项目成本管理、项目进度管理、项目风险管理、项目质量管理等一系列</w:t>
      </w:r>
      <w:r>
        <w:rPr>
          <w:spacing w:val="-66"/>
        </w:rPr>
        <w:t> </w:t>
      </w:r>
      <w:r>
        <w:rPr>
          <w:spacing w:val="-66"/>
        </w:rPr>
      </w:r>
      <w:r>
        <w:rPr/>
        <w:t>制度，进一步提升公司项目交付能力，以降低项目实施风险。</w:t>
      </w:r>
    </w:p>
    <w:p>
      <w:pPr>
        <w:pStyle w:val="BodyText"/>
        <w:spacing w:line="300" w:lineRule="auto" w:before="20"/>
        <w:ind w:right="1122" w:firstLine="360"/>
        <w:jc w:val="left"/>
      </w:pPr>
      <w:r>
        <w:rPr>
          <w:rFonts w:ascii="Times New Roman" w:hAnsi="Times New Roman" w:cs="Times New Roman" w:eastAsia="Times New Roman" w:hint="default"/>
        </w:rPr>
        <w:t>3</w:t>
      </w:r>
      <w:r>
        <w:rPr/>
        <w:t>、规模扩张可能带来的人才及管理风险。随着公司业务不断扩展，经营规模不断扩张，经营业绩的增长，资产规模、 </w:t>
      </w:r>
      <w:r>
        <w:rPr>
          <w:spacing w:val="-2"/>
        </w:rPr>
        <w:t>营业收入有较大幅度的增长，规模的扩张将对公司未来的经营管理及人力资源建设等提出更高的要求。公司面对的市场越来</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9" w:lineRule="auto"/>
        <w:ind w:right="1132"/>
        <w:jc w:val="both"/>
      </w:pPr>
      <w:r>
        <w:rPr>
          <w:spacing w:val="-2"/>
        </w:rPr>
        <w:t>越大，公司平台也将越来越大，我们需要更多研发人才、市场拓展人才、物联网人才等中高端人才支撑，如果不能培养或招</w:t>
      </w:r>
      <w:r>
        <w:rPr>
          <w:spacing w:val="-66"/>
        </w:rPr>
        <w:t> </w:t>
      </w:r>
      <w:r>
        <w:rPr>
          <w:spacing w:val="-66"/>
        </w:rPr>
      </w:r>
      <w:r>
        <w:rPr>
          <w:spacing w:val="-2"/>
        </w:rPr>
        <w:t>揽更多人才，会影响公司的发展。公司经营规模和业务范围不断扩大，组织结构日益复杂，对公司管理的要求越来越高，公</w:t>
      </w:r>
      <w:r>
        <w:rPr>
          <w:spacing w:val="-66"/>
        </w:rPr>
        <w:t> </w:t>
      </w:r>
      <w:r>
        <w:rPr>
          <w:spacing w:val="-66"/>
        </w:rPr>
      </w:r>
      <w:r>
        <w:rPr>
          <w:spacing w:val="-2"/>
        </w:rPr>
        <w:t>司的人员也有较大规模的扩充。这些变化对公司的管理将提出新的和更高的要求，也给公司短期内建立和完善适应企业发展</w:t>
      </w:r>
      <w:r>
        <w:rPr>
          <w:spacing w:val="-64"/>
        </w:rPr>
        <w:t> </w:t>
      </w:r>
      <w:r>
        <w:rPr>
          <w:spacing w:val="-64"/>
        </w:rPr>
      </w:r>
      <w:r>
        <w:rPr>
          <w:spacing w:val="-2"/>
        </w:rPr>
        <w:t>需要的管理体系、制度及约束机制带来风险。公司将加快培养一批堪当重任的领军人才，提升人才队伍的职业化程度与专业</w:t>
      </w:r>
      <w:r>
        <w:rPr>
          <w:spacing w:val="-66"/>
        </w:rPr>
        <w:t> </w:t>
      </w:r>
      <w:r>
        <w:rPr>
          <w:spacing w:val="-66"/>
        </w:rPr>
      </w:r>
      <w:r>
        <w:rPr/>
        <w:t>能力。</w:t>
      </w:r>
    </w:p>
    <w:p>
      <w:pPr>
        <w:pStyle w:val="BodyText"/>
        <w:spacing w:line="300" w:lineRule="auto" w:before="17"/>
        <w:ind w:right="1122" w:firstLine="360"/>
        <w:jc w:val="left"/>
      </w:pPr>
      <w:r>
        <w:rPr>
          <w:rFonts w:ascii="Times New Roman" w:hAnsi="Times New Roman" w:cs="Times New Roman" w:eastAsia="Times New Roman" w:hint="default"/>
        </w:rPr>
        <w:t>4</w:t>
      </w:r>
      <w:r>
        <w:rPr/>
        <w:t>、不可控因素带来的其他风险。股票市场价格波动不仅取决于上市公司的发展战略和经营业绩，还受宏观经济周期、 利率、资金供求关系等众多因素的影响，同时也会因国际、国内政治经济形势及投资者心理因素的变化而产生波动。</w:t>
      </w:r>
    </w:p>
    <w:p>
      <w:pPr>
        <w:spacing w:line="240" w:lineRule="auto" w:before="9"/>
        <w:rPr>
          <w:rFonts w:ascii="宋体" w:hAnsi="宋体" w:cs="宋体" w:eastAsia="宋体" w:hint="default"/>
          <w:sz w:val="21"/>
          <w:szCs w:val="21"/>
        </w:rPr>
      </w:pPr>
    </w:p>
    <w:p>
      <w:pPr>
        <w:pStyle w:val="Heading2"/>
        <w:spacing w:line="240" w:lineRule="auto"/>
        <w:ind w:right="0"/>
        <w:jc w:val="both"/>
        <w:rPr>
          <w:b w:val="0"/>
          <w:bCs w:val="0"/>
        </w:rPr>
      </w:pPr>
      <w:bookmarkStart w:name="十、接待调研、沟通、采访等活动" w:id="60"/>
      <w:bookmarkEnd w:id="60"/>
      <w:r>
        <w:rPr>
          <w:b w:val="0"/>
          <w:bCs w:val="0"/>
        </w:rPr>
      </w:r>
      <w:r>
        <w:rPr/>
        <w:t>十、接待调研、沟通、采访等活动</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1、报告期内接待调研、沟通、采访等活动登记表" w:id="61"/>
      <w:bookmarkEnd w:id="61"/>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pStyle w:val="BodyText"/>
        <w:spacing w:line="240" w:lineRule="auto"/>
        <w:ind w:left="7524" w:right="1138"/>
        <w:jc w:val="right"/>
      </w:pPr>
      <w:r>
        <w:rPr/>
        <w:pict>
          <v:shape style="position:absolute;margin-left:56.459999pt;margin-top:-20.978273pt;width:479.25pt;height:56.35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78"/>
                    <w:gridCol w:w="2177"/>
                    <w:gridCol w:w="2177"/>
                    <w:gridCol w:w="3038"/>
                  </w:tblGrid>
                  <w:tr>
                    <w:trPr>
                      <w:trHeight w:val="401"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04"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715"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pacing w:val="-3"/>
                            <w:sz w:val="18"/>
                            <w:szCs w:val="18"/>
                          </w:rPr>
                          <w:t>介绍公司基本情况、</w:t>
                        </w:r>
                        <w:r>
                          <w:rPr>
                            <w:rFonts w:ascii="Times New Roman" w:hAnsi="Times New Roman" w:cs="Times New Roman" w:eastAsia="Times New Roman" w:hint="default"/>
                            <w:spacing w:val="-3"/>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年经营情况</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年经营计划与回购股份情况。</w:t>
                        </w:r>
                      </w:p>
                    </w:tc>
                  </w:tr>
                </w:tbl>
                <w:p>
                  <w:pPr/>
                </w:p>
              </w:txbxContent>
            </v:textbox>
            <w10:wrap type="none"/>
          </v:shape>
        </w:pict>
      </w:r>
      <w:r>
        <w:rPr/>
        <w:t>、</w:t>
      </w:r>
    </w:p>
    <w:p>
      <w:pPr>
        <w:spacing w:after="0" w:line="240" w:lineRule="auto"/>
        <w:jc w:val="righ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2860"/>
        <w:jc w:val="center"/>
        <w:rPr>
          <w:b w:val="0"/>
          <w:bCs w:val="0"/>
        </w:rPr>
      </w:pPr>
      <w:bookmarkStart w:name="_TOC_250007" w:id="62"/>
      <w:bookmarkStart w:name="第五节 重要事项" w:id="63"/>
      <w:r>
        <w:rPr>
          <w:b w:val="0"/>
          <w:bCs w:val="0"/>
        </w:rPr>
      </w:r>
      <w:r>
        <w:rPr/>
        <w:t>第五节</w:t>
      </w:r>
      <w:r>
        <w:rPr>
          <w:spacing w:val="-5"/>
        </w:rPr>
        <w:t> </w:t>
      </w:r>
      <w:r>
        <w:rPr/>
        <w:t>重要事项</w:t>
      </w:r>
      <w:bookmarkEnd w:id="62"/>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公司普通股利润分配及资本公积金转增股本情况" w:id="64"/>
      <w:bookmarkEnd w:id="64"/>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报告期内普通股利润分配政策，特别是现金分红政策的制定、执行或调整情况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left="516" w:right="0"/>
        <w:jc w:val="left"/>
      </w:pPr>
      <w:r>
        <w:rPr/>
        <w:t>公司自上市以来，在兼顾公司可持续发展的前提下，历来重视投资者回报。公司己制定了</w:t>
      </w:r>
      <w:r>
        <w:rPr>
          <w:rFonts w:ascii="Times New Roman" w:hAnsi="Times New Roman" w:cs="Times New Roman" w:eastAsia="Times New Roman" w:hint="default"/>
        </w:rPr>
        <w:t>2015-2017</w:t>
      </w:r>
      <w:r>
        <w:rPr/>
        <w:t>年以及正在执行的</w:t>
      </w:r>
    </w:p>
    <w:p>
      <w:pPr>
        <w:pStyle w:val="BodyText"/>
        <w:spacing w:line="300" w:lineRule="auto" w:before="63"/>
        <w:ind w:right="1031"/>
        <w:jc w:val="left"/>
      </w:pPr>
      <w:r>
        <w:rPr>
          <w:spacing w:val="-1"/>
        </w:rPr>
        <w:t>《公司未来三年股东回报规划（</w:t>
      </w:r>
      <w:r>
        <w:rPr>
          <w:rFonts w:ascii="Times New Roman" w:hAnsi="Times New Roman" w:cs="Times New Roman" w:eastAsia="Times New Roman" w:hint="default"/>
          <w:spacing w:val="-1"/>
        </w:rPr>
        <w:t>2018-2020</w:t>
      </w:r>
      <w:r>
        <w:rPr>
          <w:spacing w:val="-1"/>
        </w:rPr>
        <w:t>）》，明确了利润分配原则、利润分配方式、现金分红的条件、现金分红的比例、</w:t>
      </w:r>
      <w:r>
        <w:rPr/>
        <w:t> </w:t>
      </w:r>
      <w:r>
        <w:rPr>
          <w:spacing w:val="-2"/>
        </w:rPr>
        <w:t>分配股票股利的条件、分配股票股利的最低比例、利润分配的决策程序、有关利润分配的信息披露事项等。公司将严格按照</w:t>
      </w:r>
    </w:p>
    <w:p>
      <w:pPr>
        <w:pStyle w:val="BodyText"/>
        <w:spacing w:line="240" w:lineRule="auto" w:before="31"/>
        <w:ind w:right="0"/>
        <w:jc w:val="left"/>
      </w:pPr>
      <w:r>
        <w:rPr/>
        <w:t>《公司章程》的规定，实施利润分配政策，强化回报股东意识，满足股东的合理投资回报和公司长远发展的要求。</w:t>
      </w:r>
    </w:p>
    <w:p>
      <w:pPr>
        <w:spacing w:line="240" w:lineRule="auto" w:before="11"/>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1"/>
        <w:ind w:right="0"/>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w:t>
      </w:r>
      <w:r>
        <w:rPr>
          <w:spacing w:val="1"/>
        </w:rPr>
        <w:t>（</w:t>
      </w:r>
      <w:r>
        <w:rPr/>
        <w:t>包括本报告期）的普通股股利分配方案（预案</w:t>
      </w:r>
      <w:r>
        <w:rPr>
          <w:spacing w:val="-90"/>
        </w:rPr>
        <w:t>）</w:t>
      </w:r>
      <w:r>
        <w:rPr/>
        <w:t>、资本公积金转增股本方案（预案）情况</w:t>
      </w:r>
    </w:p>
    <w:p>
      <w:pPr>
        <w:pStyle w:val="BodyText"/>
        <w:spacing w:line="300" w:lineRule="auto" w:before="102"/>
        <w:ind w:right="1140" w:firstLine="300"/>
        <w:jc w:val="both"/>
      </w:pPr>
      <w:r>
        <w:rPr/>
        <w:t>（</w:t>
      </w:r>
      <w:r>
        <w:rPr>
          <w:rFonts w:ascii="Times New Roman" w:hAnsi="Times New Roman" w:cs="Times New Roman" w:eastAsia="Times New Roman" w:hint="default"/>
        </w:rPr>
        <w:t>1</w:t>
      </w:r>
      <w:r>
        <w:rPr/>
        <w:t>）经大华会计师事务所（特殊普通合伙）审计，公司</w:t>
      </w:r>
      <w:r>
        <w:rPr>
          <w:rFonts w:ascii="Times New Roman" w:hAnsi="Times New Roman" w:cs="Times New Roman" w:eastAsia="Times New Roman" w:hint="default"/>
        </w:rPr>
        <w:t>2016</w:t>
      </w:r>
      <w:r>
        <w:rPr/>
        <w:t>年度实现归属于母公司股东的净利润</w:t>
      </w:r>
      <w:r>
        <w:rPr>
          <w:rFonts w:ascii="Times New Roman" w:hAnsi="Times New Roman" w:cs="Times New Roman" w:eastAsia="Times New Roman" w:hint="default"/>
        </w:rPr>
        <w:t>155,797,834.20</w:t>
      </w:r>
      <w:r>
        <w:rPr/>
        <w:t>元，加 上年初未分配利润</w:t>
      </w:r>
      <w:r>
        <w:rPr>
          <w:rFonts w:ascii="Times New Roman" w:hAnsi="Times New Roman" w:cs="Times New Roman" w:eastAsia="Times New Roman" w:hint="default"/>
        </w:rPr>
        <w:t>372,400,284.04</w:t>
      </w:r>
      <w:r>
        <w:rPr/>
        <w:t>元，截至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日可供股东分配的利润为</w:t>
      </w:r>
      <w:r>
        <w:rPr>
          <w:rFonts w:ascii="Times New Roman" w:hAnsi="Times New Roman" w:cs="Times New Roman" w:eastAsia="Times New Roman" w:hint="default"/>
        </w:rPr>
        <w:t>504,823,850.00</w:t>
      </w:r>
      <w:r>
        <w:rPr/>
        <w:t>元，其中母公司可供股东分 配的利润为</w:t>
      </w:r>
      <w:r>
        <w:rPr>
          <w:rFonts w:ascii="Times New Roman" w:hAnsi="Times New Roman" w:cs="Times New Roman" w:eastAsia="Times New Roman" w:hint="default"/>
        </w:rPr>
        <w:t>225,415,813.66</w:t>
      </w:r>
      <w:r>
        <w:rPr/>
        <w:t>元。</w:t>
      </w:r>
    </w:p>
    <w:p>
      <w:pPr>
        <w:pStyle w:val="BodyText"/>
        <w:spacing w:line="300" w:lineRule="auto" w:before="13"/>
        <w:ind w:right="1042" w:firstLine="397"/>
        <w:jc w:val="both"/>
      </w:pPr>
      <w:r>
        <w:rPr>
          <w:rFonts w:ascii="Times New Roman" w:hAnsi="Times New Roman" w:cs="Times New Roman" w:eastAsia="Times New Roman" w:hint="default"/>
          <w:spacing w:val="-3"/>
        </w:rPr>
        <w:t>2016</w:t>
      </w:r>
      <w:r>
        <w:rPr>
          <w:spacing w:val="-3"/>
        </w:rPr>
        <w:t>年度分配预案为：以</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日总股本</w:t>
      </w:r>
      <w:r>
        <w:rPr>
          <w:rFonts w:ascii="Times New Roman" w:hAnsi="Times New Roman" w:cs="Times New Roman" w:eastAsia="Times New Roman" w:hint="default"/>
          <w:spacing w:val="-3"/>
        </w:rPr>
        <w:t>703,960,660</w:t>
      </w:r>
      <w:r>
        <w:rPr>
          <w:spacing w:val="-3"/>
        </w:rPr>
        <w:t>股为基数，向全体股东每</w:t>
      </w:r>
      <w:r>
        <w:rPr>
          <w:rFonts w:ascii="Times New Roman" w:hAnsi="Times New Roman" w:cs="Times New Roman" w:eastAsia="Times New Roman" w:hint="default"/>
          <w:spacing w:val="-3"/>
        </w:rPr>
        <w:t>10</w:t>
      </w:r>
      <w:r>
        <w:rPr>
          <w:spacing w:val="-3"/>
        </w:rPr>
        <w:t>股派送现金股利</w:t>
      </w:r>
      <w:r>
        <w:rPr>
          <w:rFonts w:ascii="Times New Roman" w:hAnsi="Times New Roman" w:cs="Times New Roman" w:eastAsia="Times New Roman" w:hint="default"/>
          <w:spacing w:val="-3"/>
        </w:rPr>
        <w:t>0.40</w:t>
      </w:r>
      <w:r>
        <w:rPr>
          <w:spacing w:val="-3"/>
        </w:rPr>
        <w:t>元（含税），</w:t>
      </w:r>
      <w:r>
        <w:rPr/>
        <w:t> 不送红股，不以公积金转增股本，合计派发现金股利</w:t>
      </w:r>
      <w:r>
        <w:rPr>
          <w:rFonts w:ascii="Times New Roman" w:hAnsi="Times New Roman" w:cs="Times New Roman" w:eastAsia="Times New Roman" w:hint="default"/>
        </w:rPr>
        <w:t>28,158,426.40</w:t>
      </w:r>
      <w:r>
        <w:rPr/>
        <w:t>元。剩余未分配利润留待以后年度分配。</w:t>
      </w:r>
    </w:p>
    <w:p>
      <w:pPr>
        <w:pStyle w:val="BodyText"/>
        <w:spacing w:line="300" w:lineRule="auto" w:before="13"/>
        <w:ind w:right="1140" w:firstLine="300"/>
        <w:jc w:val="both"/>
      </w:pPr>
      <w:r>
        <w:rPr/>
        <w:t>（</w:t>
      </w:r>
      <w:r>
        <w:rPr>
          <w:rFonts w:ascii="Times New Roman" w:hAnsi="Times New Roman" w:cs="Times New Roman" w:eastAsia="Times New Roman" w:hint="default"/>
        </w:rPr>
        <w:t>2</w:t>
      </w:r>
      <w:r>
        <w:rPr/>
        <w:t>）经大华会计师事务所（特殊普通合伙）审计，公司</w:t>
      </w:r>
      <w:r>
        <w:rPr>
          <w:rFonts w:ascii="Times New Roman" w:hAnsi="Times New Roman" w:cs="Times New Roman" w:eastAsia="Times New Roman" w:hint="default"/>
        </w:rPr>
        <w:t>2017</w:t>
      </w:r>
      <w:r>
        <w:rPr/>
        <w:t>年度实现归属于母公司股东的净利润</w:t>
      </w:r>
      <w:r>
        <w:rPr>
          <w:rFonts w:ascii="Times New Roman" w:hAnsi="Times New Roman" w:cs="Times New Roman" w:eastAsia="Times New Roman" w:hint="default"/>
        </w:rPr>
        <w:t>172,215,037.92</w:t>
      </w:r>
      <w:r>
        <w:rPr/>
        <w:t>元，加 上年初未分配利润</w:t>
      </w:r>
      <w:r>
        <w:rPr>
          <w:rFonts w:ascii="Times New Roman" w:hAnsi="Times New Roman" w:cs="Times New Roman" w:eastAsia="Times New Roman" w:hint="default"/>
        </w:rPr>
        <w:t>504,823,850.00</w:t>
      </w:r>
      <w:r>
        <w:rPr/>
        <w:t>元，截至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日可供股东分配的利润为</w:t>
      </w:r>
      <w:r>
        <w:rPr>
          <w:rFonts w:ascii="Times New Roman" w:hAnsi="Times New Roman" w:cs="Times New Roman" w:eastAsia="Times New Roman" w:hint="default"/>
        </w:rPr>
        <w:t>647,085,150.91</w:t>
      </w:r>
      <w:r>
        <w:rPr/>
        <w:t>元，其中母公司可供股东分 配的利润为</w:t>
      </w:r>
      <w:r>
        <w:rPr>
          <w:rFonts w:ascii="Times New Roman" w:hAnsi="Times New Roman" w:cs="Times New Roman" w:eastAsia="Times New Roman" w:hint="default"/>
        </w:rPr>
        <w:t>213,415,182.72</w:t>
      </w:r>
      <w:r>
        <w:rPr/>
        <w:t>元。</w:t>
      </w:r>
    </w:p>
    <w:p>
      <w:pPr>
        <w:pStyle w:val="BodyText"/>
        <w:spacing w:line="300" w:lineRule="auto" w:before="13"/>
        <w:ind w:right="1042" w:firstLine="397"/>
        <w:jc w:val="both"/>
      </w:pPr>
      <w:r>
        <w:rPr>
          <w:rFonts w:ascii="Times New Roman" w:hAnsi="Times New Roman" w:cs="Times New Roman" w:eastAsia="Times New Roman" w:hint="default"/>
          <w:spacing w:val="-3"/>
        </w:rPr>
        <w:t>2017</w:t>
      </w:r>
      <w:r>
        <w:rPr>
          <w:spacing w:val="-3"/>
        </w:rPr>
        <w:t>年度分配预案为：以</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日总股本</w:t>
      </w:r>
      <w:r>
        <w:rPr>
          <w:rFonts w:ascii="Times New Roman" w:hAnsi="Times New Roman" w:cs="Times New Roman" w:eastAsia="Times New Roman" w:hint="default"/>
          <w:spacing w:val="-3"/>
        </w:rPr>
        <w:t>703,960,660</w:t>
      </w:r>
      <w:r>
        <w:rPr>
          <w:spacing w:val="-3"/>
        </w:rPr>
        <w:t>股为基数，向全体股东每</w:t>
      </w:r>
      <w:r>
        <w:rPr>
          <w:rFonts w:ascii="Times New Roman" w:hAnsi="Times New Roman" w:cs="Times New Roman" w:eastAsia="Times New Roman" w:hint="default"/>
          <w:spacing w:val="-3"/>
        </w:rPr>
        <w:t>10</w:t>
      </w:r>
      <w:r>
        <w:rPr>
          <w:spacing w:val="-3"/>
        </w:rPr>
        <w:t>股派送现金股利</w:t>
      </w:r>
      <w:r>
        <w:rPr>
          <w:rFonts w:ascii="Times New Roman" w:hAnsi="Times New Roman" w:cs="Times New Roman" w:eastAsia="Times New Roman" w:hint="default"/>
          <w:spacing w:val="-3"/>
        </w:rPr>
        <w:t>0.50</w:t>
      </w:r>
      <w:r>
        <w:rPr>
          <w:spacing w:val="-3"/>
        </w:rPr>
        <w:t>元（含税），</w:t>
      </w:r>
      <w:r>
        <w:rPr/>
        <w:t> 不送红股，不以公积金转增股本，合计派发现金股利</w:t>
      </w:r>
      <w:r>
        <w:rPr>
          <w:rFonts w:ascii="Times New Roman" w:hAnsi="Times New Roman" w:cs="Times New Roman" w:eastAsia="Times New Roman" w:hint="default"/>
        </w:rPr>
        <w:t>35,198,033.00</w:t>
      </w:r>
      <w:r>
        <w:rPr/>
        <w:t>元。剩余未分配利润留待以后年度分配。</w:t>
      </w:r>
    </w:p>
    <w:p>
      <w:pPr>
        <w:pStyle w:val="BodyText"/>
        <w:spacing w:line="300" w:lineRule="auto" w:before="13"/>
        <w:ind w:right="1140" w:firstLine="300"/>
        <w:jc w:val="both"/>
      </w:pPr>
      <w:r>
        <w:rPr/>
        <w:t>（</w:t>
      </w:r>
      <w:r>
        <w:rPr>
          <w:rFonts w:ascii="Times New Roman" w:hAnsi="Times New Roman" w:cs="Times New Roman" w:eastAsia="Times New Roman" w:hint="default"/>
        </w:rPr>
        <w:t>3</w:t>
      </w:r>
      <w:r>
        <w:rPr/>
        <w:t>）经大华会计师事务所（特殊普通合伙）审计，公司</w:t>
      </w:r>
      <w:r>
        <w:rPr>
          <w:rFonts w:ascii="Times New Roman" w:hAnsi="Times New Roman" w:cs="Times New Roman" w:eastAsia="Times New Roman" w:hint="default"/>
        </w:rPr>
        <w:t>2018</w:t>
      </w:r>
      <w:r>
        <w:rPr/>
        <w:t>年度实现归属于母公司股东的净利润</w:t>
      </w:r>
      <w:r>
        <w:rPr>
          <w:rFonts w:ascii="Times New Roman" w:hAnsi="Times New Roman" w:cs="Times New Roman" w:eastAsia="Times New Roman" w:hint="default"/>
        </w:rPr>
        <w:t>174</w:t>
      </w:r>
      <w:r>
        <w:rPr/>
        <w:t>，</w:t>
      </w:r>
      <w:r>
        <w:rPr>
          <w:rFonts w:ascii="Times New Roman" w:hAnsi="Times New Roman" w:cs="Times New Roman" w:eastAsia="Times New Roman" w:hint="default"/>
        </w:rPr>
        <w:t>762,669.00</w:t>
      </w:r>
      <w:r>
        <w:rPr/>
        <w:t>元，</w:t>
      </w:r>
      <w:r>
        <w:rPr>
          <w:spacing w:val="-2"/>
        </w:rPr>
        <w:t> </w:t>
      </w:r>
      <w:r>
        <w:rPr/>
        <w:t>加上年初未分配利润</w:t>
      </w:r>
      <w:r>
        <w:rPr>
          <w:rFonts w:ascii="Times New Roman" w:hAnsi="Times New Roman" w:cs="Times New Roman" w:eastAsia="Times New Roman" w:hint="default"/>
        </w:rPr>
        <w:t>647,085,150.91</w:t>
      </w:r>
      <w:r>
        <w:rPr/>
        <w:t>元，截至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日可供股东分配的利润为</w:t>
      </w:r>
      <w:r>
        <w:rPr>
          <w:rFonts w:ascii="Times New Roman" w:hAnsi="Times New Roman" w:cs="Times New Roman" w:eastAsia="Times New Roman" w:hint="default"/>
        </w:rPr>
        <w:t>782,617,386.60</w:t>
      </w:r>
      <w:r>
        <w:rPr/>
        <w:t>元，其中母公司可供股东 分配的利润为</w:t>
      </w:r>
      <w:r>
        <w:rPr>
          <w:rFonts w:ascii="Times New Roman" w:hAnsi="Times New Roman" w:cs="Times New Roman" w:eastAsia="Times New Roman" w:hint="default"/>
        </w:rPr>
        <w:t>214,538,866.89</w:t>
      </w:r>
      <w:r>
        <w:rPr/>
        <w:t>元。</w:t>
      </w:r>
    </w:p>
    <w:p>
      <w:pPr>
        <w:pStyle w:val="BodyText"/>
        <w:spacing w:line="307" w:lineRule="auto" w:before="13"/>
        <w:ind w:right="1130" w:firstLine="578"/>
        <w:jc w:val="both"/>
      </w:pPr>
      <w:r>
        <w:rPr>
          <w:rFonts w:ascii="Times New Roman" w:hAnsi="Times New Roman" w:cs="Times New Roman" w:eastAsia="Times New Roman" w:hint="default"/>
          <w:spacing w:val="-1"/>
        </w:rPr>
        <w:t>2018</w:t>
      </w:r>
      <w:r>
        <w:rPr>
          <w:spacing w:val="-1"/>
        </w:rPr>
        <w:t>年度分配预案为：以</w:t>
      </w:r>
      <w:r>
        <w:rPr>
          <w:rFonts w:ascii="Times New Roman" w:hAnsi="Times New Roman" w:cs="Times New Roman" w:eastAsia="Times New Roman" w:hint="default"/>
          <w:spacing w:val="-1"/>
        </w:rPr>
        <w:t>668,723,620</w:t>
      </w:r>
      <w:r>
        <w:rPr>
          <w:spacing w:val="-1"/>
        </w:rPr>
        <w:t>股为基数（根据公司现有股本</w:t>
      </w:r>
      <w:r>
        <w:rPr>
          <w:rFonts w:ascii="Times New Roman" w:hAnsi="Times New Roman" w:cs="Times New Roman" w:eastAsia="Times New Roman" w:hint="default"/>
          <w:spacing w:val="-1"/>
        </w:rPr>
        <w:t>691,505,915</w:t>
      </w:r>
      <w:r>
        <w:rPr>
          <w:spacing w:val="-1"/>
        </w:rPr>
        <w:t>股扣除股份回购数量</w:t>
      </w:r>
      <w:r>
        <w:rPr>
          <w:rFonts w:ascii="Times New Roman" w:hAnsi="Times New Roman" w:cs="Times New Roman" w:eastAsia="Times New Roman" w:hint="default"/>
          <w:spacing w:val="-1"/>
        </w:rPr>
        <w:t>22,782,295</w:t>
      </w:r>
      <w:r>
        <w:rPr>
          <w:spacing w:val="-1"/>
        </w:rPr>
        <w:t>股为基</w:t>
      </w:r>
      <w:r>
        <w:rPr/>
        <w:t> 数），向全体股东每</w:t>
      </w:r>
      <w:r>
        <w:rPr>
          <w:rFonts w:ascii="Times New Roman" w:hAnsi="Times New Roman" w:cs="Times New Roman" w:eastAsia="Times New Roman" w:hint="default"/>
        </w:rPr>
        <w:t>10</w:t>
      </w:r>
      <w:r>
        <w:rPr/>
        <w:t>股派送现金股利</w:t>
      </w:r>
      <w:r>
        <w:rPr>
          <w:rFonts w:ascii="Times New Roman" w:hAnsi="Times New Roman" w:cs="Times New Roman" w:eastAsia="Times New Roman" w:hint="default"/>
        </w:rPr>
        <w:t>0.53</w:t>
      </w:r>
      <w:r>
        <w:rPr/>
        <w:t>元（含税），不送红股，不以公积金转增股本，合计派发现金股利</w:t>
      </w:r>
      <w:r>
        <w:rPr>
          <w:rFonts w:ascii="Times New Roman" w:hAnsi="Times New Roman" w:cs="Times New Roman" w:eastAsia="Times New Roman" w:hint="default"/>
        </w:rPr>
        <w:t>35,442,351.86 </w:t>
      </w:r>
      <w:r>
        <w:rPr>
          <w:spacing w:val="-2"/>
        </w:rPr>
        <w:t>元。剩余未分配利润留待以后年度分配。公司上述利润分配方案合法、合规，符合公司的分红承诺、公司章程规定的分配政</w:t>
      </w:r>
      <w:r>
        <w:rPr>
          <w:spacing w:val="-66"/>
        </w:rPr>
        <w:t> </w:t>
      </w:r>
      <w:r>
        <w:rPr>
          <w:spacing w:val="-66"/>
        </w:rPr>
      </w:r>
      <w:r>
        <w:rPr/>
        <w:t>策以及股东回报计划等。</w:t>
      </w:r>
    </w:p>
    <w:p>
      <w:pPr>
        <w:pStyle w:val="BodyText"/>
        <w:spacing w:line="240" w:lineRule="auto" w:before="67"/>
        <w:ind w:right="0"/>
        <w:jc w:val="left"/>
      </w:pPr>
      <w:r>
        <w:rPr/>
        <w:t>公司近三年（包括本报告期）普通股现金分红情况表</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ind w:left="7524"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187"/>
        <w:gridCol w:w="1194"/>
        <w:gridCol w:w="1196"/>
        <w:gridCol w:w="1197"/>
        <w:gridCol w:w="1196"/>
        <w:gridCol w:w="1185"/>
        <w:gridCol w:w="1207"/>
        <w:gridCol w:w="1184"/>
      </w:tblGrid>
      <w:tr>
        <w:trPr>
          <w:trHeight w:val="162" w:hRule="exact"/>
        </w:trPr>
        <w:tc>
          <w:tcPr>
            <w:tcW w:w="1187" w:type="dxa"/>
            <w:vMerge w:val="restart"/>
            <w:tcBorders>
              <w:top w:val="single" w:sz="4" w:space="0" w:color="000000"/>
              <w:left w:val="single" w:sz="4" w:space="0" w:color="000000"/>
              <w:right w:val="single" w:sz="4" w:space="0" w:color="000000"/>
            </w:tcBorders>
            <w:shd w:val="clear" w:color="auto" w:fill="D2D2D2"/>
          </w:tcPr>
          <w:p>
            <w:pPr/>
          </w:p>
        </w:tc>
        <w:tc>
          <w:tcPr>
            <w:tcW w:w="1194"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7" w:type="dxa"/>
            <w:vMerge w:val="restart"/>
            <w:tcBorders>
              <w:top w:val="single" w:sz="4" w:space="0" w:color="000000"/>
              <w:left w:val="single" w:sz="4" w:space="0" w:color="000000"/>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5"/>
              <w:ind w:left="53" w:right="39"/>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156" w:hRule="exact"/>
        </w:trPr>
        <w:tc>
          <w:tcPr>
            <w:tcW w:w="1187"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2" w:right="53" w:hanging="1"/>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196" w:type="dxa"/>
            <w:vMerge/>
            <w:tcBorders>
              <w:left w:val="single" w:sz="4" w:space="0" w:color="000000"/>
              <w:right w:val="single" w:sz="4" w:space="0" w:color="000000"/>
            </w:tcBorders>
            <w:shd w:val="clear" w:color="auto" w:fill="D2D2D2"/>
          </w:tcPr>
          <w:p>
            <w:pPr/>
          </w:p>
        </w:tc>
        <w:tc>
          <w:tcPr>
            <w:tcW w:w="118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3" w:right="39"/>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7"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0"/>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7"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9" w:lineRule="auto" w:before="75"/>
              <w:ind w:left="52" w:right="51"/>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7"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4"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5"/>
              <w:ind w:left="424" w:right="141" w:hanging="270"/>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7" w:type="dxa"/>
            <w:vMerge/>
            <w:tcBorders>
              <w:left w:val="single" w:sz="4" w:space="0" w:color="000000"/>
              <w:bottom w:val="nil" w:sz="6" w:space="0" w:color="auto"/>
              <w:right w:val="single" w:sz="4" w:space="0" w:color="000000"/>
            </w:tcBorders>
            <w:shd w:val="clear" w:color="auto" w:fill="D2D2D2"/>
          </w:tcPr>
          <w:p>
            <w:pPr/>
          </w:p>
        </w:tc>
        <w:tc>
          <w:tcPr>
            <w:tcW w:w="11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（含税）</w:t>
            </w: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392" w:hRule="exact"/>
        </w:trPr>
        <w:tc>
          <w:tcPr>
            <w:tcW w:w="11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7" w:type="dxa"/>
            <w:vMerge w:val="restart"/>
            <w:tcBorders>
              <w:top w:val="nil" w:sz="6" w:space="0" w:color="auto"/>
              <w:left w:val="single" w:sz="4" w:space="0" w:color="000000"/>
              <w:right w:val="single" w:sz="4" w:space="0" w:color="000000"/>
            </w:tcBorders>
            <w:shd w:val="clear" w:color="auto" w:fill="D2D2D2"/>
          </w:tcPr>
          <w:p>
            <w:pPr/>
          </w:p>
        </w:tc>
        <w:tc>
          <w:tcPr>
            <w:tcW w:w="1194"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7" w:type="dxa"/>
            <w:vMerge/>
            <w:tcBorders>
              <w:left w:val="single" w:sz="4" w:space="0" w:color="000000"/>
              <w:right w:val="single" w:sz="4" w:space="0" w:color="000000"/>
            </w:tcBorders>
            <w:shd w:val="clear" w:color="auto" w:fill="D2D2D2"/>
          </w:tcPr>
          <w:p>
            <w:pPr/>
          </w:p>
        </w:tc>
        <w:tc>
          <w:tcPr>
            <w:tcW w:w="1194"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7"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7"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7"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bottom w:val="nil" w:sz="6" w:space="0" w:color="auto"/>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61" w:hRule="exact"/>
        </w:trPr>
        <w:tc>
          <w:tcPr>
            <w:tcW w:w="1187" w:type="dxa"/>
            <w:vMerge/>
            <w:tcBorders>
              <w:left w:val="single" w:sz="4" w:space="0" w:color="000000"/>
              <w:bottom w:val="single" w:sz="4" w:space="0" w:color="000000"/>
              <w:right w:val="single" w:sz="4" w:space="0" w:color="000000"/>
            </w:tcBorders>
            <w:shd w:val="clear" w:color="auto" w:fill="D2D2D2"/>
          </w:tcPr>
          <w:p>
            <w:pPr/>
          </w:p>
        </w:tc>
        <w:tc>
          <w:tcPr>
            <w:tcW w:w="1194"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35,442,351.86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174,762,669.00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20.28%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240,044,733.11</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18" w:right="0"/>
              <w:jc w:val="left"/>
              <w:rPr>
                <w:rFonts w:ascii="Times New Roman" w:hAnsi="Times New Roman" w:cs="Times New Roman" w:eastAsia="Times New Roman" w:hint="default"/>
                <w:sz w:val="18"/>
                <w:szCs w:val="18"/>
              </w:rPr>
            </w:pPr>
            <w:r>
              <w:rPr>
                <w:rFonts w:ascii="Times New Roman"/>
                <w:sz w:val="18"/>
              </w:rPr>
              <w:t>137.35%</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275,487,084.97</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z w:val="18"/>
              </w:rPr>
              <w:t>157.63%</w:t>
            </w:r>
          </w:p>
        </w:tc>
      </w:tr>
      <w:tr>
        <w:trPr>
          <w:trHeight w:val="402" w:hRule="exact"/>
        </w:trPr>
        <w:tc>
          <w:tcPr>
            <w:tcW w:w="1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35,198,033.00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172,215,037.92</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20.44%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85"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35,198,033.00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z w:val="18"/>
              </w:rPr>
              <w:t>20.44%</w:t>
            </w:r>
          </w:p>
        </w:tc>
      </w:tr>
      <w:tr>
        <w:trPr>
          <w:trHeight w:val="403" w:hRule="exact"/>
        </w:trPr>
        <w:tc>
          <w:tcPr>
            <w:tcW w:w="1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28,158,426.40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155,797,834.20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18.07%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85"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28,158,426.40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z w:val="18"/>
              </w:rPr>
              <w:t>18.07%</w:t>
            </w:r>
          </w:p>
        </w:tc>
      </w:tr>
    </w:tbl>
    <w:p>
      <w:pPr>
        <w:pStyle w:val="BodyText"/>
        <w:spacing w:line="240" w:lineRule="auto" w:before="51"/>
        <w:ind w:right="0"/>
        <w:jc w:val="left"/>
      </w:pPr>
      <w:r>
        <w:rPr/>
        <w:t>公司报告期内盈利且母公司可供普通股股东分配利润为正但未提出普通股现金红利分配预案</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二、本报告期利润分配及资本公积金转增股本预案" w:id="65"/>
      <w:bookmarkEnd w:id="65"/>
      <w:r>
        <w:rPr>
          <w:b w:val="0"/>
          <w:bCs w:val="0"/>
        </w:rPr>
      </w:r>
      <w:r>
        <w:rPr/>
        <w:t>二、本报告期利润分配及资本公积金转增股本预案</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pStyle w:val="BodyText"/>
        <w:spacing w:line="240" w:lineRule="auto"/>
        <w:ind w:left="7524" w:right="1140"/>
        <w:jc w:val="right"/>
      </w:pPr>
      <w:r>
        <w:rPr/>
        <w:pict>
          <v:shape style="position:absolute;margin-left:56.459999pt;margin-top:-268.76828pt;width:479.2pt;height:319.7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84"/>
                    <w:gridCol w:w="5784"/>
                  </w:tblGrid>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0.53</w:t>
                        </w:r>
                      </w:p>
                    </w:tc>
                  </w:tr>
                  <w:tr>
                    <w:trPr>
                      <w:trHeight w:val="161" w:hRule="exact"/>
                    </w:trPr>
                    <w:tc>
                      <w:tcPr>
                        <w:tcW w:w="3784" w:type="dxa"/>
                        <w:tcBorders>
                          <w:top w:val="single" w:sz="4" w:space="0" w:color="000000"/>
                          <w:left w:val="single" w:sz="4" w:space="0" w:color="000000"/>
                          <w:bottom w:val="nil" w:sz="6" w:space="0" w:color="auto"/>
                          <w:right w:val="single" w:sz="4" w:space="0" w:color="000000"/>
                        </w:tcBorders>
                        <w:shd w:val="clear" w:color="auto" w:fill="D2D2D2"/>
                      </w:tcPr>
                      <w:p>
                        <w:pPr/>
                      </w:p>
                    </w:tc>
                    <w:tc>
                      <w:tcPr>
                        <w:tcW w:w="578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668,723,620</w:t>
                        </w:r>
                      </w:p>
                    </w:tc>
                  </w:tr>
                  <w:tr>
                    <w:trPr>
                      <w:trHeight w:val="393" w:hRule="exact"/>
                    </w:trPr>
                    <w:tc>
                      <w:tcPr>
                        <w:tcW w:w="37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84" w:type="dxa"/>
                        <w:vMerge/>
                        <w:tcBorders>
                          <w:left w:val="single" w:sz="9" w:space="0" w:color="D2D2D2"/>
                          <w:right w:val="single" w:sz="4" w:space="0" w:color="000000"/>
                        </w:tcBorders>
                      </w:tcPr>
                      <w:p>
                        <w:pPr/>
                      </w:p>
                    </w:tc>
                  </w:tr>
                  <w:tr>
                    <w:trPr>
                      <w:trHeight w:val="161" w:hRule="exact"/>
                    </w:trPr>
                    <w:tc>
                      <w:tcPr>
                        <w:tcW w:w="3784" w:type="dxa"/>
                        <w:tcBorders>
                          <w:top w:val="nil" w:sz="6" w:space="0" w:color="auto"/>
                          <w:left w:val="single" w:sz="4" w:space="0" w:color="000000"/>
                          <w:bottom w:val="single" w:sz="4" w:space="0" w:color="000000"/>
                          <w:right w:val="single" w:sz="4" w:space="0" w:color="000000"/>
                        </w:tcBorders>
                        <w:shd w:val="clear" w:color="auto" w:fill="D2D2D2"/>
                      </w:tcPr>
                      <w:p>
                        <w:pPr/>
                      </w:p>
                    </w:tc>
                    <w:tc>
                      <w:tcPr>
                        <w:tcW w:w="5784" w:type="dxa"/>
                        <w:vMerge/>
                        <w:tcBorders>
                          <w:left w:val="single" w:sz="9" w:space="0" w:color="D2D2D2"/>
                          <w:bottom w:val="single" w:sz="4" w:space="0" w:color="000000"/>
                          <w:right w:val="single" w:sz="4" w:space="0" w:color="000000"/>
                        </w:tcBorders>
                      </w:tcPr>
                      <w:p>
                        <w:pP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35,442,351.86</w:t>
                        </w:r>
                      </w:p>
                    </w:tc>
                  </w:tr>
                  <w:tr>
                    <w:trPr>
                      <w:trHeight w:val="402" w:hRule="exact"/>
                    </w:trPr>
                    <w:tc>
                      <w:tcPr>
                        <w:tcW w:w="3784"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2" w:right="-4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5784"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240,044,733.11</w:t>
                        </w:r>
                      </w:p>
                    </w:tc>
                  </w:tr>
                  <w:tr>
                    <w:trPr>
                      <w:trHeight w:val="161" w:hRule="exact"/>
                    </w:trPr>
                    <w:tc>
                      <w:tcPr>
                        <w:tcW w:w="3784" w:type="dxa"/>
                        <w:tcBorders>
                          <w:top w:val="single" w:sz="4" w:space="0" w:color="000000"/>
                          <w:left w:val="single" w:sz="4" w:space="0" w:color="000000"/>
                          <w:bottom w:val="nil" w:sz="6" w:space="0" w:color="auto"/>
                          <w:right w:val="single" w:sz="4" w:space="0" w:color="000000"/>
                        </w:tcBorders>
                        <w:shd w:val="clear" w:color="auto" w:fill="D2D2D2"/>
                      </w:tcPr>
                      <w:p>
                        <w:pPr/>
                      </w:p>
                    </w:tc>
                    <w:tc>
                      <w:tcPr>
                        <w:tcW w:w="578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275,487,084.97</w:t>
                        </w:r>
                      </w:p>
                    </w:tc>
                  </w:tr>
                  <w:tr>
                    <w:trPr>
                      <w:trHeight w:val="392" w:hRule="exact"/>
                    </w:trPr>
                    <w:tc>
                      <w:tcPr>
                        <w:tcW w:w="37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0"/>
                            <w:sz w:val="18"/>
                            <w:szCs w:val="18"/>
                          </w:rPr>
                          <w:t>）</w:t>
                        </w:r>
                        <w:r>
                          <w:rPr>
                            <w:rFonts w:ascii="宋体" w:hAnsi="宋体" w:cs="宋体" w:eastAsia="宋体" w:hint="default"/>
                            <w:sz w:val="18"/>
                            <w:szCs w:val="18"/>
                          </w:rPr>
                          <w:t>（元）</w:t>
                        </w:r>
                      </w:p>
                    </w:tc>
                    <w:tc>
                      <w:tcPr>
                        <w:tcW w:w="5784" w:type="dxa"/>
                        <w:vMerge/>
                        <w:tcBorders>
                          <w:left w:val="single" w:sz="9" w:space="0" w:color="D2D2D2"/>
                          <w:right w:val="single" w:sz="4" w:space="0" w:color="000000"/>
                        </w:tcBorders>
                      </w:tcPr>
                      <w:p>
                        <w:pPr/>
                      </w:p>
                    </w:tc>
                  </w:tr>
                  <w:tr>
                    <w:trPr>
                      <w:trHeight w:val="161" w:hRule="exact"/>
                    </w:trPr>
                    <w:tc>
                      <w:tcPr>
                        <w:tcW w:w="3784" w:type="dxa"/>
                        <w:tcBorders>
                          <w:top w:val="nil" w:sz="6" w:space="0" w:color="auto"/>
                          <w:left w:val="single" w:sz="4" w:space="0" w:color="000000"/>
                          <w:bottom w:val="single" w:sz="4" w:space="0" w:color="000000"/>
                          <w:right w:val="single" w:sz="4" w:space="0" w:color="000000"/>
                        </w:tcBorders>
                        <w:shd w:val="clear" w:color="auto" w:fill="D2D2D2"/>
                      </w:tcPr>
                      <w:p>
                        <w:pPr/>
                      </w:p>
                    </w:tc>
                    <w:tc>
                      <w:tcPr>
                        <w:tcW w:w="5784" w:type="dxa"/>
                        <w:vMerge/>
                        <w:tcBorders>
                          <w:left w:val="single" w:sz="9" w:space="0" w:color="D2D2D2"/>
                          <w:bottom w:val="single" w:sz="4" w:space="0" w:color="000000"/>
                          <w:right w:val="single" w:sz="4" w:space="0" w:color="000000"/>
                        </w:tcBorders>
                      </w:tcPr>
                      <w:p>
                        <w:pP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782,617,386.60</w:t>
                        </w:r>
                      </w:p>
                    </w:tc>
                  </w:tr>
                  <w:tr>
                    <w:trPr>
                      <w:trHeight w:val="714"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
                          <w:jc w:val="left"/>
                          <w:rPr>
                            <w:rFonts w:ascii="宋体" w:hAnsi="宋体" w:cs="宋体" w:eastAsia="宋体" w:hint="default"/>
                            <w:sz w:val="18"/>
                            <w:szCs w:val="18"/>
                          </w:rPr>
                        </w:pPr>
                        <w:r>
                          <w:rPr>
                            <w:rFonts w:ascii="宋体" w:hAnsi="宋体" w:cs="宋体" w:eastAsia="宋体" w:hint="default"/>
                            <w:spacing w:val="-2"/>
                            <w:sz w:val="18"/>
                            <w:szCs w:val="18"/>
                          </w:rPr>
                          <w:t>现金分红总额（含其他方式）占利润分配总额的</w:t>
                        </w:r>
                        <w:r>
                          <w:rPr>
                            <w:rFonts w:ascii="宋体" w:hAnsi="宋体" w:cs="宋体" w:eastAsia="宋体" w:hint="default"/>
                            <w:sz w:val="18"/>
                            <w:szCs w:val="18"/>
                          </w:rPr>
                          <w:t> 比例</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026"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年度分配预案为：以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668,723,620</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股（根据公司现有股本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691,505,915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股扣除股份回购数量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22,782,295</w:t>
                        </w:r>
                        <w:r>
                          <w:rPr>
                            <w:rFonts w:ascii="Times New Roman" w:hAnsi="Times New Roman" w:cs="Times New Roman" w:eastAsia="Times New Roman" w:hint="default"/>
                            <w:spacing w:val="-1"/>
                            <w:sz w:val="18"/>
                            <w:szCs w:val="18"/>
                          </w:rPr>
                          <w:t> </w:t>
                        </w:r>
                        <w:r>
                          <w:rPr>
                            <w:rFonts w:ascii="宋体" w:hAnsi="宋体" w:cs="宋体" w:eastAsia="宋体" w:hint="default"/>
                            <w:spacing w:val="-11"/>
                            <w:sz w:val="18"/>
                            <w:szCs w:val="18"/>
                          </w:rPr>
                          <w:t>股）为基数</w:t>
                        </w:r>
                      </w:p>
                      <w:p>
                        <w:pPr>
                          <w:pStyle w:val="TableParagraph"/>
                          <w:spacing w:line="302" w:lineRule="auto" w:before="61"/>
                          <w:ind w:left="22" w:right="113"/>
                          <w:jc w:val="left"/>
                          <w:rPr>
                            <w:rFonts w:ascii="宋体" w:hAnsi="宋体" w:cs="宋体" w:eastAsia="宋体" w:hint="default"/>
                            <w:sz w:val="18"/>
                            <w:szCs w:val="18"/>
                          </w:rPr>
                        </w:pPr>
                        <w:r>
                          <w:rPr>
                            <w:rFonts w:ascii="宋体" w:hAnsi="宋体" w:cs="宋体" w:eastAsia="宋体" w:hint="default"/>
                            <w:sz w:val="18"/>
                            <w:szCs w:val="18"/>
                          </w:rPr>
                          <w:t>向全体股东每</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股派送现金股利</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0.53</w:t>
                        </w:r>
                        <w:r>
                          <w:rPr>
                            <w:rFonts w:ascii="Times New Roman" w:hAnsi="Times New Roman" w:cs="Times New Roman" w:eastAsia="Times New Roman" w:hint="default"/>
                            <w:spacing w:val="4"/>
                            <w:sz w:val="18"/>
                            <w:szCs w:val="18"/>
                          </w:rPr>
                          <w:t> </w:t>
                        </w:r>
                        <w:r>
                          <w:rPr>
                            <w:rFonts w:ascii="宋体" w:hAnsi="宋体" w:cs="宋体" w:eastAsia="宋体" w:hint="default"/>
                            <w:spacing w:val="-5"/>
                            <w:sz w:val="18"/>
                            <w:szCs w:val="18"/>
                          </w:rPr>
                          <w:t>元（含税），不送红股，不以公积金转增股本，合计派发现金股利</w:t>
                        </w:r>
                        <w:r>
                          <w:rPr>
                            <w:rFonts w:ascii="宋体" w:hAnsi="宋体" w:cs="宋体" w:eastAsia="宋体" w:hint="default"/>
                            <w:spacing w:val="-40"/>
                            <w:sz w:val="18"/>
                            <w:szCs w:val="18"/>
                          </w:rPr>
                          <w:t> </w:t>
                        </w:r>
                        <w:r>
                          <w:rPr>
                            <w:rFonts w:ascii="Times New Roman" w:hAnsi="Times New Roman" w:cs="Times New Roman" w:eastAsia="Times New Roman" w:hint="default"/>
                            <w:spacing w:val="-1"/>
                            <w:sz w:val="18"/>
                            <w:szCs w:val="18"/>
                          </w:rPr>
                          <w:t>35,442,351.86</w:t>
                        </w:r>
                        <w:r>
                          <w:rPr>
                            <w:rFonts w:ascii="Times New Roman" w:hAnsi="Times New Roman" w:cs="Times New Roman" w:eastAsia="Times New Roman" w:hint="default"/>
                            <w:spacing w:val="5"/>
                            <w:sz w:val="18"/>
                            <w:szCs w:val="18"/>
                          </w:rPr>
                          <w:t> </w:t>
                        </w:r>
                        <w:r>
                          <w:rPr>
                            <w:rFonts w:ascii="宋体" w:hAnsi="宋体" w:cs="宋体" w:eastAsia="宋体" w:hint="default"/>
                            <w:spacing w:val="1"/>
                            <w:sz w:val="18"/>
                            <w:szCs w:val="18"/>
                          </w:rPr>
                          <w:t>元</w:t>
                        </w:r>
                        <w:r>
                          <w:rPr>
                            <w:rFonts w:ascii="宋体" w:hAnsi="宋体" w:cs="宋体" w:eastAsia="宋体" w:hint="default"/>
                            <w:spacing w:val="-88"/>
                            <w:sz w:val="18"/>
                            <w:szCs w:val="18"/>
                          </w:rPr>
                          <w:t> </w:t>
                        </w:r>
                        <w:r>
                          <w:rPr>
                            <w:rFonts w:ascii="宋体" w:hAnsi="宋体" w:cs="宋体" w:eastAsia="宋体" w:hint="default"/>
                            <w:sz w:val="18"/>
                            <w:szCs w:val="18"/>
                          </w:rPr>
                          <w:t>剩余未分配利润留待以后年度分配。</w:t>
                        </w:r>
                      </w:p>
                    </w:tc>
                  </w:tr>
                </w:tbl>
                <w:p>
                  <w:pPr/>
                </w:p>
              </w:txbxContent>
            </v:textbox>
            <w10:wrap type="none"/>
          </v:shape>
        </w:pict>
      </w:r>
      <w:r>
        <w:rPr/>
        <w:t>，</w:t>
      </w:r>
    </w:p>
    <w:p>
      <w:pPr>
        <w:pStyle w:val="BodyText"/>
        <w:spacing w:line="240" w:lineRule="auto" w:before="75"/>
        <w:ind w:left="7524" w:right="1140"/>
        <w:jc w:val="right"/>
      </w:pPr>
      <w:r>
        <w:rPr/>
        <w:t>。</w:t>
      </w:r>
    </w:p>
    <w:p>
      <w:pPr>
        <w:spacing w:after="0" w:line="240" w:lineRule="auto"/>
        <w:jc w:val="righ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三、承诺事项履行情况" w:id="66"/>
      <w:bookmarkEnd w:id="66"/>
      <w:r>
        <w:rPr>
          <w:b w:val="0"/>
          <w:bCs w:val="0"/>
        </w:rPr>
      </w:r>
      <w:r>
        <w:rPr/>
        <w:t>三、承诺事项履行情况</w:t>
      </w:r>
      <w:r>
        <w:rPr>
          <w:b w:val="0"/>
          <w:bCs w:val="0"/>
        </w:rPr>
      </w:r>
    </w:p>
    <w:p>
      <w:pPr>
        <w:spacing w:line="240" w:lineRule="auto" w:before="8"/>
        <w:rPr>
          <w:rFonts w:ascii="宋体" w:hAnsi="宋体" w:cs="宋体" w:eastAsia="宋体" w:hint="default"/>
          <w:b/>
          <w:bCs/>
          <w:sz w:val="24"/>
          <w:szCs w:val="24"/>
        </w:rPr>
      </w:pPr>
    </w:p>
    <w:p>
      <w:pPr>
        <w:pStyle w:val="Heading4"/>
        <w:spacing w:line="259" w:lineRule="auto"/>
        <w:ind w:right="0"/>
        <w:jc w:val="left"/>
        <w:rPr>
          <w:b w:val="0"/>
          <w:bCs w:val="0"/>
        </w:rPr>
      </w:pPr>
      <w:bookmarkStart w:name="1、公司实际控制人、股东、关联方、收购人以及公司等承诺相关方在报告期内履行完毕及" w:id="67"/>
      <w:bookmarkEnd w:id="67"/>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74"/>
        </w:rPr>
        <w:t> </w:t>
      </w:r>
      <w:r>
        <w:rPr>
          <w:spacing w:val="-74"/>
        </w:rPr>
      </w:r>
      <w:r>
        <w:rPr/>
        <w:t>尚未履行完毕的承诺事项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126"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5178" w:hRule="exact"/>
        </w:trPr>
        <w:tc>
          <w:tcPr>
            <w:tcW w:w="28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瞿洪桂</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316" w:lineRule="auto"/>
              <w:ind w:left="22" w:right="191"/>
              <w:jc w:val="both"/>
              <w:rPr>
                <w:rFonts w:ascii="宋体" w:hAnsi="宋体" w:cs="宋体" w:eastAsia="宋体" w:hint="default"/>
                <w:sz w:val="18"/>
                <w:szCs w:val="18"/>
              </w:rPr>
            </w:pPr>
            <w:r>
              <w:rPr>
                <w:rFonts w:ascii="宋体" w:hAnsi="宋体" w:cs="宋体" w:eastAsia="宋体" w:hint="default"/>
                <w:sz w:val="18"/>
                <w:szCs w:val="18"/>
              </w:rPr>
              <w:t>关于避免同 业竞争的承 诺函</w:t>
            </w:r>
          </w:p>
        </w:tc>
        <w:tc>
          <w:tcPr>
            <w:tcW w:w="1127"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、本人作为 中电兴发控 股股东、实际 控制人期间， 本人将不直 接或间接拥 有、管理、控 制、投资、从 事其他任何 与中电兴发 相同或构成 竞争的业务 或项目，亦不 参与拥有、管 理、控制、投 资其他任何 与中电兴发 相同或构成 竞争的业务 或项目，亦不 谋求通过与 任何第三人 合资、联营或 采取租赁经 营、承包经 营、委托管理 等任何方式 直接或间接 从事与中电 兴发构成竞 争的业务；</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703"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26" w:type="dxa"/>
            <w:vMerge/>
            <w:tcBorders>
              <w:left w:val="single" w:sz="9" w:space="0" w:color="D2D2D2"/>
              <w:right w:val="single" w:sz="4" w:space="0" w:color="000000"/>
            </w:tcBorders>
          </w:tcPr>
          <w:p>
            <w:pP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880" w:hRule="exact"/>
        </w:trPr>
        <w:tc>
          <w:tcPr>
            <w:tcW w:w="2836" w:type="dxa"/>
            <w:vMerge w:val="restart"/>
            <w:tcBorders>
              <w:top w:val="nil" w:sz="6" w:space="0" w:color="auto"/>
              <w:left w:val="single" w:sz="4" w:space="0" w:color="000000"/>
              <w:right w:val="single" w:sz="4" w:space="0" w:color="000000"/>
            </w:tcBorders>
            <w:shd w:val="clear" w:color="auto" w:fill="D2D2D2"/>
          </w:tcPr>
          <w:p>
            <w:pPr/>
          </w:p>
        </w:tc>
        <w:tc>
          <w:tcPr>
            <w:tcW w:w="1126" w:type="dxa"/>
            <w:vMerge/>
            <w:tcBorders>
              <w:left w:val="single" w:sz="9" w:space="0" w:color="D2D2D2"/>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r>
        <w:trPr>
          <w:trHeight w:val="1299"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23" w:right="21"/>
              <w:jc w:val="both"/>
              <w:rPr>
                <w:rFonts w:ascii="宋体" w:hAnsi="宋体" w:cs="宋体" w:eastAsia="宋体" w:hint="default"/>
                <w:sz w:val="18"/>
                <w:szCs w:val="18"/>
              </w:rPr>
            </w:pPr>
            <w:r>
              <w:rPr>
                <w:rFonts w:ascii="宋体" w:hAnsi="宋体" w:cs="宋体" w:eastAsia="宋体" w:hint="default"/>
                <w:spacing w:val="-2"/>
                <w:sz w:val="18"/>
                <w:szCs w:val="18"/>
              </w:rPr>
              <w:t>瞿洪桂、云泽</w:t>
            </w:r>
            <w:r>
              <w:rPr>
                <w:rFonts w:ascii="宋体" w:hAnsi="宋体" w:cs="宋体" w:eastAsia="宋体" w:hint="default"/>
                <w:sz w:val="18"/>
                <w:szCs w:val="18"/>
              </w:rPr>
              <w:t> </w:t>
            </w:r>
            <w:r>
              <w:rPr>
                <w:rFonts w:ascii="宋体" w:hAnsi="宋体" w:cs="宋体" w:eastAsia="宋体" w:hint="default"/>
                <w:spacing w:val="-2"/>
                <w:sz w:val="18"/>
                <w:szCs w:val="18"/>
              </w:rPr>
              <w:t>投资管理（天</w:t>
            </w:r>
            <w:r>
              <w:rPr>
                <w:rFonts w:ascii="宋体" w:hAnsi="宋体" w:cs="宋体" w:eastAsia="宋体" w:hint="default"/>
                <w:sz w:val="18"/>
                <w:szCs w:val="18"/>
              </w:rPr>
              <w:t> </w:t>
            </w:r>
            <w:r>
              <w:rPr>
                <w:rFonts w:ascii="宋体" w:hAnsi="宋体" w:cs="宋体" w:eastAsia="宋体" w:hint="default"/>
                <w:spacing w:val="-2"/>
                <w:sz w:val="18"/>
                <w:szCs w:val="18"/>
              </w:rPr>
              <w:t>津）有限公司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22" w:right="191"/>
              <w:jc w:val="both"/>
              <w:rPr>
                <w:rFonts w:ascii="宋体" w:hAnsi="宋体" w:cs="宋体" w:eastAsia="宋体" w:hint="default"/>
                <w:sz w:val="18"/>
                <w:szCs w:val="18"/>
              </w:rPr>
            </w:pPr>
            <w:r>
              <w:rPr>
                <w:rFonts w:ascii="宋体" w:hAnsi="宋体" w:cs="宋体" w:eastAsia="宋体" w:hint="default"/>
                <w:sz w:val="18"/>
                <w:szCs w:val="18"/>
              </w:rPr>
              <w:t>关于减少及 规范关联交 易的承诺函</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 司作为上市 公司股东期 </w:t>
            </w:r>
            <w:r>
              <w:rPr>
                <w:rFonts w:ascii="宋体" w:hAnsi="宋体" w:cs="宋体" w:eastAsia="宋体" w:hint="default"/>
                <w:spacing w:val="-9"/>
                <w:sz w:val="18"/>
                <w:szCs w:val="18"/>
              </w:rPr>
              <w:t>间，本人</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本公</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5979"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司将尽量避 免或减少与 上市公司及 其分公司、子 公司之间产 生关联交易 事项；对于不 可避免发生 的关联业务 往来或交易， 将在平等、自 愿的基础上， 按照公平、公 允和等价有 偿的原则进 行，交易价格 将按照市场 公认的合理 价格确定；</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770" w:hRule="exact"/>
        </w:trPr>
        <w:tc>
          <w:tcPr>
            <w:tcW w:w="28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瞿洪桂</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2" w:right="191"/>
              <w:jc w:val="both"/>
              <w:rPr>
                <w:rFonts w:ascii="宋体" w:hAnsi="宋体" w:cs="宋体" w:eastAsia="宋体" w:hint="default"/>
                <w:sz w:val="18"/>
                <w:szCs w:val="18"/>
              </w:rPr>
            </w:pPr>
            <w:r>
              <w:rPr>
                <w:rFonts w:ascii="宋体" w:hAnsi="宋体" w:cs="宋体" w:eastAsia="宋体" w:hint="default"/>
                <w:sz w:val="18"/>
                <w:szCs w:val="18"/>
              </w:rPr>
              <w:t>关于放弃表 决权等权利 的承诺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新增股票上 市之日起三 </w:t>
            </w:r>
            <w:r>
              <w:rPr>
                <w:rFonts w:ascii="宋体" w:hAnsi="宋体" w:cs="宋体" w:eastAsia="宋体" w:hint="default"/>
                <w:spacing w:val="-2"/>
                <w:sz w:val="18"/>
                <w:szCs w:val="18"/>
              </w:rPr>
              <w:t>年内，放弃其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所持有的占 鑫龙总股本 </w:t>
            </w:r>
            <w:r>
              <w:rPr>
                <w:rFonts w:ascii="Times New Roman" w:hAnsi="Times New Roman" w:cs="Times New Roman" w:eastAsia="Times New Roman" w:hint="default"/>
                <w:sz w:val="18"/>
                <w:szCs w:val="18"/>
              </w:rPr>
              <w:t>10%</w:t>
            </w:r>
            <w:r>
              <w:rPr>
                <w:rFonts w:ascii="宋体" w:hAnsi="宋体" w:cs="宋体" w:eastAsia="宋体" w:hint="default"/>
                <w:sz w:val="18"/>
                <w:szCs w:val="18"/>
              </w:rPr>
              <w:t>的股份所 对应的股东 大会上的全 </w:t>
            </w:r>
            <w:r>
              <w:rPr>
                <w:rFonts w:ascii="宋体" w:hAnsi="宋体" w:cs="宋体" w:eastAsia="宋体" w:hint="default"/>
                <w:spacing w:val="-2"/>
                <w:sz w:val="18"/>
                <w:szCs w:val="18"/>
              </w:rPr>
              <w:t>部表决权、提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名权、提案 </w:t>
            </w:r>
            <w:r>
              <w:rPr>
                <w:rFonts w:ascii="宋体" w:hAnsi="宋体" w:cs="宋体" w:eastAsia="宋体" w:hint="default"/>
                <w:spacing w:val="-2"/>
                <w:sz w:val="18"/>
                <w:szCs w:val="18"/>
              </w:rPr>
              <w:t>权，亦不以任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何形式直接 或间接增持 鑫龙电器股 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28 </w:t>
            </w:r>
            <w:r>
              <w:rPr>
                <w:rFonts w:ascii="宋体" w:hAnsi="宋体" w:cs="宋体" w:eastAsia="宋体" w:hint="default"/>
                <w:sz w:val="18"/>
                <w:szCs w:val="18"/>
              </w:rPr>
              <w:t>日到</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3171"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瞿洪桂</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关于同业竞 争的承诺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、本方及本 </w:t>
            </w:r>
            <w:r>
              <w:rPr>
                <w:rFonts w:ascii="宋体" w:hAnsi="宋体" w:cs="宋体" w:eastAsia="宋体" w:hint="default"/>
                <w:spacing w:val="-2"/>
                <w:sz w:val="18"/>
                <w:szCs w:val="18"/>
              </w:rPr>
              <w:t>方控制（包括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直接控制和 </w:t>
            </w:r>
            <w:r>
              <w:rPr>
                <w:rFonts w:ascii="宋体" w:hAnsi="宋体" w:cs="宋体" w:eastAsia="宋体" w:hint="default"/>
                <w:spacing w:val="-2"/>
                <w:sz w:val="18"/>
                <w:szCs w:val="18"/>
              </w:rPr>
              <w:t>间接控制）的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企业目前没 </w:t>
            </w:r>
            <w:r>
              <w:rPr>
                <w:rFonts w:ascii="宋体" w:hAnsi="宋体" w:cs="宋体" w:eastAsia="宋体" w:hint="default"/>
                <w:spacing w:val="-2"/>
                <w:sz w:val="18"/>
                <w:szCs w:val="18"/>
              </w:rPr>
              <w:t>有，将来也不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以任何方式 直接或间接 从事与上市 公司及其控</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股子公司现</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有及将来从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事的业务构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成同业竞争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的任何活动。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、对本方下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属全资企业、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直接或间接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控股的企业，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本方将通过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派出机构和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人员（包括但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不限于董事、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经理）以及控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股地位使该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等企业履行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本承诺函中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与本方相同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的义务，保证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不与上市公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司发生同业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竞争。</w:t>
            </w:r>
            <w:r>
              <w:rPr>
                <w:rFonts w:ascii="Times New Roman" w:hAnsi="Times New Roman" w:cs="Times New Roman" w:eastAsia="Times New Roman" w:hint="default"/>
                <w:sz w:val="18"/>
                <w:szCs w:val="18"/>
              </w:rPr>
              <w:t>3</w:t>
            </w:r>
            <w:r>
              <w:rPr>
                <w:rFonts w:ascii="宋体" w:hAnsi="宋体" w:cs="宋体" w:eastAsia="宋体" w:hint="default"/>
                <w:sz w:val="18"/>
                <w:szCs w:val="18"/>
              </w:rPr>
              <w:t>、如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上市公司进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一步拓展其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业务范围，本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方及本方拥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有控制权的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企业将不与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上市公司拓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展后的业务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相竞争；如可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能与上市公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司拓展后的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业务产生竞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争的，本方及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本方拥有控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制权的企业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将按照如下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方式退出与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上市公司的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竞争</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5"/>
                <w:sz w:val="18"/>
                <w:szCs w:val="18"/>
              </w:rPr>
              <w:t>）停</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止与上市公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司构成竞争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或可能构成</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竞争的业务；</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）将相竞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争的业务纳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入到上市公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司经营</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将相竞争的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业务转让给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无关联的第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三方</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pacing w:val="-5"/>
                <w:sz w:val="18"/>
                <w:szCs w:val="18"/>
              </w:rPr>
              <w:t>）其</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他有利于维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护上市公司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权益的方式。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、如本方及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本方拥有控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制权的企业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有任何商业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机会可从事、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参与任何可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能与上市公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司经营构成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竞争的活动，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则立即将上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述商业机会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通知上市公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司，在通知中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所指定的合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理期间内，上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市公司作出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愿意利用该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商业机会的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肯定答复的，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则尽力将该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商业机会给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予上市公司。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、本方确认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本承诺函所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载的每一项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承诺均为可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独立执行之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承诺，任何一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项承诺若被</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视为无效或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终止将不影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响其他各项</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6291"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承诺的有效 </w:t>
            </w:r>
            <w:r>
              <w:rPr>
                <w:rFonts w:ascii="宋体" w:hAnsi="宋体" w:cs="宋体" w:eastAsia="宋体" w:hint="default"/>
                <w:spacing w:val="-2"/>
                <w:sz w:val="18"/>
                <w:szCs w:val="18"/>
              </w:rPr>
              <w:t>性；如违反上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述任何一项 </w:t>
            </w:r>
            <w:r>
              <w:rPr>
                <w:rFonts w:ascii="宋体" w:hAnsi="宋体" w:cs="宋体" w:eastAsia="宋体" w:hint="default"/>
                <w:spacing w:val="-2"/>
                <w:sz w:val="18"/>
                <w:szCs w:val="18"/>
              </w:rPr>
              <w:t>承诺，本方愿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意承担由此 给上市公司 造成的直接 或间接经济 </w:t>
            </w:r>
            <w:r>
              <w:rPr>
                <w:rFonts w:ascii="宋体" w:hAnsi="宋体" w:cs="宋体" w:eastAsia="宋体" w:hint="default"/>
                <w:spacing w:val="-2"/>
                <w:sz w:val="18"/>
                <w:szCs w:val="18"/>
              </w:rPr>
              <w:t>损失、索赔责</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任及与此相 关的费用支 出。</w:t>
            </w:r>
            <w:r>
              <w:rPr>
                <w:rFonts w:ascii="Times New Roman" w:hAnsi="Times New Roman" w:cs="Times New Roman" w:eastAsia="Times New Roman" w:hint="default"/>
                <w:sz w:val="18"/>
                <w:szCs w:val="18"/>
              </w:rPr>
              <w:t>6</w:t>
            </w:r>
            <w:r>
              <w:rPr>
                <w:rFonts w:ascii="宋体" w:hAnsi="宋体" w:cs="宋体" w:eastAsia="宋体" w:hint="default"/>
                <w:sz w:val="18"/>
                <w:szCs w:val="18"/>
              </w:rPr>
              <w:t>、本承 诺函在本方 作为持有上 市公司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 上股份的主 要股东期间 内持续有效 且不可变更 或撤销。</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7539"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瞿洪桂</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1"/>
              <w:ind w:left="22" w:right="191"/>
              <w:jc w:val="left"/>
              <w:rPr>
                <w:rFonts w:ascii="宋体" w:hAnsi="宋体" w:cs="宋体" w:eastAsia="宋体" w:hint="default"/>
                <w:sz w:val="18"/>
                <w:szCs w:val="18"/>
              </w:rPr>
            </w:pPr>
            <w:r>
              <w:rPr>
                <w:rFonts w:ascii="宋体" w:hAnsi="宋体" w:cs="宋体" w:eastAsia="宋体" w:hint="default"/>
                <w:sz w:val="18"/>
                <w:szCs w:val="18"/>
              </w:rPr>
              <w:t>关于关联交 易的承诺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、就本方及 本方控制的 企业（如有） 与上市公司 及其控股子 公司之间已 存在及将来 不可避免发 生的关联交 易事项，保证 遵循市场交 易的公平原 则即正常的 商业条款与 上市公司及 其控股子公 司发生交易。 如未按市场 交易的公平 原则与上市 公司及其控 股子公司发 生交易，而给 上市公司及</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61.416992pt;margin-top:72.47998pt;width:62.1pt;height:686.5pt;mso-position-horizontal-relative:page;mso-position-vertical-relative:page;z-index:-119620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14"/>
                      <w:szCs w:val="14"/>
                    </w:rPr>
                  </w:pPr>
                </w:p>
                <w:p>
                  <w:pPr>
                    <w:pStyle w:val="BodyText"/>
                    <w:spacing w:line="240" w:lineRule="auto" w:before="0"/>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其控股子公</w:t>
            </w:r>
          </w:p>
        </w:tc>
        <w:tc>
          <w:tcPr>
            <w:tcW w:w="1126" w:type="dxa"/>
            <w:vMerge w:val="restart"/>
            <w:tcBorders>
              <w:top w:val="single" w:sz="4" w:space="0" w:color="000000"/>
              <w:left w:val="single" w:sz="4" w:space="0" w:color="000000"/>
              <w:right w:val="single" w:sz="4" w:space="0" w:color="000000"/>
            </w:tcBorders>
          </w:tcPr>
          <w:p>
            <w:pPr>
              <w:pStyle w:val="TableParagraph"/>
              <w:spacing w:line="1372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5pt;height:686.5pt;mso-position-horizontal-relative:char;mso-position-vertical-relative:line" coordorigin="0,0" coordsize="1117,13730">
                  <v:group style="position:absolute;left:0;top:0;width:1117;height:13730" coordorigin="0,0" coordsize="1117,13730">
                    <v:shape style="position:absolute;left:0;top:0;width:1117;height:13730" coordorigin="0,0" coordsize="1117,13730" path="m0,13729l1116,13729,1116,0,0,0,0,13729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司造成损失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或已经造成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损失，由本方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承担赔偿责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w:t>
            </w:r>
            <w:r>
              <w:rPr>
                <w:rFonts w:ascii="Times New Roman" w:hAnsi="Times New Roman" w:cs="Times New Roman" w:eastAsia="Times New Roman" w:hint="default"/>
                <w:sz w:val="18"/>
                <w:szCs w:val="18"/>
              </w:rPr>
              <w:t>2</w:t>
            </w:r>
            <w:r>
              <w:rPr>
                <w:rFonts w:ascii="宋体" w:hAnsi="宋体" w:cs="宋体" w:eastAsia="宋体" w:hint="default"/>
                <w:sz w:val="18"/>
                <w:szCs w:val="18"/>
              </w:rPr>
              <w:t>、本方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将善意履行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作为上市公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司股东的义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务，充分尊重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上市公司的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独立法人地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位，保障上市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公司独立经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营、自主决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策。本方将严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格按照中国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《公司法》以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及上市公司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的公司章程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的规定，促使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经本方提名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的上市公司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董事（如有）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依法履行其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应尽的诚信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和勤勉责任。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、本方以及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本方控股或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实际控制的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其他公司或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者其他企业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或经济组织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（以下统称</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本方的关联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企业</w:t>
            </w:r>
            <w:r>
              <w:rPr>
                <w:rFonts w:ascii="Times New Roman" w:hAnsi="Times New Roman" w:cs="Times New Roman" w:eastAsia="Times New Roman" w:hint="default"/>
                <w:spacing w:val="-1"/>
                <w:w w:val="99"/>
                <w:sz w:val="18"/>
                <w:szCs w:val="18"/>
              </w:rPr>
              <w:t>"</w:t>
            </w:r>
            <w:r>
              <w:rPr>
                <w:rFonts w:ascii="宋体" w:hAnsi="宋体" w:cs="宋体" w:eastAsia="宋体" w:hint="default"/>
                <w:spacing w:val="-85"/>
                <w:sz w:val="18"/>
                <w:szCs w:val="18"/>
              </w:rPr>
              <w:t>，</w:t>
            </w:r>
            <w:r>
              <w:rPr>
                <w:rFonts w:ascii="宋体" w:hAnsi="宋体" w:cs="宋体" w:eastAsia="宋体" w:hint="default"/>
                <w:sz w:val="18"/>
                <w:szCs w:val="18"/>
              </w:rPr>
              <w:t>如有）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将来尽可能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避免与上市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公司发生关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联交易。</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本方及本方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的关联企业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承诺不以借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款、代偿债</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61.480011pt;margin-top:72.47998pt;width:62pt;height:686.5pt;mso-position-horizontal-relative:page;mso-position-vertical-relative:page;z-index:-119615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20"/>
                      <w:szCs w:val="20"/>
                    </w:rPr>
                  </w:pPr>
                </w:p>
                <w:p>
                  <w:pPr>
                    <w:pStyle w:val="BodyText"/>
                    <w:spacing w:line="240" w:lineRule="auto" w:before="0"/>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务、代垫款项</w:t>
            </w:r>
          </w:p>
        </w:tc>
        <w:tc>
          <w:tcPr>
            <w:tcW w:w="1126" w:type="dxa"/>
            <w:vMerge w:val="restart"/>
            <w:tcBorders>
              <w:top w:val="single" w:sz="4" w:space="0" w:color="000000"/>
              <w:left w:val="single" w:sz="4" w:space="0" w:color="000000"/>
              <w:right w:val="single" w:sz="4" w:space="0" w:color="000000"/>
            </w:tcBorders>
          </w:tcPr>
          <w:p>
            <w:pPr>
              <w:pStyle w:val="TableParagraph"/>
              <w:spacing w:line="1372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5pt;height:686.5pt;mso-position-horizontal-relative:char;mso-position-vertical-relative:line" coordorigin="0,0" coordsize="1117,13730">
                  <v:group style="position:absolute;left:0;top:0;width:1117;height:13730" coordorigin="0,0" coordsize="1117,13730">
                    <v:shape style="position:absolute;left:0;top:0;width:1117;height:13730" coordorigin="0,0" coordsize="1117,13730" path="m0,13729l1116,13729,1116,0,0,0,0,13729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或者其他方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式占用上市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公司资金，也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不要求上市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公司为本方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及本方的关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联企业进行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违规担保。</w:t>
            </w:r>
            <w:r>
              <w:rPr>
                <w:rFonts w:ascii="Times New Roman" w:hAnsi="Times New Roman" w:cs="Times New Roman" w:eastAsia="Times New Roman" w:hint="default"/>
                <w:sz w:val="18"/>
                <w:szCs w:val="18"/>
              </w:rPr>
              <w:t>5</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如果上市公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司在今后的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经营活动中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必须与本方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或本方的关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联企业发生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不可避免的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关联交易，本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方将促使此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等交易严格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按照国家有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关法律法规、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上市公司章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程和上市公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司的有关规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定履行有关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程序，在上市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公司股东大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会对关联交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易进行表决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时，本方严格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履行回避表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决的义务；与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上市公司依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法签订协议，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及时进行信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息披露；保证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按照正常的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商业条件进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行，且本方及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本方的关联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企业将不会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要求或接受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上市公司给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予比在任何</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61.480011pt;margin-top:72.47998pt;width:62pt;height:470.1pt;mso-position-horizontal-relative:page;mso-position-vertical-relative:page;z-index:-119610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50"/>
                    <w:ind w:left="0" w:right="0"/>
                    <w:jc w:val="left"/>
                  </w:pPr>
                  <w:r>
                    <w:rPr/>
                    <w:t>、</w:t>
                  </w:r>
                </w:p>
              </w:txbxContent>
            </v:textbox>
            <w10:wrap type="none"/>
          </v:shape>
        </w:pict>
      </w:r>
    </w:p>
    <w:p>
      <w:pPr>
        <w:spacing w:line="240" w:lineRule="auto" w:before="10"/>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9411"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一项市场公 平交易中第 三者更优惠 </w:t>
            </w:r>
            <w:r>
              <w:rPr>
                <w:rFonts w:ascii="宋体" w:hAnsi="宋体" w:cs="宋体" w:eastAsia="宋体" w:hint="default"/>
                <w:spacing w:val="-2"/>
                <w:sz w:val="18"/>
                <w:szCs w:val="18"/>
              </w:rPr>
              <w:t>的条件，保证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不通过关联 交易损害上 市公司及其 他股东的合 法权益。</w:t>
            </w:r>
            <w:r>
              <w:rPr>
                <w:rFonts w:ascii="Times New Roman" w:hAnsi="Times New Roman" w:cs="Times New Roman" w:eastAsia="Times New Roman" w:hint="default"/>
                <w:sz w:val="18"/>
                <w:szCs w:val="18"/>
              </w:rPr>
              <w:t>6</w:t>
            </w:r>
            <w:r>
              <w:rPr>
                <w:rFonts w:ascii="宋体" w:hAnsi="宋体" w:cs="宋体" w:eastAsia="宋体" w:hint="default"/>
                <w:sz w:val="18"/>
                <w:szCs w:val="18"/>
              </w:rPr>
              <w:t>、 本方及本方 的关联企业 将严格和善 意地履行其 与上市公司 签订的各种 关联交易协 </w:t>
            </w:r>
            <w:r>
              <w:rPr>
                <w:rFonts w:ascii="宋体" w:hAnsi="宋体" w:cs="宋体" w:eastAsia="宋体" w:hint="default"/>
                <w:spacing w:val="-2"/>
                <w:sz w:val="18"/>
                <w:szCs w:val="18"/>
              </w:rPr>
              <w:t>议。本方及本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方的关联企 业将不会向 上市公司谋 求任何超出 上述协议规 定以外的利 益或收益。</w:t>
            </w:r>
            <w:r>
              <w:rPr>
                <w:rFonts w:ascii="Times New Roman" w:hAnsi="Times New Roman" w:cs="Times New Roman" w:eastAsia="Times New Roman" w:hint="default"/>
                <w:sz w:val="18"/>
                <w:szCs w:val="18"/>
              </w:rPr>
              <w:t>7 </w:t>
            </w:r>
            <w:r>
              <w:rPr>
                <w:rFonts w:ascii="宋体" w:hAnsi="宋体" w:cs="宋体" w:eastAsia="宋体" w:hint="default"/>
                <w:sz w:val="18"/>
                <w:szCs w:val="18"/>
              </w:rPr>
              <w:t>如违反上述 承诺给上市 公司造成损 </w:t>
            </w:r>
            <w:r>
              <w:rPr>
                <w:rFonts w:ascii="宋体" w:hAnsi="宋体" w:cs="宋体" w:eastAsia="宋体" w:hint="default"/>
                <w:spacing w:val="-2"/>
                <w:sz w:val="18"/>
                <w:szCs w:val="18"/>
              </w:rPr>
              <w:t>失，本方将向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上市公司作 出赔偿。</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9401"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7"/>
                <w:sz w:val="20"/>
                <w:szCs w:val="20"/>
              </w:rPr>
              <w:pict>
                <v:group style="width:55.85pt;height:470.1pt;mso-position-horizontal-relative:char;mso-position-vertical-relative:line" coordorigin="0,0" coordsize="1117,9402">
                  <v:group style="position:absolute;left:0;top:0;width:1117;height:9402" coordorigin="0,0" coordsize="1117,9402">
                    <v:shape style="position:absolute;left:0;top:0;width:1117;height:9402" coordorigin="0,0" coordsize="1117,9402" path="m0,9402l1116,9402,1116,0,0,0,0,9402xe" filled="true" fillcolor="#ffffff" stroked="false">
                      <v:path arrowok="t"/>
                      <v:fill type="solid"/>
                    </v:shape>
                  </v:group>
                </v:group>
              </w:pict>
            </w:r>
            <w:r>
              <w:rPr>
                <w:rFonts w:ascii="Times New Roman" w:hAnsi="Times New Roman" w:cs="Times New Roman" w:eastAsia="Times New Roman" w:hint="default"/>
                <w:position w:val="-187"/>
                <w:sz w:val="20"/>
                <w:szCs w:val="20"/>
              </w:rPr>
            </w: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4419"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束龙胜</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关于股份锁 定的承诺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１、公司本次 资产重组发 行取得的新 增股份的锁 定期为自本 次交易新增 股份上市之 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内不得转让； ２、本次交易 前束龙胜、芜 湖市鑫诚科 技投资有限 公司持有的</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28 </w:t>
            </w:r>
            <w:r>
              <w:rPr>
                <w:rFonts w:ascii="宋体" w:hAnsi="宋体" w:cs="宋体" w:eastAsia="宋体" w:hint="default"/>
                <w:sz w:val="18"/>
                <w:szCs w:val="18"/>
              </w:rPr>
              <w:t>日到</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上市公司股</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份自本次交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易完成后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个月内不转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让；３、本次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交易完成后，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束龙胜暂无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减持所持上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市公司股份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的计划，但不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排除未来三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年内减持其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所持上市公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司股份的可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能性；４、本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次交易完成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后，束龙胜没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有放弃上市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公司控制权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的计划；５、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在本次交易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完成后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月内，束龙胜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及其一致行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动人芜湖市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鑫诚科技投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资有限公司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若减持上市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公司股份，保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证减持后合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计持有的上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市公司有表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决权的股份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比例与瞿洪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桂所持的上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市公司有表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决权的股份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比例的差额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不低于本次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交易完成时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双方的比例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差额</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11.92%</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（含瞿洪桂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放弃表决权</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674"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10"/>
              <w:ind w:left="22" w:right="359"/>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比 </w:t>
            </w:r>
            <w:r>
              <w:rPr>
                <w:rFonts w:ascii="宋体" w:hAnsi="宋体" w:cs="宋体" w:eastAsia="宋体" w:hint="default"/>
                <w:spacing w:val="-30"/>
                <w:sz w:val="18"/>
                <w:szCs w:val="18"/>
              </w:rPr>
              <w:t>例）。</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4770"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束龙胜</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关于同业竞 争的承诺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本方及本方 控制（包括直 接控制和间 接控制）的企 业目前没有， 将来也不以 任何方式直 接或间接从 事与上市公 司及其控股 子公司现有 及将来从事 的业务构成 同业竞争的 任何活动。</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847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束龙胜</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关于关联交 易的承诺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、就本方及 本方控制的 企业（如有） 与上市公司 及其控股子 公司之间已 存在及将来 不可避免发 生的关联交 易事项，保证 遵循市场交 易的公平原 则即正常的 商业条款与 上市公司及 其控股子公 司发生交易。 如未按市场 交易的公平 原则与上市 公司及其控 股子公司发 生交易，而给 上市公司及 其控股子公 司造成损失 或已经造成</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473.880005pt;margin-top:121.79998pt;width:61pt;height:101.45pt;mso-position-horizontal-relative:page;mso-position-vertical-relative:page;z-index:-119608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61"/>
                    <w:ind w:left="0" w:right="0"/>
                    <w:jc w:val="left"/>
                  </w:pPr>
                  <w:r>
                    <w:rPr/>
                    <w:t>）</w:t>
                  </w:r>
                </w:p>
              </w:txbxContent>
            </v:textbox>
            <w10:wrap type="none"/>
          </v:shape>
        </w:pict>
      </w:r>
      <w:r>
        <w:rPr/>
        <w:pict>
          <v:group style="position:absolute;margin-left:480pt;margin-top:121.79998pt;width:54.85pt;height:101.45pt;mso-position-horizontal-relative:page;mso-position-vertical-relative:page;z-index:-1196056" coordorigin="9600,2436" coordsize="1097,2029">
            <v:shape style="position:absolute;left:9600;top:2436;width:1097;height:2029" coordorigin="9600,2436" coordsize="1097,2029" path="m9600,4464l10697,4464,10697,2436,9600,2436,9600,4464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损失，由本方</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承担赔偿责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任。</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第一期：解锁</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不超过本次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认购的全部</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上市公司股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份的</w:t>
            </w:r>
            <w:r>
              <w:rPr>
                <w:rFonts w:ascii="宋体" w:hAnsi="宋体" w:cs="宋体" w:eastAsia="宋体" w:hint="default"/>
                <w:spacing w:val="-43"/>
                <w:sz w:val="18"/>
                <w:szCs w:val="18"/>
              </w:rPr>
              <w:t> </w:t>
            </w:r>
            <w:r>
              <w:rPr>
                <w:rFonts w:ascii="Times New Roman" w:hAnsi="Times New Roman" w:cs="Times New Roman" w:eastAsia="Times New Roman" w:hint="default"/>
                <w:spacing w:val="-11"/>
                <w:sz w:val="18"/>
                <w:szCs w:val="18"/>
              </w:rPr>
              <w:t>24%</w:t>
            </w:r>
            <w:r>
              <w:rPr>
                <w:rFonts w:ascii="宋体" w:hAnsi="宋体" w:cs="宋体" w:eastAsia="宋体" w:hint="default"/>
                <w:spacing w:val="-11"/>
                <w:sz w:val="18"/>
                <w:szCs w:val="18"/>
              </w:rPr>
              <w:t>；第</w:t>
            </w:r>
            <w:r>
              <w:rPr>
                <w:rFonts w:ascii="宋体" w:hAnsi="宋体" w:cs="宋体" w:eastAsia="宋体" w:hint="default"/>
                <w:sz w:val="18"/>
                <w:szCs w:val="18"/>
              </w:rPr>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08"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瞿洪桂、张桂</w:t>
            </w: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二期：解锁不</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日</w:t>
            </w:r>
            <w:r>
              <w:rPr>
                <w:rFonts w:ascii="宋体" w:hAnsi="宋体" w:cs="宋体" w:eastAsia="宋体" w:hint="default"/>
                <w:spacing w:val="-18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p>
        </w:tc>
        <w:tc>
          <w:tcPr>
            <w:tcW w:w="1108" w:type="dxa"/>
            <w:tcBorders>
              <w:top w:val="nil" w:sz="6" w:space="0" w:color="auto"/>
              <w:left w:val="single" w:sz="4" w:space="0" w:color="000000"/>
              <w:bottom w:val="nil" w:sz="6" w:space="0" w:color="auto"/>
              <w:right w:val="single" w:sz="4" w:space="0" w:color="000000"/>
            </w:tcBorders>
          </w:tcPr>
          <w:p>
            <w:pPr/>
          </w:p>
        </w:tc>
      </w:tr>
      <w:tr>
        <w:trPr>
          <w:trHeight w:val="625"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3" w:right="10"/>
              <w:jc w:val="left"/>
              <w:rPr>
                <w:rFonts w:ascii="宋体" w:hAnsi="宋体" w:cs="宋体" w:eastAsia="宋体" w:hint="default"/>
                <w:sz w:val="18"/>
                <w:szCs w:val="18"/>
              </w:rPr>
            </w:pPr>
            <w:r>
              <w:rPr>
                <w:rFonts w:ascii="宋体" w:hAnsi="宋体" w:cs="宋体" w:eastAsia="宋体" w:hint="default"/>
                <w:sz w:val="18"/>
                <w:szCs w:val="18"/>
              </w:rPr>
              <w:t>芹、孟涛、吴 小岭、郭晨、</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22" w:right="191"/>
              <w:jc w:val="left"/>
              <w:rPr>
                <w:rFonts w:ascii="宋体" w:hAnsi="宋体" w:cs="宋体" w:eastAsia="宋体" w:hint="default"/>
                <w:sz w:val="18"/>
                <w:szCs w:val="18"/>
              </w:rPr>
            </w:pPr>
            <w:r>
              <w:rPr>
                <w:rFonts w:ascii="宋体" w:hAnsi="宋体" w:cs="宋体" w:eastAsia="宋体" w:hint="default"/>
                <w:sz w:val="18"/>
                <w:szCs w:val="18"/>
              </w:rPr>
              <w:t>关于股份锁 定的承诺</w:t>
            </w: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192"/>
              <w:jc w:val="left"/>
              <w:rPr>
                <w:rFonts w:ascii="宋体" w:hAnsi="宋体" w:cs="宋体" w:eastAsia="宋体" w:hint="default"/>
                <w:sz w:val="18"/>
                <w:szCs w:val="18"/>
              </w:rPr>
            </w:pPr>
            <w:r>
              <w:rPr>
                <w:rFonts w:ascii="宋体" w:hAnsi="宋体" w:cs="宋体" w:eastAsia="宋体" w:hint="default"/>
                <w:sz w:val="18"/>
                <w:szCs w:val="18"/>
              </w:rPr>
              <w:t>超过本次认 购的全部上</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311"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周超、何利</w:t>
            </w: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市公司股份</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08"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2"/>
                <w:sz w:val="18"/>
                <w:szCs w:val="18"/>
              </w:rPr>
              <w:t> </w:t>
            </w:r>
            <w:r>
              <w:rPr>
                <w:rFonts w:ascii="Times New Roman" w:hAnsi="Times New Roman" w:cs="Times New Roman" w:eastAsia="Times New Roman" w:hint="default"/>
                <w:spacing w:val="-5"/>
                <w:sz w:val="18"/>
                <w:szCs w:val="18"/>
              </w:rPr>
              <w:t>35%</w:t>
            </w:r>
            <w:r>
              <w:rPr>
                <w:rFonts w:ascii="宋体" w:hAnsi="宋体" w:cs="宋体" w:eastAsia="宋体" w:hint="default"/>
                <w:spacing w:val="-5"/>
                <w:sz w:val="18"/>
                <w:szCs w:val="18"/>
              </w:rPr>
              <w:t>；第三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tcBorders>
              <w:top w:val="nil" w:sz="6" w:space="0" w:color="auto"/>
              <w:left w:val="single" w:sz="4" w:space="0" w:color="000000"/>
              <w:bottom w:val="nil" w:sz="6" w:space="0" w:color="auto"/>
              <w:right w:val="single" w:sz="4" w:space="0" w:color="000000"/>
            </w:tcBorders>
          </w:tcPr>
          <w:p>
            <w:pPr/>
          </w:p>
        </w:tc>
      </w:tr>
      <w:tr>
        <w:trPr>
          <w:trHeight w:val="306"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期：解锁本次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认购的全部</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上市公司股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份。</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若本合伙企</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业取得本次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非公开发行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的股份时，用</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于认购股份</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的本合伙企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业所持中电</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兴发股权持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续拥有权益</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的时间不足</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pacing w:val="-12"/>
                <w:sz w:val="18"/>
                <w:szCs w:val="18"/>
              </w:rPr>
              <w:t>个月，则本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金石泓信</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22" w:right="191"/>
              <w:jc w:val="left"/>
              <w:rPr>
                <w:rFonts w:ascii="宋体" w:hAnsi="宋体" w:cs="宋体" w:eastAsia="宋体" w:hint="default"/>
                <w:sz w:val="18"/>
                <w:szCs w:val="18"/>
              </w:rPr>
            </w:pPr>
            <w:r>
              <w:rPr>
                <w:rFonts w:ascii="宋体" w:hAnsi="宋体" w:cs="宋体" w:eastAsia="宋体" w:hint="default"/>
                <w:sz w:val="18"/>
                <w:szCs w:val="18"/>
              </w:rPr>
              <w:t>关于股份锁 定的承诺</w:t>
            </w: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103"/>
              <w:jc w:val="both"/>
              <w:rPr>
                <w:rFonts w:ascii="宋体" w:hAnsi="宋体" w:cs="宋体" w:eastAsia="宋体" w:hint="default"/>
                <w:sz w:val="18"/>
                <w:szCs w:val="18"/>
              </w:rPr>
            </w:pPr>
            <w:r>
              <w:rPr>
                <w:rFonts w:ascii="宋体" w:hAnsi="宋体" w:cs="宋体" w:eastAsia="宋体" w:hint="default"/>
                <w:sz w:val="18"/>
                <w:szCs w:val="18"/>
              </w:rPr>
              <w:t>合伙企业在 本次新增股 份上市之日 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28 </w:t>
            </w:r>
            <w:r>
              <w:rPr>
                <w:rFonts w:ascii="宋体" w:hAnsi="宋体" w:cs="宋体" w:eastAsia="宋体" w:hint="default"/>
                <w:sz w:val="18"/>
                <w:szCs w:val="18"/>
              </w:rPr>
              <w:t>日到</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不会转让或</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委托他人管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理，也不会要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求鑫龙电器</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收购本合伙</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企业所持有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的鑫龙电器</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本次向本合</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伙企业非公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开发行的股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票。</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61.480011pt;margin-top:455.439972pt;width:62pt;height:202.8pt;mso-position-horizontal-relative:page;mso-position-vertical-relative:page;z-index:-119600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16"/>
                      <w:szCs w:val="16"/>
                    </w:rPr>
                  </w:pPr>
                </w:p>
                <w:p>
                  <w:pPr>
                    <w:pStyle w:val="BodyText"/>
                    <w:spacing w:line="240" w:lineRule="auto" w:before="0"/>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2898"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9"/>
              <w:ind w:left="23" w:right="21"/>
              <w:jc w:val="both"/>
              <w:rPr>
                <w:rFonts w:ascii="宋体" w:hAnsi="宋体" w:cs="宋体" w:eastAsia="宋体" w:hint="default"/>
                <w:sz w:val="18"/>
                <w:szCs w:val="18"/>
              </w:rPr>
            </w:pPr>
            <w:r>
              <w:rPr>
                <w:rFonts w:ascii="宋体" w:hAnsi="宋体" w:cs="宋体" w:eastAsia="宋体" w:hint="default"/>
                <w:spacing w:val="-2"/>
                <w:sz w:val="18"/>
                <w:szCs w:val="18"/>
              </w:rPr>
              <w:t>束龙胜、理鼎</w:t>
            </w:r>
            <w:r>
              <w:rPr>
                <w:rFonts w:ascii="宋体" w:hAnsi="宋体" w:cs="宋体" w:eastAsia="宋体" w:hint="default"/>
                <w:sz w:val="18"/>
                <w:szCs w:val="18"/>
              </w:rPr>
              <w:t> </w:t>
            </w:r>
            <w:r>
              <w:rPr>
                <w:rFonts w:ascii="宋体" w:hAnsi="宋体" w:cs="宋体" w:eastAsia="宋体" w:hint="default"/>
                <w:spacing w:val="-2"/>
                <w:sz w:val="18"/>
                <w:szCs w:val="18"/>
              </w:rPr>
              <w:t>投资、中金国</w:t>
            </w:r>
            <w:r>
              <w:rPr>
                <w:rFonts w:ascii="宋体" w:hAnsi="宋体" w:cs="宋体" w:eastAsia="宋体" w:hint="default"/>
                <w:sz w:val="18"/>
                <w:szCs w:val="18"/>
              </w:rPr>
              <w:t> </w:t>
            </w:r>
            <w:r>
              <w:rPr>
                <w:rFonts w:ascii="宋体" w:hAnsi="宋体" w:cs="宋体" w:eastAsia="宋体" w:hint="default"/>
                <w:spacing w:val="-2"/>
                <w:sz w:val="18"/>
                <w:szCs w:val="18"/>
              </w:rPr>
              <w:t>联、乐源财富</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8"/>
              <w:ind w:left="22" w:right="191"/>
              <w:jc w:val="left"/>
              <w:rPr>
                <w:rFonts w:ascii="宋体" w:hAnsi="宋体" w:cs="宋体" w:eastAsia="宋体" w:hint="default"/>
                <w:sz w:val="18"/>
                <w:szCs w:val="18"/>
              </w:rPr>
            </w:pPr>
            <w:r>
              <w:rPr>
                <w:rFonts w:ascii="宋体" w:hAnsi="宋体" w:cs="宋体" w:eastAsia="宋体" w:hint="default"/>
                <w:sz w:val="18"/>
                <w:szCs w:val="18"/>
              </w:rPr>
              <w:t>关于股份锁 定的承诺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9"/>
              <w:jc w:val="both"/>
              <w:rPr>
                <w:rFonts w:ascii="宋体" w:hAnsi="宋体" w:cs="宋体" w:eastAsia="宋体" w:hint="default"/>
                <w:sz w:val="18"/>
                <w:szCs w:val="18"/>
              </w:rPr>
            </w:pPr>
            <w:r>
              <w:rPr>
                <w:rFonts w:ascii="宋体" w:hAnsi="宋体" w:cs="宋体" w:eastAsia="宋体" w:hint="default"/>
                <w:sz w:val="18"/>
                <w:szCs w:val="18"/>
              </w:rPr>
              <w:t>本次发行取 得的鑫龙电 器新增股份 的锁定期为 自本次交易 新增股份上 市之日起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个月内不得 转让。</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28 </w:t>
            </w:r>
            <w:r>
              <w:rPr>
                <w:rFonts w:ascii="宋体" w:hAnsi="宋体" w:cs="宋体" w:eastAsia="宋体" w:hint="default"/>
                <w:sz w:val="18"/>
                <w:szCs w:val="18"/>
              </w:rPr>
              <w:t>日到</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8826"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束龙胜</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、在任职董 事期间每年 转让的公司 股份不超过 其所持有股 份总数的百 分之二十五； 在离职后半 年内，不转让 所持有的股 份。还承诺： 在任职鑫诚 科技董事期 间每年转让 的鑫诚科技 股权不超过 其所持有鑫 诚科技股权 总数的百分 之二十五；在 离职后半年 内，不转让所 持有的鑫诚 科技股权。</w:t>
            </w:r>
            <w:r>
              <w:rPr>
                <w:rFonts w:ascii="Times New Roman" w:hAnsi="Times New Roman" w:cs="Times New Roman" w:eastAsia="Times New Roman" w:hint="default"/>
                <w:sz w:val="18"/>
                <w:szCs w:val="18"/>
              </w:rPr>
              <w:t>2 </w:t>
            </w:r>
            <w:r>
              <w:rPr>
                <w:rFonts w:ascii="宋体" w:hAnsi="宋体" w:cs="宋体" w:eastAsia="宋体" w:hint="default"/>
                <w:sz w:val="18"/>
                <w:szCs w:val="18"/>
              </w:rPr>
              <w:t>避免同业竞 争、规范和减 少关联交易 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14"/>
                <w:szCs w:val="14"/>
              </w:rPr>
            </w:pPr>
          </w:p>
          <w:p>
            <w:pPr>
              <w:pStyle w:val="TableParagraph"/>
              <w:spacing w:line="4056"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0"/>
                <w:sz w:val="20"/>
                <w:szCs w:val="20"/>
              </w:rPr>
              <w:pict>
                <v:group style="width:55.85pt;height:202.8pt;mso-position-horizontal-relative:char;mso-position-vertical-relative:line" coordorigin="0,0" coordsize="1117,4056">
                  <v:group style="position:absolute;left:0;top:0;width:1117;height:4056" coordorigin="0,0" coordsize="1117,4056">
                    <v:shape style="position:absolute;left:0;top:0;width:1117;height:4056" coordorigin="0,0" coordsize="1117,4056" path="m0,4056l1116,4056,1116,0,0,0,0,4056xe" filled="true" fillcolor="#ffffff" stroked="false">
                      <v:path arrowok="t"/>
                      <v:fill type="solid"/>
                    </v:shape>
                  </v:group>
                </v:group>
              </w:pict>
            </w:r>
            <w:r>
              <w:rPr>
                <w:rFonts w:ascii="Times New Roman" w:hAnsi="Times New Roman" w:cs="Times New Roman" w:eastAsia="Times New Roman" w:hint="default"/>
                <w:position w:val="-80"/>
                <w:sz w:val="20"/>
                <w:szCs w:val="20"/>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1923"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汪宇</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2"/>
              <w:jc w:val="both"/>
              <w:rPr>
                <w:rFonts w:ascii="宋体" w:hAnsi="宋体" w:cs="宋体" w:eastAsia="宋体" w:hint="default"/>
                <w:sz w:val="18"/>
                <w:szCs w:val="18"/>
              </w:rPr>
            </w:pPr>
            <w:r>
              <w:rPr>
                <w:rFonts w:ascii="宋体" w:hAnsi="宋体" w:cs="宋体" w:eastAsia="宋体" w:hint="default"/>
                <w:sz w:val="18"/>
                <w:szCs w:val="18"/>
              </w:rPr>
              <w:t>在任职高管 期间每年转 让的公司股 份不超过其 所持有股份 总数的百分</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36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之二十五。</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闫涛</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2"/>
              <w:jc w:val="both"/>
              <w:rPr>
                <w:rFonts w:ascii="宋体" w:hAnsi="宋体" w:cs="宋体" w:eastAsia="宋体" w:hint="default"/>
                <w:sz w:val="18"/>
                <w:szCs w:val="18"/>
              </w:rPr>
            </w:pPr>
            <w:r>
              <w:rPr>
                <w:rFonts w:ascii="宋体" w:hAnsi="宋体" w:cs="宋体" w:eastAsia="宋体" w:hint="default"/>
                <w:sz w:val="18"/>
                <w:szCs w:val="18"/>
              </w:rPr>
              <w:t>在任职高管 期间每年转 让的公司股 份不超过其 所持有股份 总数的百分 之二十五。</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2274"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李小庆</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2"/>
              <w:jc w:val="both"/>
              <w:rPr>
                <w:rFonts w:ascii="宋体" w:hAnsi="宋体" w:cs="宋体" w:eastAsia="宋体" w:hint="default"/>
                <w:sz w:val="18"/>
                <w:szCs w:val="18"/>
              </w:rPr>
            </w:pPr>
            <w:r>
              <w:rPr>
                <w:rFonts w:ascii="宋体" w:hAnsi="宋体" w:cs="宋体" w:eastAsia="宋体" w:hint="default"/>
                <w:sz w:val="18"/>
                <w:szCs w:val="18"/>
              </w:rPr>
              <w:t>在任职高管 期间每年转 让的公司股 份不超过其 所持有股份 总数的百分 之二十五。</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2274"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陶黎明</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2"/>
              <w:jc w:val="both"/>
              <w:rPr>
                <w:rFonts w:ascii="宋体" w:hAnsi="宋体" w:cs="宋体" w:eastAsia="宋体" w:hint="default"/>
                <w:sz w:val="18"/>
                <w:szCs w:val="18"/>
              </w:rPr>
            </w:pPr>
            <w:r>
              <w:rPr>
                <w:rFonts w:ascii="宋体" w:hAnsi="宋体" w:cs="宋体" w:eastAsia="宋体" w:hint="default"/>
                <w:sz w:val="18"/>
                <w:szCs w:val="18"/>
              </w:rPr>
              <w:t>在任职高管 期间每年转 让的公司股 份不超过其 所持有股份 总数的百分 之二十五。</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3834"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3" w:right="0"/>
              <w:jc w:val="left"/>
              <w:rPr>
                <w:rFonts w:ascii="宋体" w:hAnsi="宋体" w:cs="宋体" w:eastAsia="宋体" w:hint="default"/>
                <w:sz w:val="18"/>
                <w:szCs w:val="18"/>
              </w:rPr>
            </w:pPr>
            <w:r>
              <w:rPr>
                <w:rFonts w:ascii="宋体" w:hAnsi="宋体" w:cs="宋体" w:eastAsia="宋体" w:hint="default"/>
                <w:sz w:val="18"/>
                <w:szCs w:val="18"/>
              </w:rPr>
              <w:t>孙国财</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
              <w:jc w:val="left"/>
              <w:rPr>
                <w:rFonts w:ascii="宋体" w:hAnsi="宋体" w:cs="宋体" w:eastAsia="宋体" w:hint="default"/>
                <w:sz w:val="18"/>
                <w:szCs w:val="18"/>
              </w:rPr>
            </w:pPr>
            <w:r>
              <w:rPr>
                <w:rFonts w:ascii="宋体" w:hAnsi="宋体" w:cs="宋体" w:eastAsia="宋体" w:hint="default"/>
                <w:sz w:val="18"/>
                <w:szCs w:val="18"/>
              </w:rPr>
              <w:t>离任董事在 其申报离任 六个月后的 十二个月内 通过证券交 易所挂牌交 易出售本公 司股票数量 占其所持有 本公司股票 总数的比例 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13 </w:t>
            </w:r>
            <w:r>
              <w:rPr>
                <w:rFonts w:ascii="宋体" w:hAnsi="宋体" w:cs="宋体" w:eastAsia="宋体" w:hint="default"/>
                <w:sz w:val="18"/>
                <w:szCs w:val="18"/>
              </w:rPr>
              <w:t>日到</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2859"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张祥</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2"/>
              <w:jc w:val="both"/>
              <w:rPr>
                <w:rFonts w:ascii="宋体" w:hAnsi="宋体" w:cs="宋体" w:eastAsia="宋体" w:hint="default"/>
                <w:sz w:val="18"/>
                <w:szCs w:val="18"/>
              </w:rPr>
            </w:pPr>
            <w:r>
              <w:rPr>
                <w:rFonts w:ascii="宋体" w:hAnsi="宋体" w:cs="宋体" w:eastAsia="宋体" w:hint="default"/>
                <w:sz w:val="18"/>
                <w:szCs w:val="18"/>
              </w:rPr>
              <w:t>离任高管在 其申报离任 六个月后的 十二个月内 通过证券交 易所挂牌交 易出售本公 司股票数量 占其所持有</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13 </w:t>
            </w:r>
            <w:r>
              <w:rPr>
                <w:rFonts w:ascii="宋体" w:hAnsi="宋体" w:cs="宋体" w:eastAsia="宋体" w:hint="default"/>
                <w:sz w:val="18"/>
                <w:szCs w:val="18"/>
              </w:rPr>
              <w:t>日到</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986"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
              <w:jc w:val="left"/>
              <w:rPr>
                <w:rFonts w:ascii="宋体" w:hAnsi="宋体" w:cs="宋体" w:eastAsia="宋体" w:hint="default"/>
                <w:sz w:val="18"/>
                <w:szCs w:val="18"/>
              </w:rPr>
            </w:pPr>
            <w:r>
              <w:rPr>
                <w:rFonts w:ascii="宋体" w:hAnsi="宋体" w:cs="宋体" w:eastAsia="宋体" w:hint="default"/>
                <w:sz w:val="18"/>
                <w:szCs w:val="18"/>
              </w:rPr>
              <w:t>本公司股票 总数的比例 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508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3" w:right="190"/>
              <w:jc w:val="both"/>
              <w:rPr>
                <w:rFonts w:ascii="宋体" w:hAnsi="宋体" w:cs="宋体" w:eastAsia="宋体" w:hint="default"/>
                <w:sz w:val="18"/>
                <w:szCs w:val="18"/>
              </w:rPr>
            </w:pPr>
            <w:r>
              <w:rPr>
                <w:rFonts w:ascii="宋体" w:hAnsi="宋体" w:cs="宋体" w:eastAsia="宋体" w:hint="default"/>
                <w:sz w:val="18"/>
                <w:szCs w:val="18"/>
              </w:rPr>
              <w:t>安徽中电兴 发与鑫龙科 技股份有限 公司</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在公司盈利 且现金能够 满足公司持 续经营和长 期发展的前 </w:t>
            </w:r>
            <w:r>
              <w:rPr>
                <w:rFonts w:ascii="宋体" w:hAnsi="宋体" w:cs="宋体" w:eastAsia="宋体" w:hint="default"/>
                <w:spacing w:val="-2"/>
                <w:sz w:val="18"/>
                <w:szCs w:val="18"/>
              </w:rPr>
              <w:t>提下，公司计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划未来三年</w:t>
            </w:r>
          </w:p>
          <w:p>
            <w:pPr>
              <w:pStyle w:val="TableParagraph"/>
              <w:spacing w:line="314" w:lineRule="auto" w:before="19"/>
              <w:ind w:left="22" w:right="2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宋体" w:hAnsi="宋体" w:cs="宋体" w:eastAsia="宋体" w:hint="default"/>
                <w:sz w:val="18"/>
                <w:szCs w:val="18"/>
              </w:rPr>
              <w:t>－ </w:t>
            </w:r>
            <w:r>
              <w:rPr>
                <w:rFonts w:ascii="Times New Roman" w:hAnsi="Times New Roman" w:cs="Times New Roman" w:eastAsia="Times New Roman" w:hint="default"/>
                <w:spacing w:val="-2"/>
                <w:sz w:val="18"/>
                <w:szCs w:val="18"/>
              </w:rPr>
              <w:t>2020</w:t>
            </w:r>
            <w:r>
              <w:rPr>
                <w:rFonts w:ascii="宋体" w:hAnsi="宋体" w:cs="宋体" w:eastAsia="宋体" w:hint="default"/>
                <w:spacing w:val="-2"/>
                <w:sz w:val="18"/>
                <w:szCs w:val="18"/>
              </w:rPr>
              <w:t>）连续三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年内以现金 方式累计分 配的利润不 少于该三年 实现的年均 可分配利润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年到</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0"/>
        <w:rPr>
          <w:rFonts w:ascii="Times New Roman" w:hAnsi="Times New Roman" w:cs="Times New Roman" w:eastAsia="Times New Roman" w:hint="default"/>
          <w:sz w:val="21"/>
          <w:szCs w:val="21"/>
        </w:rPr>
      </w:pPr>
    </w:p>
    <w:p>
      <w:pPr>
        <w:pStyle w:val="Heading4"/>
        <w:spacing w:line="259" w:lineRule="auto" w:before="35"/>
        <w:ind w:right="0"/>
        <w:jc w:val="left"/>
        <w:rPr>
          <w:b w:val="0"/>
          <w:bCs w:val="0"/>
        </w:rPr>
      </w:pPr>
      <w:bookmarkStart w:name="2、公司资产或项目存在盈利预测，且报告期仍处在盈利预测期间，公司就资产或项目达到" w:id="68"/>
      <w:bookmarkEnd w:id="68"/>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控股股东及其关联方对上市公司的非经营性占用资金情况" w:id="69"/>
      <w:bookmarkEnd w:id="69"/>
      <w:r>
        <w:rPr>
          <w:b w:val="0"/>
          <w:bCs w:val="0"/>
        </w:rPr>
      </w:r>
      <w:r>
        <w:rPr/>
        <w:t>四、控股股东及其关联方对上市公司的非经营性占用资金情况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40" w:lineRule="auto" w:before="0"/>
        <w:ind w:right="49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五、董事会、监事会、独立董事（如有）对会计师事务所本报告期“非标准审计报告”的说" w:id="70"/>
      <w:bookmarkEnd w:id="70"/>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六、与上年度财务报告相比，会计政策、会计估计和核算方法发生变化的情况说明" w:id="71"/>
      <w:bookmarkEnd w:id="71"/>
      <w:r>
        <w:rPr>
          <w:b w:val="0"/>
          <w:bCs w:val="0"/>
        </w:rPr>
      </w:r>
      <w:r>
        <w:rPr/>
        <w:t>六、与上年度财务报告相比，会计政策、会计估计和核算方法发生变化的情况说明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57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公司报告期无会计政策、会计估计和核算方法发生变化的情况。</w:t>
      </w:r>
    </w:p>
    <w:p>
      <w:pPr>
        <w:spacing w:line="240" w:lineRule="auto" w:before="5"/>
        <w:rPr>
          <w:rFonts w:ascii="宋体" w:hAnsi="宋体" w:cs="宋体" w:eastAsia="宋体" w:hint="default"/>
          <w:sz w:val="19"/>
          <w:szCs w:val="19"/>
        </w:rPr>
      </w:pPr>
    </w:p>
    <w:p>
      <w:pPr>
        <w:pStyle w:val="Heading2"/>
        <w:spacing w:line="240" w:lineRule="auto"/>
        <w:ind w:right="0"/>
        <w:jc w:val="left"/>
        <w:rPr>
          <w:b w:val="0"/>
          <w:bCs w:val="0"/>
        </w:rPr>
      </w:pPr>
      <w:bookmarkStart w:name="七、报告期内发生重大会计差错更正需追溯重述的情况说明" w:id="72"/>
      <w:bookmarkEnd w:id="72"/>
      <w:r>
        <w:rPr>
          <w:b w:val="0"/>
          <w:bCs w:val="0"/>
        </w:rPr>
      </w:r>
      <w:r>
        <w:rPr/>
        <w:t>七、报告期内发生重大会计差错更正需追溯重述的情况说明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6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公司报告期无重大会计差错更正需追溯重述的情况。</w:t>
      </w:r>
    </w:p>
    <w:p>
      <w:pPr>
        <w:spacing w:after="0" w:line="338"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八、与上年度财务报告相比，合并报表范围发生变化的情况说明" w:id="73"/>
      <w:bookmarkEnd w:id="73"/>
      <w:r>
        <w:rPr>
          <w:b w:val="0"/>
          <w:bCs w:val="0"/>
        </w:rPr>
      </w:r>
      <w:r>
        <w:rPr/>
        <w:t>八、与上年度财务报告相比，合并报表范围发生变化的情况说明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
        <w:rPr>
          <w:rFonts w:ascii="宋体" w:hAnsi="宋体" w:cs="宋体" w:eastAsia="宋体" w:hint="default"/>
          <w:sz w:val="23"/>
          <w:szCs w:val="23"/>
        </w:rPr>
      </w:pPr>
    </w:p>
    <w:p>
      <w:pPr>
        <w:pStyle w:val="BodyText"/>
        <w:spacing w:line="240" w:lineRule="auto" w:before="0"/>
        <w:ind w:left="804" w:right="0"/>
        <w:jc w:val="left"/>
      </w:pPr>
      <w:r>
        <w:rPr>
          <w:rFonts w:ascii="Times New Roman" w:hAnsi="Times New Roman" w:cs="Times New Roman" w:eastAsia="Times New Roman" w:hint="default"/>
        </w:rPr>
        <w:t>1</w:t>
      </w:r>
      <w:r>
        <w:rPr/>
        <w:t>、本期新纳入合并范围的子公司、特殊目的主体、通过受托经营或承租等方式形成控制权的经营实体</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3970"/>
        <w:gridCol w:w="4559"/>
      </w:tblGrid>
      <w:tr>
        <w:trPr>
          <w:trHeight w:val="355" w:hRule="exact"/>
        </w:trPr>
        <w:tc>
          <w:tcPr>
            <w:tcW w:w="39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455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6"/>
              <w:jc w:val="center"/>
              <w:rPr>
                <w:rFonts w:ascii="宋体" w:hAnsi="宋体" w:cs="宋体" w:eastAsia="宋体" w:hint="default"/>
                <w:sz w:val="18"/>
                <w:szCs w:val="18"/>
              </w:rPr>
            </w:pPr>
            <w:r>
              <w:rPr>
                <w:rFonts w:ascii="宋体" w:hAnsi="宋体" w:cs="宋体" w:eastAsia="宋体" w:hint="default"/>
                <w:sz w:val="18"/>
                <w:szCs w:val="18"/>
              </w:rPr>
              <w:t>变更原因</w:t>
            </w:r>
          </w:p>
        </w:tc>
      </w:tr>
      <w:tr>
        <w:trPr>
          <w:trHeight w:val="353" w:hRule="exact"/>
        </w:trPr>
        <w:tc>
          <w:tcPr>
            <w:tcW w:w="39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天津滨龙工程管理咨询有限公司</w:t>
            </w:r>
          </w:p>
        </w:tc>
        <w:tc>
          <w:tcPr>
            <w:tcW w:w="45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新设成立</w:t>
            </w:r>
          </w:p>
        </w:tc>
      </w:tr>
      <w:tr>
        <w:trPr>
          <w:trHeight w:val="352" w:hRule="exact"/>
        </w:trPr>
        <w:tc>
          <w:tcPr>
            <w:tcW w:w="39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苏州天平安装工程有限公司</w:t>
            </w:r>
          </w:p>
        </w:tc>
        <w:tc>
          <w:tcPr>
            <w:tcW w:w="45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非同一控制下购并</w:t>
            </w:r>
          </w:p>
        </w:tc>
      </w:tr>
      <w:tr>
        <w:trPr>
          <w:trHeight w:val="352" w:hRule="exact"/>
        </w:trPr>
        <w:tc>
          <w:tcPr>
            <w:tcW w:w="39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安徽中电兴发科技有限公司</w:t>
            </w:r>
          </w:p>
        </w:tc>
        <w:tc>
          <w:tcPr>
            <w:tcW w:w="45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新设成立</w:t>
            </w:r>
          </w:p>
        </w:tc>
      </w:tr>
      <w:tr>
        <w:trPr>
          <w:trHeight w:val="353" w:hRule="exact"/>
        </w:trPr>
        <w:tc>
          <w:tcPr>
            <w:tcW w:w="39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中电兴发软件研发（北京）有限公司</w:t>
            </w:r>
          </w:p>
        </w:tc>
        <w:tc>
          <w:tcPr>
            <w:tcW w:w="45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新设成立</w:t>
            </w:r>
          </w:p>
        </w:tc>
      </w:tr>
      <w:tr>
        <w:trPr>
          <w:trHeight w:val="352" w:hRule="exact"/>
        </w:trPr>
        <w:tc>
          <w:tcPr>
            <w:tcW w:w="39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北京普天智慧科技有限公司</w:t>
            </w:r>
          </w:p>
        </w:tc>
        <w:tc>
          <w:tcPr>
            <w:tcW w:w="45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新设成立</w:t>
            </w:r>
          </w:p>
        </w:tc>
      </w:tr>
      <w:tr>
        <w:trPr>
          <w:trHeight w:val="352" w:hRule="exact"/>
        </w:trPr>
        <w:tc>
          <w:tcPr>
            <w:tcW w:w="39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枣强县智慧城市信息技术服务有限公司</w:t>
            </w:r>
          </w:p>
        </w:tc>
        <w:tc>
          <w:tcPr>
            <w:tcW w:w="45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新设成立</w:t>
            </w:r>
          </w:p>
        </w:tc>
      </w:tr>
      <w:tr>
        <w:trPr>
          <w:trHeight w:val="353" w:hRule="exact"/>
        </w:trPr>
        <w:tc>
          <w:tcPr>
            <w:tcW w:w="39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中普慧园科技（北京）有限公司</w:t>
            </w:r>
          </w:p>
        </w:tc>
        <w:tc>
          <w:tcPr>
            <w:tcW w:w="45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新设成立</w:t>
            </w:r>
          </w:p>
        </w:tc>
      </w:tr>
      <w:tr>
        <w:trPr>
          <w:trHeight w:val="352" w:hRule="exact"/>
        </w:trPr>
        <w:tc>
          <w:tcPr>
            <w:tcW w:w="39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凤凰智慧城市管理运营有限责任公司</w:t>
            </w:r>
          </w:p>
        </w:tc>
        <w:tc>
          <w:tcPr>
            <w:tcW w:w="45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新设成立</w:t>
            </w:r>
          </w:p>
        </w:tc>
      </w:tr>
      <w:tr>
        <w:trPr>
          <w:trHeight w:val="352" w:hRule="exact"/>
        </w:trPr>
        <w:tc>
          <w:tcPr>
            <w:tcW w:w="39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云南中电新联通信网络有限公司</w:t>
            </w:r>
          </w:p>
        </w:tc>
        <w:tc>
          <w:tcPr>
            <w:tcW w:w="45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新设成立</w:t>
            </w:r>
          </w:p>
        </w:tc>
      </w:tr>
      <w:tr>
        <w:trPr>
          <w:trHeight w:val="353" w:hRule="exact"/>
        </w:trPr>
        <w:tc>
          <w:tcPr>
            <w:tcW w:w="39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昭通中典联网络科技有限公司</w:t>
            </w:r>
          </w:p>
        </w:tc>
        <w:tc>
          <w:tcPr>
            <w:tcW w:w="45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新设成立</w:t>
            </w:r>
          </w:p>
        </w:tc>
      </w:tr>
      <w:tr>
        <w:trPr>
          <w:trHeight w:val="352" w:hRule="exact"/>
        </w:trPr>
        <w:tc>
          <w:tcPr>
            <w:tcW w:w="39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昭通欣联企业管理有限合伙企业</w:t>
            </w:r>
          </w:p>
        </w:tc>
        <w:tc>
          <w:tcPr>
            <w:tcW w:w="45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新设成立</w:t>
            </w:r>
          </w:p>
        </w:tc>
      </w:tr>
      <w:tr>
        <w:trPr>
          <w:trHeight w:val="352" w:hRule="exact"/>
        </w:trPr>
        <w:tc>
          <w:tcPr>
            <w:tcW w:w="39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曲靖中典联网络科技有限公司</w:t>
            </w:r>
          </w:p>
        </w:tc>
        <w:tc>
          <w:tcPr>
            <w:tcW w:w="45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新设成立</w:t>
            </w:r>
          </w:p>
        </w:tc>
      </w:tr>
      <w:tr>
        <w:trPr>
          <w:trHeight w:val="353" w:hRule="exact"/>
        </w:trPr>
        <w:tc>
          <w:tcPr>
            <w:tcW w:w="39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曲靖卓联企业管理合伙企业（有限合伙）</w:t>
            </w:r>
          </w:p>
        </w:tc>
        <w:tc>
          <w:tcPr>
            <w:tcW w:w="45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新设成立</w:t>
            </w:r>
          </w:p>
        </w:tc>
      </w:tr>
      <w:tr>
        <w:trPr>
          <w:trHeight w:val="352" w:hRule="exact"/>
        </w:trPr>
        <w:tc>
          <w:tcPr>
            <w:tcW w:w="39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普洱中典联网络科技有限公司</w:t>
            </w:r>
          </w:p>
        </w:tc>
        <w:tc>
          <w:tcPr>
            <w:tcW w:w="45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新设成立</w:t>
            </w:r>
          </w:p>
        </w:tc>
      </w:tr>
      <w:tr>
        <w:trPr>
          <w:trHeight w:val="352" w:hRule="exact"/>
        </w:trPr>
        <w:tc>
          <w:tcPr>
            <w:tcW w:w="39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普洱卓联企业管理合伙企业（有限合伙）</w:t>
            </w:r>
          </w:p>
        </w:tc>
        <w:tc>
          <w:tcPr>
            <w:tcW w:w="45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1"/>
              <w:ind w:right="6"/>
              <w:jc w:val="center"/>
              <w:rPr>
                <w:rFonts w:ascii="宋体" w:hAnsi="宋体" w:cs="宋体" w:eastAsia="宋体" w:hint="default"/>
                <w:sz w:val="18"/>
                <w:szCs w:val="18"/>
              </w:rPr>
            </w:pPr>
            <w:r>
              <w:rPr>
                <w:rFonts w:ascii="宋体" w:hAnsi="宋体" w:cs="宋体" w:eastAsia="宋体" w:hint="default"/>
                <w:sz w:val="18"/>
                <w:szCs w:val="18"/>
              </w:rPr>
              <w:t>新设成立</w:t>
            </w:r>
          </w:p>
        </w:tc>
      </w:tr>
      <w:tr>
        <w:trPr>
          <w:trHeight w:val="353" w:hRule="exact"/>
        </w:trPr>
        <w:tc>
          <w:tcPr>
            <w:tcW w:w="39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楚雄彝州云数据科技有限公司</w:t>
            </w:r>
          </w:p>
        </w:tc>
        <w:tc>
          <w:tcPr>
            <w:tcW w:w="45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新设成立</w:t>
            </w:r>
          </w:p>
        </w:tc>
      </w:tr>
      <w:tr>
        <w:trPr>
          <w:trHeight w:val="352" w:hRule="exact"/>
        </w:trPr>
        <w:tc>
          <w:tcPr>
            <w:tcW w:w="39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楚雄市卓联企业管理合伙企业（有限合伙）</w:t>
            </w:r>
          </w:p>
        </w:tc>
        <w:tc>
          <w:tcPr>
            <w:tcW w:w="45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新设成立</w:t>
            </w:r>
          </w:p>
        </w:tc>
      </w:tr>
      <w:tr>
        <w:trPr>
          <w:trHeight w:val="352" w:hRule="exact"/>
        </w:trPr>
        <w:tc>
          <w:tcPr>
            <w:tcW w:w="39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湖南恒联通达信息科技有限公司</w:t>
            </w:r>
          </w:p>
        </w:tc>
        <w:tc>
          <w:tcPr>
            <w:tcW w:w="45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非同一控制下购并</w:t>
            </w:r>
          </w:p>
        </w:tc>
      </w:tr>
    </w:tbl>
    <w:p>
      <w:pPr>
        <w:spacing w:line="240" w:lineRule="auto" w:before="8"/>
        <w:rPr>
          <w:rFonts w:ascii="宋体" w:hAnsi="宋体" w:cs="宋体" w:eastAsia="宋体" w:hint="default"/>
          <w:sz w:val="6"/>
          <w:szCs w:val="6"/>
        </w:rPr>
      </w:pPr>
    </w:p>
    <w:p>
      <w:pPr>
        <w:pStyle w:val="BodyText"/>
        <w:spacing w:line="415" w:lineRule="auto"/>
        <w:ind w:left="514" w:right="1769" w:firstLine="73"/>
        <w:jc w:val="left"/>
      </w:pPr>
      <w:r>
        <w:rPr>
          <w:rFonts w:ascii="Times New Roman" w:hAnsi="Times New Roman" w:cs="Times New Roman" w:eastAsia="Times New Roman" w:hint="default"/>
        </w:rPr>
        <w:t>2</w:t>
      </w:r>
      <w:r>
        <w:rPr/>
        <w:t>、本期无不再纳入合并范围的子公司、特殊目的主体、通过委托经营或出租等方式丧失控制权的经营实体。 合并范围变更主体的具体信息详见</w:t>
      </w:r>
      <w:r>
        <w:rPr>
          <w:rFonts w:ascii="Times New Roman" w:hAnsi="Times New Roman" w:cs="Times New Roman" w:eastAsia="Times New Roman" w:hint="default"/>
        </w:rPr>
        <w:t>“</w:t>
      </w:r>
      <w:r>
        <w:rPr/>
        <w:t>第十一节、八、合并范围的变更</w:t>
      </w:r>
      <w:r>
        <w:rPr>
          <w:rFonts w:ascii="Times New Roman" w:hAnsi="Times New Roman" w:cs="Times New Roman" w:eastAsia="Times New Roman" w:hint="default"/>
        </w:rPr>
        <w:t>”</w:t>
      </w:r>
      <w:r>
        <w:rPr/>
        <w:t>。</w:t>
      </w:r>
    </w:p>
    <w:p>
      <w:pPr>
        <w:spacing w:line="240" w:lineRule="auto" w:before="13"/>
        <w:rPr>
          <w:rFonts w:ascii="宋体" w:hAnsi="宋体" w:cs="宋体" w:eastAsia="宋体" w:hint="default"/>
          <w:sz w:val="12"/>
          <w:szCs w:val="12"/>
        </w:rPr>
      </w:pPr>
    </w:p>
    <w:p>
      <w:pPr>
        <w:pStyle w:val="Heading2"/>
        <w:spacing w:line="240" w:lineRule="auto"/>
        <w:ind w:right="0"/>
        <w:jc w:val="left"/>
        <w:rPr>
          <w:b w:val="0"/>
          <w:bCs w:val="0"/>
        </w:rPr>
      </w:pPr>
      <w:bookmarkStart w:name="九、聘任、解聘会计师事务所情况" w:id="74"/>
      <w:bookmarkEnd w:id="74"/>
      <w:r>
        <w:rPr>
          <w:b w:val="0"/>
          <w:bCs w:val="0"/>
        </w:rPr>
      </w:r>
      <w:r>
        <w:rPr/>
        <w:t>九、聘任、解聘会计师事务所情况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现聘任的会计师事务所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92"/>
        <w:gridCol w:w="4777"/>
      </w:tblGrid>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8</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吕勇军、王海涛、高山</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w:t>
            </w:r>
          </w:p>
        </w:tc>
      </w:tr>
    </w:tbl>
    <w:p>
      <w:pPr>
        <w:pStyle w:val="BodyText"/>
        <w:spacing w:line="240" w:lineRule="auto" w:before="51"/>
        <w:ind w:right="0"/>
        <w:jc w:val="left"/>
      </w:pPr>
      <w:r>
        <w:rPr/>
        <w:t>当期是否改聘会计师事务所</w:t>
      </w:r>
    </w:p>
    <w:p>
      <w:pPr>
        <w:pStyle w:val="BodyText"/>
        <w:spacing w:line="338" w:lineRule="auto" w:before="117"/>
        <w:ind w:right="625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ind w:left="660" w:right="1126" w:hanging="217"/>
        <w:jc w:val="left"/>
      </w:pPr>
      <w:r>
        <w:rPr/>
        <w:t>报告期内，公司聘任大华会计师事务所（特殊普通合伙）为公司审计会计师事务所。 经中国证券监督管理委员会证监许可</w:t>
      </w:r>
      <w:r>
        <w:rPr>
          <w:rFonts w:ascii="Times New Roman" w:hAnsi="Times New Roman" w:cs="Times New Roman" w:eastAsia="Times New Roman" w:hint="default"/>
        </w:rPr>
        <w:t>[2016]1764</w:t>
      </w:r>
      <w:r>
        <w:rPr/>
        <w:t>号文核准，公司非公开发行股票于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13</w:t>
      </w:r>
      <w:r>
        <w:rPr/>
        <w:t>日在深圳证券交易所</w:t>
      </w:r>
    </w:p>
    <w:p>
      <w:pPr>
        <w:pStyle w:val="BodyText"/>
        <w:spacing w:line="309" w:lineRule="auto" w:before="0"/>
        <w:ind w:right="1049"/>
        <w:jc w:val="left"/>
      </w:pPr>
      <w:r>
        <w:rPr>
          <w:spacing w:val="-2"/>
        </w:rPr>
        <w:t>挂牌上市。国海证券为公司持续督导保荐机构，保荐代表人为叶跃祥和陈功。根据《证券发行上市保荐业务管理办法》等有</w:t>
      </w:r>
      <w:r>
        <w:rPr>
          <w:spacing w:val="-66"/>
        </w:rPr>
        <w:t> </w:t>
      </w:r>
      <w:r>
        <w:rPr>
          <w:spacing w:val="-66"/>
        </w:rPr>
      </w:r>
      <w:r>
        <w:rPr/>
        <w:t>关法律法规的规定，国海证券对公司履行持续督导的期限至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日，持续督导期届满，如有尚未完结的保荐工作， 保荐机构应当继续完成。公司根据持续督导保荐机构及保荐代表人的通知安排，于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12</w:t>
      </w:r>
      <w:r>
        <w:rPr/>
        <w:t>日召开第七届董事会第十一 </w:t>
      </w:r>
      <w:r>
        <w:rPr>
          <w:spacing w:val="-2"/>
        </w:rPr>
        <w:t>次会议，审议通过了《关于变更持续督导保荐机构及保荐代表人的议案》，并披露了《关于变更持续督导保荐机构及保荐代</w:t>
      </w:r>
      <w:r>
        <w:rPr>
          <w:spacing w:val="-66"/>
        </w:rPr>
        <w:t> </w:t>
      </w:r>
      <w:r>
        <w:rPr>
          <w:spacing w:val="-66"/>
        </w:rPr>
      </w:r>
      <w:r>
        <w:rPr>
          <w:spacing w:val="-2"/>
        </w:rPr>
        <w:t>表人的公告》</w:t>
      </w:r>
      <w:r>
        <w:rPr>
          <w:rFonts w:ascii="Times New Roman" w:hAnsi="Times New Roman" w:cs="Times New Roman" w:eastAsia="Times New Roman" w:hint="default"/>
          <w:spacing w:val="-2"/>
        </w:rPr>
        <w:t>(</w:t>
      </w:r>
      <w:r>
        <w:rPr>
          <w:spacing w:val="-2"/>
        </w:rPr>
        <w:t>公告编号：</w:t>
      </w:r>
      <w:r>
        <w:rPr>
          <w:rFonts w:ascii="Times New Roman" w:hAnsi="Times New Roman" w:cs="Times New Roman" w:eastAsia="Times New Roman" w:hint="default"/>
          <w:spacing w:val="-2"/>
        </w:rPr>
        <w:t>2018-003</w:t>
      </w:r>
      <w:r>
        <w:rPr>
          <w:spacing w:val="-2"/>
        </w:rPr>
        <w:t>）。公司与国海证券签订了《关于终止持续督导服务的协议书》，与开源证券签订了《持</w:t>
      </w:r>
      <w:r>
        <w:rPr/>
        <w:t> </w:t>
      </w:r>
      <w:r>
        <w:rPr>
          <w:spacing w:val="-2"/>
        </w:rPr>
        <w:t>续督导协议》，并重新签订了《募集资金专户存储监管协议》，国海证券未完成的对公司非公开发行股票的持续督导工作由</w:t>
      </w:r>
      <w:r>
        <w:rPr>
          <w:spacing w:val="-65"/>
        </w:rPr>
        <w:t> </w:t>
      </w:r>
      <w:r>
        <w:rPr>
          <w:spacing w:val="-65"/>
        </w:rPr>
      </w:r>
      <w:r>
        <w:rPr/>
        <w:t>开源证券承继，开源证券指定保荐代表人陈晖、沈坚负责公司的持续督导工作。</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月，开源证券指派叶跃祥和陈功接 </w:t>
      </w:r>
      <w:r>
        <w:rPr>
          <w:spacing w:val="-2"/>
        </w:rPr>
        <w:t>替陈晖、沈坚，担任公司非公开发行股票持续督导的保荐代表人。截至报告期，公司持续督导保荐机构为开源证券，非公开</w:t>
      </w:r>
      <w:r>
        <w:rPr>
          <w:spacing w:val="-66"/>
        </w:rPr>
        <w:t> </w:t>
      </w:r>
      <w:r>
        <w:rPr>
          <w:spacing w:val="-66"/>
        </w:rPr>
      </w:r>
      <w:r>
        <w:rPr/>
        <w:t>发行股票持续督导的保荐代表人为叶跃祥、陈功。</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2"/>
        <w:spacing w:line="240" w:lineRule="auto"/>
        <w:ind w:right="0"/>
        <w:jc w:val="left"/>
        <w:rPr>
          <w:b w:val="0"/>
          <w:bCs w:val="0"/>
        </w:rPr>
      </w:pPr>
      <w:bookmarkStart w:name="十、年度报告披露后面临暂停上市和终止上市情况" w:id="75"/>
      <w:bookmarkEnd w:id="75"/>
      <w:r>
        <w:rPr>
          <w:b w:val="0"/>
          <w:bCs w:val="0"/>
        </w:rPr>
      </w:r>
      <w:r>
        <w:rPr/>
        <w:t>十、年度报告披露后面临暂停上市和终止上市情况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一、破产重整相关事项" w:id="76"/>
      <w:bookmarkEnd w:id="76"/>
      <w:r>
        <w:rPr>
          <w:b w:val="0"/>
          <w:bCs w:val="0"/>
        </w:rPr>
      </w:r>
      <w:r>
        <w:rPr/>
        <w:t>十一、破产重整相关事项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二、重大诉讼、仲裁事项" w:id="77"/>
      <w:bookmarkEnd w:id="77"/>
      <w:r>
        <w:rPr>
          <w:b w:val="0"/>
          <w:bCs w:val="0"/>
        </w:rPr>
      </w:r>
      <w:r>
        <w:rPr/>
        <w:t>十二、重大诉讼、仲裁事项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本报告期公司无重大诉讼、仲裁事项。</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十三、处罚及整改情况" w:id="78"/>
      <w:bookmarkEnd w:id="78"/>
      <w:r>
        <w:rPr>
          <w:b w:val="0"/>
          <w:bCs w:val="0"/>
        </w:rPr>
      </w:r>
      <w:r>
        <w:rPr/>
        <w:t>十三、处罚及整改情况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78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四、公司及其控股股东、实际控制人的诚信状况" w:id="79"/>
      <w:bookmarkEnd w:id="79"/>
      <w:r>
        <w:rPr>
          <w:b w:val="0"/>
          <w:bCs w:val="0"/>
        </w:rPr>
      </w:r>
      <w:r>
        <w:rPr/>
        <w:t>十四、公司及其控股股东、实际控制人的诚信状况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十五、公司股权激励计划、员工持股计划或其他员工激励措施的实施情况" w:id="80"/>
      <w:bookmarkEnd w:id="80"/>
      <w:r>
        <w:rPr>
          <w:b w:val="0"/>
          <w:bCs w:val="0"/>
        </w:rPr>
      </w:r>
      <w:r>
        <w:rPr/>
        <w:t>十五、公司股权激励计划、员工持股计划或其他员工激励措施的实施情况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38" w:lineRule="auto" w:before="103"/>
        <w:ind w:right="1843"/>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 公司报告期无股权激励计划、员工持股计划或其他员工激励措施及其实施情况。</w:t>
      </w:r>
    </w:p>
    <w:p>
      <w:pPr>
        <w:spacing w:after="0" w:line="338"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十六、重大关联交易" w:id="81"/>
      <w:bookmarkEnd w:id="81"/>
      <w:r>
        <w:rPr>
          <w:b w:val="0"/>
          <w:bCs w:val="0"/>
        </w:rPr>
      </w:r>
      <w:r>
        <w:rPr/>
        <w:t>十六、重大关联交易</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与日常经营相关的关联交易" w:id="82"/>
      <w:bookmarkEnd w:id="82"/>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338" w:lineRule="auto" w:before="0"/>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公司报告期未发生与日常经营相关的关联交易。</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2、资产或股权收购、出售发生的关联交易" w:id="83"/>
      <w:bookmarkEnd w:id="83"/>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64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公司报告期未发生资产或股权收购、出售的关联交易。</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bookmarkStart w:name="3、共同对外投资的关联交易" w:id="84"/>
      <w:bookmarkEnd w:id="84"/>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71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4、关联债权债务往来" w:id="85"/>
      <w:bookmarkEnd w:id="85"/>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26"/>
          <w:szCs w:val="26"/>
        </w:rPr>
      </w:pPr>
    </w:p>
    <w:p>
      <w:pPr>
        <w:pStyle w:val="BodyText"/>
        <w:spacing w:line="340" w:lineRule="auto" w:before="0"/>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公司报告期不存在关联债权债务往来。</w:t>
      </w:r>
    </w:p>
    <w:p>
      <w:pPr>
        <w:spacing w:line="240" w:lineRule="auto" w:before="13"/>
        <w:rPr>
          <w:rFonts w:ascii="宋体" w:hAnsi="宋体" w:cs="宋体" w:eastAsia="宋体" w:hint="default"/>
          <w:sz w:val="20"/>
          <w:szCs w:val="20"/>
        </w:rPr>
      </w:pPr>
    </w:p>
    <w:p>
      <w:pPr>
        <w:pStyle w:val="Heading4"/>
        <w:spacing w:line="240" w:lineRule="auto"/>
        <w:ind w:right="0"/>
        <w:jc w:val="left"/>
        <w:rPr>
          <w:b w:val="0"/>
          <w:bCs w:val="0"/>
        </w:rPr>
      </w:pPr>
      <w:bookmarkStart w:name="5、其他重大关联交易" w:id="86"/>
      <w:bookmarkEnd w:id="86"/>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80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公司报告期无其他重大关联交易。</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十七、重大合同及其履行情况" w:id="87"/>
      <w:bookmarkEnd w:id="87"/>
      <w:r>
        <w:rPr>
          <w:b w:val="0"/>
          <w:bCs w:val="0"/>
        </w:rPr>
      </w:r>
      <w:r>
        <w:rPr/>
        <w:t>十七、重大合同及其履行情况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托管、承包、租赁事项情况" w:id="88"/>
      <w:bookmarkEnd w:id="88"/>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托管情况" w:id="89"/>
      <w:bookmarkEnd w:id="89"/>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before="0"/>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12"/>
        <w:rPr>
          <w:rFonts w:ascii="宋体" w:hAnsi="宋体" w:cs="宋体" w:eastAsia="宋体" w:hint="default"/>
          <w:sz w:val="20"/>
          <w:szCs w:val="20"/>
        </w:rPr>
      </w:pPr>
    </w:p>
    <w:p>
      <w:pPr>
        <w:pStyle w:val="Heading4"/>
        <w:spacing w:line="240" w:lineRule="auto"/>
        <w:ind w:right="0"/>
        <w:jc w:val="left"/>
        <w:rPr>
          <w:b w:val="0"/>
          <w:bCs w:val="0"/>
        </w:rPr>
      </w:pPr>
      <w:bookmarkStart w:name="（2）承包情况" w:id="90"/>
      <w:bookmarkEnd w:id="90"/>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3）租赁情况" w:id="91"/>
      <w:bookmarkEnd w:id="91"/>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ind w:right="0"/>
        <w:jc w:val="left"/>
      </w:pPr>
      <w:r>
        <w:rPr/>
        <w:t>公司报告期不存在租赁情况。</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重大担保" w:id="92"/>
      <w:bookmarkEnd w:id="92"/>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1）担保情况" w:id="93"/>
      <w:bookmarkEnd w:id="93"/>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7524"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09"/>
        <w:gridCol w:w="918"/>
        <w:gridCol w:w="927"/>
        <w:gridCol w:w="1305"/>
        <w:gridCol w:w="1054"/>
        <w:gridCol w:w="1038"/>
        <w:gridCol w:w="1051"/>
        <w:gridCol w:w="790"/>
        <w:gridCol w:w="783"/>
      </w:tblGrid>
      <w:tr>
        <w:trPr>
          <w:trHeight w:val="40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1"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9" w:right="86"/>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6"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7"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2" w:right="69"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47"/>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45"/>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24"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8"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6" w:right="90"/>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4"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7"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2" w:right="69"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47"/>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48"/>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09" w:right="28"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8"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4"/>
              <w:jc w:val="left"/>
              <w:rPr>
                <w:rFonts w:ascii="宋体" w:hAnsi="宋体" w:cs="宋体" w:eastAsia="宋体" w:hint="default"/>
                <w:sz w:val="18"/>
                <w:szCs w:val="18"/>
              </w:rPr>
            </w:pPr>
            <w:r>
              <w:rPr>
                <w:rFonts w:ascii="宋体" w:hAnsi="宋体" w:cs="宋体" w:eastAsia="宋体" w:hint="default"/>
                <w:sz w:val="18"/>
                <w:szCs w:val="18"/>
              </w:rPr>
              <w:t>苏州开关二厂有限公 司</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3,000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155.51</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4"/>
              <w:jc w:val="left"/>
              <w:rPr>
                <w:rFonts w:ascii="宋体" w:hAnsi="宋体" w:cs="宋体" w:eastAsia="宋体" w:hint="default"/>
                <w:sz w:val="18"/>
                <w:szCs w:val="18"/>
              </w:rPr>
            </w:pPr>
            <w:r>
              <w:rPr>
                <w:rFonts w:ascii="宋体" w:hAnsi="宋体" w:cs="宋体" w:eastAsia="宋体" w:hint="default"/>
                <w:sz w:val="18"/>
                <w:szCs w:val="18"/>
              </w:rPr>
              <w:t>安徽鑫龙自动化有限 公司</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2,500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2,500</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4"/>
              <w:jc w:val="left"/>
              <w:rPr>
                <w:rFonts w:ascii="宋体" w:hAnsi="宋体" w:cs="宋体" w:eastAsia="宋体" w:hint="default"/>
                <w:sz w:val="18"/>
                <w:szCs w:val="18"/>
              </w:rPr>
            </w:pPr>
            <w:r>
              <w:rPr>
                <w:rFonts w:ascii="宋体" w:hAnsi="宋体" w:cs="宋体" w:eastAsia="宋体" w:hint="default"/>
                <w:sz w:val="18"/>
                <w:szCs w:val="18"/>
              </w:rPr>
              <w:t>北京中电兴发科技有 限公司</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30,000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213.97</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26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32"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263,000</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9" w:right="80"/>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9" w:hRule="exact"/>
        </w:trPr>
        <w:tc>
          <w:tcPr>
            <w:tcW w:w="26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32"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263,000</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9" w:right="80"/>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2,869.48</w:t>
            </w:r>
          </w:p>
        </w:tc>
      </w:tr>
      <w:tr>
        <w:trPr>
          <w:trHeight w:val="397"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1" w:hRule="exact"/>
        </w:trPr>
        <w:tc>
          <w:tcPr>
            <w:tcW w:w="1709" w:type="dxa"/>
            <w:vMerge w:val="restart"/>
            <w:tcBorders>
              <w:top w:val="single" w:sz="4" w:space="0" w:color="000000"/>
              <w:left w:val="single" w:sz="4" w:space="0" w:color="000000"/>
              <w:right w:val="single" w:sz="4" w:space="0" w:color="000000"/>
            </w:tcBorders>
            <w:shd w:val="clear" w:color="auto" w:fill="D2D2D2"/>
          </w:tcPr>
          <w:p>
            <w:pPr/>
          </w:p>
        </w:tc>
        <w:tc>
          <w:tcPr>
            <w:tcW w:w="91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92" w:right="9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7" w:type="dxa"/>
            <w:vMerge w:val="restart"/>
            <w:tcBorders>
              <w:top w:val="single" w:sz="4" w:space="0" w:color="000000"/>
              <w:left w:val="single" w:sz="4" w:space="0" w:color="000000"/>
              <w:right w:val="single" w:sz="4" w:space="0" w:color="000000"/>
            </w:tcBorders>
            <w:shd w:val="clear" w:color="auto" w:fill="D2D2D2"/>
          </w:tcPr>
          <w:p>
            <w:pPr/>
          </w:p>
        </w:tc>
        <w:tc>
          <w:tcPr>
            <w:tcW w:w="1305" w:type="dxa"/>
            <w:vMerge w:val="restart"/>
            <w:tcBorders>
              <w:top w:val="single" w:sz="4" w:space="0" w:color="000000"/>
              <w:left w:val="single" w:sz="4" w:space="0" w:color="000000"/>
              <w:right w:val="single" w:sz="4" w:space="0" w:color="000000"/>
            </w:tcBorders>
            <w:shd w:val="clear" w:color="auto" w:fill="D2D2D2"/>
          </w:tcPr>
          <w:p>
            <w:pPr/>
          </w:p>
        </w:tc>
        <w:tc>
          <w:tcPr>
            <w:tcW w:w="105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8" w:type="dxa"/>
            <w:vMerge w:val="restart"/>
            <w:tcBorders>
              <w:top w:val="single" w:sz="4" w:space="0" w:color="000000"/>
              <w:left w:val="single" w:sz="4" w:space="0" w:color="000000"/>
              <w:right w:val="single" w:sz="4" w:space="0" w:color="000000"/>
            </w:tcBorders>
            <w:shd w:val="clear" w:color="auto" w:fill="D2D2D2"/>
          </w:tcPr>
          <w:p>
            <w:pPr/>
          </w:p>
        </w:tc>
        <w:tc>
          <w:tcPr>
            <w:tcW w:w="1051" w:type="dxa"/>
            <w:vMerge w:val="restart"/>
            <w:tcBorders>
              <w:top w:val="single" w:sz="4" w:space="0" w:color="000000"/>
              <w:left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09" w:type="dxa"/>
            <w:vMerge/>
            <w:tcBorders>
              <w:left w:val="single" w:sz="4" w:space="0" w:color="000000"/>
              <w:bottom w:val="nil" w:sz="6" w:space="0" w:color="auto"/>
              <w:right w:val="single" w:sz="4" w:space="0" w:color="000000"/>
            </w:tcBorders>
            <w:shd w:val="clear" w:color="auto" w:fill="D2D2D2"/>
          </w:tcPr>
          <w:p>
            <w:pPr/>
          </w:p>
        </w:tc>
        <w:tc>
          <w:tcPr>
            <w:tcW w:w="918" w:type="dxa"/>
            <w:vMerge/>
            <w:tcBorders>
              <w:left w:val="single" w:sz="4" w:space="0" w:color="000000"/>
              <w:right w:val="single" w:sz="4" w:space="0" w:color="000000"/>
            </w:tcBorders>
            <w:shd w:val="clear" w:color="auto" w:fill="D2D2D2"/>
          </w:tcPr>
          <w:p>
            <w:pPr/>
          </w:p>
        </w:tc>
        <w:tc>
          <w:tcPr>
            <w:tcW w:w="927" w:type="dxa"/>
            <w:vMerge/>
            <w:tcBorders>
              <w:left w:val="single" w:sz="4" w:space="0" w:color="000000"/>
              <w:bottom w:val="nil" w:sz="6" w:space="0" w:color="auto"/>
              <w:right w:val="single" w:sz="4" w:space="0" w:color="000000"/>
            </w:tcBorders>
            <w:shd w:val="clear" w:color="auto" w:fill="D2D2D2"/>
          </w:tcPr>
          <w:p>
            <w:pPr/>
          </w:p>
        </w:tc>
        <w:tc>
          <w:tcPr>
            <w:tcW w:w="1305" w:type="dxa"/>
            <w:vMerge/>
            <w:tcBorders>
              <w:left w:val="single" w:sz="4" w:space="0" w:color="000000"/>
              <w:bottom w:val="nil" w:sz="6" w:space="0" w:color="auto"/>
              <w:right w:val="single" w:sz="4" w:space="0" w:color="000000"/>
            </w:tcBorders>
            <w:shd w:val="clear" w:color="auto" w:fill="D2D2D2"/>
          </w:tcPr>
          <w:p>
            <w:pPr/>
          </w:p>
        </w:tc>
        <w:tc>
          <w:tcPr>
            <w:tcW w:w="105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23" w:right="80"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8" w:type="dxa"/>
            <w:vMerge/>
            <w:tcBorders>
              <w:left w:val="single" w:sz="4" w:space="0" w:color="000000"/>
              <w:bottom w:val="nil" w:sz="6" w:space="0" w:color="auto"/>
              <w:right w:val="single" w:sz="4" w:space="0" w:color="000000"/>
            </w:tcBorders>
            <w:shd w:val="clear" w:color="auto" w:fill="D2D2D2"/>
          </w:tcPr>
          <w:p>
            <w:pPr/>
          </w:p>
        </w:tc>
        <w:tc>
          <w:tcPr>
            <w:tcW w:w="1051" w:type="dxa"/>
            <w:vMerge/>
            <w:tcBorders>
              <w:left w:val="single" w:sz="4" w:space="0" w:color="000000"/>
              <w:bottom w:val="nil" w:sz="6" w:space="0" w:color="auto"/>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05" w:right="33"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1" w:hRule="exact"/>
        </w:trPr>
        <w:tc>
          <w:tcPr>
            <w:tcW w:w="17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18" w:type="dxa"/>
            <w:vMerge/>
            <w:tcBorders>
              <w:left w:val="single" w:sz="4" w:space="0" w:color="000000"/>
              <w:right w:val="single" w:sz="4" w:space="0" w:color="000000"/>
            </w:tcBorders>
            <w:shd w:val="clear" w:color="auto" w:fill="D2D2D2"/>
          </w:tcPr>
          <w:p>
            <w:pPr/>
          </w:p>
        </w:tc>
        <w:tc>
          <w:tcPr>
            <w:tcW w:w="9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54" w:type="dxa"/>
            <w:vMerge/>
            <w:tcBorders>
              <w:left w:val="single" w:sz="4" w:space="0" w:color="000000"/>
              <w:right w:val="single" w:sz="4" w:space="0" w:color="000000"/>
            </w:tcBorders>
            <w:shd w:val="clear" w:color="auto" w:fill="D2D2D2"/>
          </w:tcPr>
          <w:p>
            <w:pPr/>
          </w:p>
        </w:tc>
        <w:tc>
          <w:tcPr>
            <w:tcW w:w="10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57"/>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48"/>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0" w:type="dxa"/>
            <w:vMerge/>
            <w:tcBorders>
              <w:left w:val="single" w:sz="4" w:space="0" w:color="000000"/>
              <w:right w:val="single" w:sz="4" w:space="0" w:color="000000"/>
            </w:tcBorders>
            <w:shd w:val="clear" w:color="auto" w:fill="D2D2D2"/>
          </w:tcPr>
          <w:p>
            <w:pPr/>
          </w:p>
        </w:tc>
        <w:tc>
          <w:tcPr>
            <w:tcW w:w="783" w:type="dxa"/>
            <w:vMerge/>
            <w:tcBorders>
              <w:left w:val="single" w:sz="4" w:space="0" w:color="000000"/>
              <w:right w:val="single" w:sz="4" w:space="0" w:color="000000"/>
            </w:tcBorders>
            <w:shd w:val="clear" w:color="auto" w:fill="D2D2D2"/>
          </w:tcPr>
          <w:p>
            <w:pPr/>
          </w:p>
        </w:tc>
      </w:tr>
      <w:tr>
        <w:trPr>
          <w:trHeight w:val="156" w:hRule="exact"/>
        </w:trPr>
        <w:tc>
          <w:tcPr>
            <w:tcW w:w="1709" w:type="dxa"/>
            <w:vMerge w:val="restart"/>
            <w:tcBorders>
              <w:top w:val="nil" w:sz="6" w:space="0" w:color="auto"/>
              <w:left w:val="single" w:sz="4" w:space="0" w:color="000000"/>
              <w:right w:val="single" w:sz="4" w:space="0" w:color="000000"/>
            </w:tcBorders>
            <w:shd w:val="clear" w:color="auto" w:fill="D2D2D2"/>
          </w:tcPr>
          <w:p>
            <w:pPr/>
          </w:p>
        </w:tc>
        <w:tc>
          <w:tcPr>
            <w:tcW w:w="918" w:type="dxa"/>
            <w:vMerge/>
            <w:tcBorders>
              <w:left w:val="single" w:sz="4" w:space="0" w:color="000000"/>
              <w:right w:val="single" w:sz="4" w:space="0" w:color="000000"/>
            </w:tcBorders>
            <w:shd w:val="clear" w:color="auto" w:fill="D2D2D2"/>
          </w:tcPr>
          <w:p>
            <w:pPr/>
          </w:p>
        </w:tc>
        <w:tc>
          <w:tcPr>
            <w:tcW w:w="927" w:type="dxa"/>
            <w:vMerge w:val="restart"/>
            <w:tcBorders>
              <w:top w:val="nil" w:sz="6" w:space="0" w:color="auto"/>
              <w:left w:val="single" w:sz="4" w:space="0" w:color="000000"/>
              <w:right w:val="single" w:sz="4" w:space="0" w:color="000000"/>
            </w:tcBorders>
            <w:shd w:val="clear" w:color="auto" w:fill="D2D2D2"/>
          </w:tcPr>
          <w:p>
            <w:pPr/>
          </w:p>
        </w:tc>
        <w:tc>
          <w:tcPr>
            <w:tcW w:w="1305" w:type="dxa"/>
            <w:vMerge w:val="restart"/>
            <w:tcBorders>
              <w:top w:val="nil" w:sz="6" w:space="0" w:color="auto"/>
              <w:left w:val="single" w:sz="4" w:space="0" w:color="000000"/>
              <w:right w:val="single" w:sz="4" w:space="0" w:color="000000"/>
            </w:tcBorders>
            <w:shd w:val="clear" w:color="auto" w:fill="D2D2D2"/>
          </w:tcPr>
          <w:p>
            <w:pPr/>
          </w:p>
        </w:tc>
        <w:tc>
          <w:tcPr>
            <w:tcW w:w="1054" w:type="dxa"/>
            <w:vMerge/>
            <w:tcBorders>
              <w:left w:val="single" w:sz="4" w:space="0" w:color="000000"/>
              <w:bottom w:val="nil" w:sz="6" w:space="0" w:color="auto"/>
              <w:right w:val="single" w:sz="4" w:space="0" w:color="000000"/>
            </w:tcBorders>
            <w:shd w:val="clear" w:color="auto" w:fill="D2D2D2"/>
          </w:tcPr>
          <w:p>
            <w:pPr/>
          </w:p>
        </w:tc>
        <w:tc>
          <w:tcPr>
            <w:tcW w:w="1038" w:type="dxa"/>
            <w:vMerge w:val="restart"/>
            <w:tcBorders>
              <w:top w:val="nil" w:sz="6" w:space="0" w:color="auto"/>
              <w:left w:val="single" w:sz="4" w:space="0" w:color="000000"/>
              <w:right w:val="single" w:sz="4" w:space="0" w:color="000000"/>
            </w:tcBorders>
            <w:shd w:val="clear" w:color="auto" w:fill="D2D2D2"/>
          </w:tcPr>
          <w:p>
            <w:pPr/>
          </w:p>
        </w:tc>
        <w:tc>
          <w:tcPr>
            <w:tcW w:w="1051" w:type="dxa"/>
            <w:vMerge w:val="restart"/>
            <w:tcBorders>
              <w:top w:val="nil" w:sz="6" w:space="0" w:color="auto"/>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783"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709" w:type="dxa"/>
            <w:vMerge/>
            <w:tcBorders>
              <w:left w:val="single" w:sz="4" w:space="0" w:color="000000"/>
              <w:bottom w:val="single" w:sz="4" w:space="0" w:color="000000"/>
              <w:right w:val="single" w:sz="4" w:space="0" w:color="000000"/>
            </w:tcBorders>
            <w:shd w:val="clear" w:color="auto" w:fill="D2D2D2"/>
          </w:tcPr>
          <w:p>
            <w:pPr/>
          </w:p>
        </w:tc>
        <w:tc>
          <w:tcPr>
            <w:tcW w:w="918" w:type="dxa"/>
            <w:vMerge/>
            <w:tcBorders>
              <w:left w:val="single" w:sz="4" w:space="0" w:color="000000"/>
              <w:bottom w:val="single" w:sz="4" w:space="0" w:color="000000"/>
              <w:right w:val="single" w:sz="4" w:space="0" w:color="000000"/>
            </w:tcBorders>
            <w:shd w:val="clear" w:color="auto" w:fill="D2D2D2"/>
          </w:tcPr>
          <w:p>
            <w:pPr/>
          </w:p>
        </w:tc>
        <w:tc>
          <w:tcPr>
            <w:tcW w:w="927" w:type="dxa"/>
            <w:vMerge/>
            <w:tcBorders>
              <w:left w:val="single" w:sz="4" w:space="0" w:color="000000"/>
              <w:bottom w:val="single" w:sz="4" w:space="0" w:color="000000"/>
              <w:right w:val="single" w:sz="4" w:space="0" w:color="000000"/>
            </w:tcBorders>
            <w:shd w:val="clear" w:color="auto" w:fill="D2D2D2"/>
          </w:tcPr>
          <w:p>
            <w:pPr/>
          </w:p>
        </w:tc>
        <w:tc>
          <w:tcPr>
            <w:tcW w:w="1305" w:type="dxa"/>
            <w:vMerge/>
            <w:tcBorders>
              <w:left w:val="single" w:sz="4" w:space="0" w:color="000000"/>
              <w:bottom w:val="single" w:sz="4" w:space="0" w:color="000000"/>
              <w:right w:val="single" w:sz="4" w:space="0" w:color="000000"/>
            </w:tcBorders>
            <w:shd w:val="clear" w:color="auto" w:fill="D2D2D2"/>
          </w:tcPr>
          <w:p>
            <w:pPr/>
          </w:p>
        </w:tc>
        <w:tc>
          <w:tcPr>
            <w:tcW w:w="105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8" w:type="dxa"/>
            <w:vMerge/>
            <w:tcBorders>
              <w:left w:val="single" w:sz="4" w:space="0" w:color="000000"/>
              <w:bottom w:val="single" w:sz="4" w:space="0" w:color="000000"/>
              <w:right w:val="single" w:sz="4" w:space="0" w:color="000000"/>
            </w:tcBorders>
            <w:shd w:val="clear" w:color="auto" w:fill="D2D2D2"/>
          </w:tcPr>
          <w:p>
            <w:pPr/>
          </w:p>
        </w:tc>
        <w:tc>
          <w:tcPr>
            <w:tcW w:w="1051" w:type="dxa"/>
            <w:vMerge/>
            <w:tcBorders>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4" w:hRule="exact"/>
        </w:trPr>
        <w:tc>
          <w:tcPr>
            <w:tcW w:w="26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C1</w:t>
            </w:r>
            <w:r>
              <w:rPr>
                <w:rFonts w:ascii="宋体" w:hAnsi="宋体" w:cs="宋体" w:eastAsia="宋体" w:hint="default"/>
                <w:sz w:val="18"/>
                <w:szCs w:val="18"/>
              </w:rPr>
              <w:t>）</w:t>
            </w:r>
          </w:p>
        </w:tc>
        <w:tc>
          <w:tcPr>
            <w:tcW w:w="2232"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20,000</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9" w:right="80"/>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C2</w:t>
            </w:r>
            <w:r>
              <w:rPr>
                <w:rFonts w:ascii="宋体" w:hAnsi="宋体" w:cs="宋体" w:eastAsia="宋体" w:hint="default"/>
                <w:sz w:val="18"/>
                <w:szCs w:val="18"/>
              </w:rPr>
              <w:t>）</w:t>
            </w:r>
          </w:p>
        </w:tc>
        <w:tc>
          <w:tcPr>
            <w:tcW w:w="262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9" w:hRule="exact"/>
        </w:trPr>
        <w:tc>
          <w:tcPr>
            <w:tcW w:w="26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C3</w:t>
            </w:r>
            <w:r>
              <w:rPr>
                <w:rFonts w:ascii="宋体" w:hAnsi="宋体" w:cs="宋体" w:eastAsia="宋体" w:hint="default"/>
                <w:sz w:val="18"/>
                <w:szCs w:val="18"/>
              </w:rPr>
              <w:t>）</w:t>
            </w:r>
          </w:p>
        </w:tc>
        <w:tc>
          <w:tcPr>
            <w:tcW w:w="2232"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20,000</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9" w:right="80"/>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C4</w:t>
            </w:r>
            <w:r>
              <w:rPr>
                <w:rFonts w:ascii="宋体" w:hAnsi="宋体" w:cs="宋体" w:eastAsia="宋体" w:hint="default"/>
                <w:sz w:val="18"/>
                <w:szCs w:val="18"/>
              </w:rPr>
              <w:t>）</w:t>
            </w:r>
          </w:p>
        </w:tc>
        <w:tc>
          <w:tcPr>
            <w:tcW w:w="262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396"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5" w:hRule="exact"/>
        </w:trPr>
        <w:tc>
          <w:tcPr>
            <w:tcW w:w="26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32"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283,000</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9" w:right="80"/>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26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32"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283,000</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9" w:right="80"/>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2,869.48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4833"/>
        <w:gridCol w:w="4731"/>
      </w:tblGrid>
      <w:tr>
        <w:trPr>
          <w:trHeight w:val="407" w:hRule="exact"/>
        </w:trPr>
        <w:tc>
          <w:tcPr>
            <w:tcW w:w="4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0.68%</w:t>
            </w:r>
          </w:p>
        </w:tc>
      </w:tr>
      <w:tr>
        <w:trPr>
          <w:trHeight w:val="397" w:hRule="exact"/>
        </w:trPr>
        <w:tc>
          <w:tcPr>
            <w:tcW w:w="956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r>
    </w:tbl>
    <w:p>
      <w:pPr>
        <w:pStyle w:val="BodyText"/>
        <w:spacing w:line="240" w:lineRule="auto" w:before="51"/>
        <w:ind w:right="0"/>
        <w:jc w:val="left"/>
      </w:pPr>
      <w:r>
        <w:rPr/>
        <w:t>采用复合方式担保的具体情况说明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违规对外担保情况" w:id="94"/>
      <w:bookmarkEnd w:id="94"/>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公司报告期无违规对外担保情况。</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bookmarkStart w:name="3、委托他人进行现金资产管理情况" w:id="95"/>
      <w:bookmarkEnd w:id="95"/>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委托理财情况" w:id="96"/>
      <w:bookmarkEnd w:id="96"/>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before="0"/>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公司报告期不存在委托理财。</w:t>
      </w:r>
    </w:p>
    <w:p>
      <w:pPr>
        <w:spacing w:line="240" w:lineRule="auto" w:before="12"/>
        <w:rPr>
          <w:rFonts w:ascii="宋体" w:hAnsi="宋体" w:cs="宋体" w:eastAsia="宋体" w:hint="default"/>
          <w:sz w:val="20"/>
          <w:szCs w:val="20"/>
        </w:rPr>
      </w:pPr>
    </w:p>
    <w:p>
      <w:pPr>
        <w:pStyle w:val="Heading4"/>
        <w:spacing w:line="240" w:lineRule="auto"/>
        <w:ind w:right="0"/>
        <w:jc w:val="left"/>
        <w:rPr>
          <w:b w:val="0"/>
          <w:bCs w:val="0"/>
        </w:rPr>
      </w:pPr>
      <w:bookmarkStart w:name="（2）委托贷款情况" w:id="97"/>
      <w:bookmarkEnd w:id="97"/>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4、其他重大合同" w:id="98"/>
      <w:bookmarkEnd w:id="98"/>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80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八、社会责任情况" w:id="99"/>
      <w:bookmarkEnd w:id="99"/>
      <w:r>
        <w:rPr>
          <w:b w:val="0"/>
          <w:bCs w:val="0"/>
        </w:rPr>
      </w:r>
      <w:r>
        <w:rPr/>
        <w:t>十八、社会责任情况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履行社会责任情况" w:id="100"/>
      <w:bookmarkEnd w:id="100"/>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公司报告年度暂未开展精准扶贫工作，也无后续计划。</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2、履行精准扶贫社会责任情况" w:id="101"/>
      <w:bookmarkEnd w:id="101"/>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精准扶贫规划" w:id="102"/>
      <w:bookmarkEnd w:id="102"/>
      <w:r>
        <w:rPr>
          <w:b w:val="0"/>
          <w:bCs w:val="0"/>
        </w:rPr>
      </w:r>
      <w:r>
        <w:rPr/>
        <w:t>（</w:t>
      </w:r>
      <w:r>
        <w:rPr>
          <w:rFonts w:ascii="Times New Roman" w:hAnsi="Times New Roman" w:cs="Times New Roman" w:eastAsia="Times New Roman" w:hint="default"/>
        </w:rPr>
        <w:t>1</w:t>
      </w:r>
      <w:r>
        <w:rPr/>
        <w:t>）精准扶贫规划</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2）年度精准扶贫概要" w:id="103"/>
      <w:bookmarkEnd w:id="103"/>
      <w:r>
        <w:rPr>
          <w:b w:val="0"/>
          <w:bCs w:val="0"/>
        </w:rPr>
      </w:r>
      <w:r>
        <w:rPr/>
        <w:t>（</w:t>
      </w:r>
      <w:r>
        <w:rPr>
          <w:rFonts w:ascii="Times New Roman" w:hAnsi="Times New Roman" w:cs="Times New Roman" w:eastAsia="Times New Roman" w:hint="default"/>
        </w:rPr>
        <w:t>2</w:t>
      </w:r>
      <w:r>
        <w:rPr/>
        <w:t>）年度精准扶贫概要</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3）精准扶贫成效" w:id="104"/>
      <w:bookmarkEnd w:id="104"/>
      <w:r>
        <w:rPr>
          <w:b w:val="0"/>
          <w:bCs w:val="0"/>
        </w:rPr>
      </w:r>
      <w:r>
        <w:rPr/>
        <w:t>（</w:t>
      </w:r>
      <w:r>
        <w:rPr>
          <w:rFonts w:ascii="Times New Roman" w:hAnsi="Times New Roman" w:cs="Times New Roman" w:eastAsia="Times New Roman" w:hint="default"/>
        </w:rPr>
        <w:t>3</w:t>
      </w:r>
      <w:r>
        <w:rPr/>
        <w:t>）精准扶贫成效</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4）后续精准扶贫计划" w:id="105"/>
      <w:bookmarkEnd w:id="105"/>
      <w:r>
        <w:rPr>
          <w:b w:val="0"/>
          <w:bCs w:val="0"/>
        </w:rPr>
      </w:r>
      <w:r>
        <w:rPr/>
        <w:t>（</w:t>
      </w:r>
      <w:r>
        <w:rPr>
          <w:rFonts w:ascii="Times New Roman" w:hAnsi="Times New Roman" w:cs="Times New Roman" w:eastAsia="Times New Roman" w:hint="default"/>
        </w:rPr>
        <w:t>4</w:t>
      </w:r>
      <w:r>
        <w:rPr/>
        <w:t>）后续精准扶贫计划</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3、环境保护相关的情况" w:id="106"/>
      <w:bookmarkEnd w:id="106"/>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before="0"/>
        <w:ind w:right="5712"/>
        <w:jc w:val="left"/>
      </w:pPr>
      <w:r>
        <w:rPr/>
        <w:t>上市公司及其子公司是否属于环境保护部门公布的重点排污单位 不适用 上市公司及其子公司不属于环境保护部门公布的重点排污单位</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18"/>
        <w:ind w:right="0"/>
        <w:jc w:val="left"/>
        <w:rPr>
          <w:b w:val="0"/>
          <w:bCs w:val="0"/>
        </w:rPr>
      </w:pPr>
      <w:bookmarkStart w:name="十九、其他重大事项的说明" w:id="107"/>
      <w:bookmarkEnd w:id="107"/>
      <w:r>
        <w:rPr>
          <w:b w:val="0"/>
          <w:bCs w:val="0"/>
        </w:rPr>
      </w:r>
      <w:r>
        <w:rPr/>
        <w:t>十九、其他重大事项的说明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left="588" w:right="0"/>
        <w:jc w:val="left"/>
      </w:pPr>
      <w:r>
        <w:rPr/>
        <w:t>（一）截止披露日且非本报告期内，公司控股股东、实际控制人发生了变更，具体情况如下：</w:t>
      </w:r>
    </w:p>
    <w:p>
      <w:pPr>
        <w:pStyle w:val="BodyText"/>
        <w:spacing w:line="300" w:lineRule="auto" w:before="76"/>
        <w:ind w:right="1129" w:firstLine="360"/>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10</w:t>
      </w:r>
      <w:r>
        <w:rPr/>
        <w:t>日分别收到公司束龙胜先生《关于计划减持公司股票的告知函》和瞿洪桂先生以及其控制的云泽投资 管理（天津）有限公司出具的《关于计划增持公司股票的告知函》：束龙胜先生计划自本公告发布之日起</w:t>
      </w:r>
      <w:r>
        <w:rPr>
          <w:rFonts w:ascii="Times New Roman" w:hAnsi="Times New Roman" w:cs="Times New Roman" w:eastAsia="Times New Roman" w:hint="default"/>
        </w:rPr>
        <w:t>3</w:t>
      </w:r>
      <w:r>
        <w:rPr/>
        <w:t>个交易日后的六</w:t>
      </w:r>
      <w:r>
        <w:rPr>
          <w:spacing w:val="-81"/>
        </w:rPr>
        <w:t> </w:t>
      </w:r>
      <w:r>
        <w:rPr>
          <w:spacing w:val="-81"/>
        </w:rPr>
      </w:r>
      <w:r>
        <w:rPr/>
        <w:t>个月内以大宗交易方式减持本公司股份不超过</w:t>
      </w:r>
      <w:r>
        <w:rPr>
          <w:rFonts w:ascii="Times New Roman" w:hAnsi="Times New Roman" w:cs="Times New Roman" w:eastAsia="Times New Roman" w:hint="default"/>
        </w:rPr>
        <w:t>1,626</w:t>
      </w:r>
      <w:r>
        <w:rPr/>
        <w:t>万股（减持比例不超过本公司总股本的</w:t>
      </w:r>
      <w:r>
        <w:rPr>
          <w:rFonts w:ascii="Times New Roman" w:hAnsi="Times New Roman" w:cs="Times New Roman" w:eastAsia="Times New Roman" w:hint="default"/>
        </w:rPr>
        <w:t>2.36%</w:t>
      </w:r>
      <w:r>
        <w:rPr/>
        <w:t>，且任意连续</w:t>
      </w:r>
      <w:r>
        <w:rPr>
          <w:spacing w:val="24"/>
        </w:rPr>
        <w:t> </w:t>
      </w:r>
      <w:r>
        <w:rPr>
          <w:rFonts w:ascii="Times New Roman" w:hAnsi="Times New Roman" w:cs="Times New Roman" w:eastAsia="Times New Roman" w:hint="default"/>
        </w:rPr>
        <w:t>90</w:t>
      </w:r>
      <w:r>
        <w:rPr/>
        <w:t>个自然日</w:t>
      </w:r>
      <w:r>
        <w:rPr>
          <w:spacing w:val="-83"/>
        </w:rPr>
        <w:t> </w:t>
      </w:r>
      <w:r>
        <w:rPr>
          <w:spacing w:val="-83"/>
        </w:rPr>
      </w:r>
      <w:r>
        <w:rPr/>
        <w:t>内减持比例不超过本公司总股本的</w:t>
      </w:r>
      <w:r>
        <w:rPr>
          <w:spacing w:val="-51"/>
        </w:rPr>
        <w:t> </w:t>
      </w:r>
      <w:r>
        <w:rPr>
          <w:rFonts w:ascii="Times New Roman" w:hAnsi="Times New Roman" w:cs="Times New Roman" w:eastAsia="Times New Roman" w:hint="default"/>
        </w:rPr>
        <w:t>2%</w:t>
      </w:r>
      <w:r>
        <w:rPr/>
        <w:t>）；瞿洪桂先生基于对公司未来发展的信心及价值的认同，瞿洪桂通过其实际控制的 云泽投资公司发行的云泽投资 </w:t>
      </w:r>
      <w:r>
        <w:rPr>
          <w:rFonts w:ascii="Times New Roman" w:hAnsi="Times New Roman" w:cs="Times New Roman" w:eastAsia="Times New Roman" w:hint="default"/>
        </w:rPr>
        <w:t>1 </w:t>
      </w:r>
      <w:r>
        <w:rPr/>
        <w:t>号私募证券投资基金自公告之日起六个月内，拟通过深圳证券交易所大宗交易系统增持不</w:t>
      </w:r>
      <w:r>
        <w:rPr>
          <w:spacing w:val="-89"/>
        </w:rPr>
        <w:t> </w:t>
      </w:r>
      <w:r>
        <w:rPr>
          <w:spacing w:val="-89"/>
        </w:rPr>
      </w:r>
      <w:r>
        <w:rPr/>
        <w:t>超过公司总股本比例</w:t>
      </w:r>
      <w:r>
        <w:rPr>
          <w:spacing w:val="-18"/>
        </w:rPr>
        <w:t> </w:t>
      </w:r>
      <w:r>
        <w:rPr>
          <w:rFonts w:ascii="Times New Roman" w:hAnsi="Times New Roman" w:cs="Times New Roman" w:eastAsia="Times New Roman" w:hint="default"/>
        </w:rPr>
        <w:t>2.36%</w:t>
      </w:r>
      <w:r>
        <w:rPr/>
        <w:t>的股份；</w:t>
      </w:r>
    </w:p>
    <w:p>
      <w:pPr>
        <w:pStyle w:val="BodyText"/>
        <w:spacing w:line="307" w:lineRule="auto" w:before="13"/>
        <w:ind w:right="1040" w:firstLine="360"/>
        <w:jc w:val="left"/>
      </w:pPr>
      <w:r>
        <w:rPr>
          <w:rFonts w:ascii="Times New Roman" w:hAnsi="Times New Roman" w:cs="Times New Roman" w:eastAsia="Times New Roman" w:hint="default"/>
        </w:rPr>
        <w:t>2</w:t>
      </w:r>
      <w:r>
        <w:rPr/>
        <w:t>、报告期内，《深圳证券交易所股票上市规则》、《深圳证券交易所中小企业板上市公司规范运作指引》、《上市公 司股东、董监高减持股份的若干规定》、《深圳证券交易所上市公司股东及董事、监事、高级管理人员减持股份实施细则》 </w:t>
      </w:r>
      <w:r>
        <w:rPr>
          <w:spacing w:val="-4"/>
        </w:rPr>
        <w:t>等有关法律、法规的规定，分别披露了《关于控股股东减持股份达到</w:t>
      </w:r>
      <w:r>
        <w:rPr>
          <w:rFonts w:ascii="Times New Roman" w:hAnsi="Times New Roman" w:cs="Times New Roman" w:eastAsia="Times New Roman" w:hint="default"/>
          <w:spacing w:val="-4"/>
        </w:rPr>
        <w:t>1%</w:t>
      </w:r>
      <w:r>
        <w:rPr>
          <w:spacing w:val="-4"/>
        </w:rPr>
        <w:t>暨减持数量过半的进展公告》（公告编号：</w:t>
      </w:r>
      <w:r>
        <w:rPr>
          <w:rFonts w:ascii="Times New Roman" w:hAnsi="Times New Roman" w:cs="Times New Roman" w:eastAsia="Times New Roman" w:hint="default"/>
          <w:spacing w:val="-4"/>
        </w:rPr>
        <w:t>2018-105</w:t>
      </w:r>
      <w:r>
        <w:rPr>
          <w:spacing w:val="-4"/>
        </w:rPr>
        <w:t>）</w:t>
      </w:r>
      <w:r>
        <w:rPr>
          <w:spacing w:val="-54"/>
        </w:rPr>
        <w:t> </w:t>
      </w:r>
      <w:r>
        <w:rPr/>
        <w:t>和《关于持股</w:t>
      </w:r>
      <w:r>
        <w:rPr>
          <w:rFonts w:ascii="Times New Roman" w:hAnsi="Times New Roman" w:cs="Times New Roman" w:eastAsia="Times New Roman" w:hint="default"/>
        </w:rPr>
        <w:t>5%</w:t>
      </w:r>
      <w:r>
        <w:rPr/>
        <w:t>以上股东计划增持股份的进展公告》（公告编号：</w:t>
      </w:r>
      <w:r>
        <w:rPr>
          <w:rFonts w:ascii="Times New Roman" w:hAnsi="Times New Roman" w:cs="Times New Roman" w:eastAsia="Times New Roman" w:hint="default"/>
        </w:rPr>
        <w:t>2018-106</w:t>
      </w:r>
      <w:r>
        <w:rPr/>
        <w:t>）；</w:t>
      </w:r>
    </w:p>
    <w:p>
      <w:pPr>
        <w:pStyle w:val="BodyText"/>
        <w:spacing w:line="300" w:lineRule="auto" w:before="7"/>
        <w:ind w:right="1129" w:firstLine="360"/>
        <w:jc w:val="both"/>
        <w:rPr>
          <w:rFonts w:ascii="宋体" w:hAnsi="宋体" w:cs="宋体" w:eastAsia="宋体" w:hint="default"/>
        </w:rPr>
      </w:pPr>
      <w:r>
        <w:rPr>
          <w:rFonts w:ascii="Times New Roman" w:hAnsi="Times New Roman" w:cs="Times New Roman" w:eastAsia="Times New Roman" w:hint="default"/>
        </w:rPr>
        <w:t>3</w:t>
      </w:r>
      <w:r>
        <w:rPr/>
        <w:t>、报告期内，根据《公司法》、《证券法》、《上市公司收购管理办法》、《公开发行证券的公司信息披露内容与格 </w:t>
      </w:r>
      <w:r>
        <w:rPr>
          <w:spacing w:val="-2"/>
        </w:rPr>
        <w:t>式准则第</w:t>
      </w:r>
      <w:r>
        <w:rPr>
          <w:rFonts w:ascii="Times New Roman" w:hAnsi="Times New Roman" w:cs="Times New Roman" w:eastAsia="Times New Roman" w:hint="default"/>
          <w:spacing w:val="-2"/>
        </w:rPr>
        <w:t>15</w:t>
      </w:r>
      <w:r>
        <w:rPr>
          <w:spacing w:val="-2"/>
        </w:rPr>
        <w:t>号</w:t>
      </w:r>
      <w:r>
        <w:rPr>
          <w:rFonts w:ascii="Times New Roman" w:hAnsi="Times New Roman" w:cs="Times New Roman" w:eastAsia="Times New Roman" w:hint="default"/>
          <w:spacing w:val="-2"/>
        </w:rPr>
        <w:t>——</w:t>
      </w:r>
      <w:r>
        <w:rPr>
          <w:spacing w:val="-2"/>
        </w:rPr>
        <w:t>权益变动报告书》及相关的法律和法规的要求，分别披露了《详式权益变动报告书》和《简式权益变动报</w:t>
      </w:r>
      <w:r>
        <w:rPr>
          <w:spacing w:val="-64"/>
        </w:rPr>
        <w:t> </w:t>
      </w:r>
      <w:r>
        <w:rPr>
          <w:spacing w:val="-64"/>
        </w:rPr>
      </w:r>
      <w:r>
        <w:rPr/>
        <w:t>告书》，瞿洪桂先生直接持有公司</w:t>
      </w:r>
      <w:r>
        <w:rPr>
          <w:rFonts w:ascii="Times New Roman" w:hAnsi="Times New Roman" w:cs="Times New Roman" w:eastAsia="Times New Roman" w:hint="default"/>
        </w:rPr>
        <w:t>127,394,324 </w:t>
      </w:r>
      <w:r>
        <w:rPr/>
        <w:t>股，占公司总股本比例的</w:t>
      </w:r>
      <w:r>
        <w:rPr>
          <w:spacing w:val="-52"/>
        </w:rPr>
        <w:t> </w:t>
      </w:r>
      <w:r>
        <w:rPr>
          <w:rFonts w:ascii="Times New Roman" w:hAnsi="Times New Roman" w:cs="Times New Roman" w:eastAsia="Times New Roman" w:hint="default"/>
        </w:rPr>
        <w:t>18.42%</w:t>
      </w:r>
      <w:r>
        <w:rPr/>
        <w:t>，通过其实际控制的云泽投资发行的云泽投 资 </w:t>
      </w:r>
      <w:r>
        <w:rPr>
          <w:rFonts w:ascii="Times New Roman" w:hAnsi="Times New Roman" w:cs="Times New Roman" w:eastAsia="Times New Roman" w:hint="default"/>
        </w:rPr>
        <w:t>1 </w:t>
      </w:r>
      <w:r>
        <w:rPr/>
        <w:t>号私募证券投资基金间接持有公司 </w:t>
      </w:r>
      <w:r>
        <w:rPr>
          <w:rFonts w:ascii="Times New Roman" w:hAnsi="Times New Roman" w:cs="Times New Roman" w:eastAsia="Times New Roman" w:hint="default"/>
        </w:rPr>
        <w:t>11,370,000 </w:t>
      </w:r>
      <w:r>
        <w:rPr/>
        <w:t>股，占公司总股本比例的 </w:t>
      </w:r>
      <w:r>
        <w:rPr>
          <w:rFonts w:ascii="Times New Roman" w:hAnsi="Times New Roman" w:cs="Times New Roman" w:eastAsia="Times New Roman" w:hint="default"/>
        </w:rPr>
        <w:t>1.64%</w:t>
      </w:r>
      <w:r>
        <w:rPr/>
        <w:t>，合计持有公司 </w:t>
      </w:r>
      <w:r>
        <w:rPr>
          <w:rFonts w:ascii="Times New Roman" w:hAnsi="Times New Roman" w:cs="Times New Roman" w:eastAsia="Times New Roman" w:hint="default"/>
        </w:rPr>
        <w:t>138,764,324</w:t>
      </w:r>
      <w:r>
        <w:rPr>
          <w:rFonts w:ascii="Times New Roman" w:hAnsi="Times New Roman" w:cs="Times New Roman" w:eastAsia="Times New Roman" w:hint="default"/>
          <w:spacing w:val="32"/>
        </w:rPr>
        <w:t> </w:t>
      </w:r>
      <w:r>
        <w:rPr/>
        <w:t>股，占公 司总股本比例的</w:t>
      </w:r>
      <w:r>
        <w:rPr>
          <w:spacing w:val="-19"/>
        </w:rPr>
        <w:t> </w:t>
      </w:r>
      <w:r>
        <w:rPr>
          <w:rFonts w:ascii="Times New Roman" w:hAnsi="Times New Roman" w:cs="Times New Roman" w:eastAsia="Times New Roman" w:hint="default"/>
        </w:rPr>
        <w:t>20.07%</w:t>
      </w:r>
      <w:r>
        <w:rPr>
          <w:rFonts w:ascii="宋体" w:hAnsi="宋体" w:cs="宋体" w:eastAsia="宋体" w:hint="default"/>
          <w:b/>
          <w:bCs/>
        </w:rPr>
        <w:t>。</w:t>
      </w:r>
      <w:r>
        <w:rPr>
          <w:rFonts w:ascii="宋体" w:hAnsi="宋体" w:cs="宋体" w:eastAsia="宋体" w:hint="default"/>
        </w:rPr>
      </w:r>
    </w:p>
    <w:p>
      <w:pPr>
        <w:pStyle w:val="BodyText"/>
        <w:spacing w:line="300" w:lineRule="auto" w:before="13"/>
        <w:ind w:right="1130" w:firstLine="360"/>
        <w:jc w:val="both"/>
      </w:pPr>
      <w:r>
        <w:rPr>
          <w:rFonts w:ascii="Times New Roman" w:hAnsi="Times New Roman" w:cs="Times New Roman" w:eastAsia="Times New Roman" w:hint="default"/>
        </w:rPr>
        <w:t>4</w:t>
      </w:r>
      <w:r>
        <w:rPr/>
        <w:t>、截止报告期末，瞿洪桂先生直接持有公司 </w:t>
      </w:r>
      <w:r>
        <w:rPr>
          <w:rFonts w:ascii="Times New Roman" w:hAnsi="Times New Roman" w:cs="Times New Roman" w:eastAsia="Times New Roman" w:hint="default"/>
        </w:rPr>
        <w:t>127,394,324 </w:t>
      </w:r>
      <w:r>
        <w:rPr/>
        <w:t>股，占公司总股本比例的</w:t>
      </w:r>
      <w:r>
        <w:rPr>
          <w:spacing w:val="-52"/>
        </w:rPr>
        <w:t> </w:t>
      </w:r>
      <w:r>
        <w:rPr>
          <w:rFonts w:ascii="Times New Roman" w:hAnsi="Times New Roman" w:cs="Times New Roman" w:eastAsia="Times New Roman" w:hint="default"/>
        </w:rPr>
        <w:t>18.42%</w:t>
      </w:r>
      <w:r>
        <w:rPr/>
        <w:t>，通过其实际控制的云泽投 </w:t>
      </w:r>
      <w:r>
        <w:rPr>
          <w:spacing w:val="14"/>
        </w:rPr>
        <w:t>资发行的云泽投资</w:t>
      </w:r>
      <w:r>
        <w:rPr>
          <w:spacing w:val="-72"/>
        </w:rPr>
        <w:t> </w:t>
      </w:r>
      <w:r>
        <w:rPr>
          <w:rFonts w:ascii="Times New Roman" w:hAnsi="Times New Roman" w:cs="Times New Roman" w:eastAsia="Times New Roman" w:hint="default"/>
        </w:rPr>
        <w:t>1</w:t>
      </w:r>
      <w:r>
        <w:rPr>
          <w:rFonts w:ascii="Times New Roman" w:hAnsi="Times New Roman" w:cs="Times New Roman" w:eastAsia="Times New Roman" w:hint="default"/>
          <w:spacing w:val="-29"/>
        </w:rPr>
        <w:t> </w:t>
      </w:r>
      <w:r>
        <w:rPr>
          <w:spacing w:val="15"/>
        </w:rPr>
        <w:t>号私募证券投资基金间接持有公司</w:t>
      </w:r>
      <w:r>
        <w:rPr>
          <w:spacing w:val="25"/>
        </w:rPr>
        <w:t> </w:t>
      </w:r>
      <w:r>
        <w:rPr>
          <w:rFonts w:ascii="Times New Roman" w:hAnsi="Times New Roman" w:cs="Times New Roman" w:eastAsia="Times New Roman" w:hint="default"/>
        </w:rPr>
        <w:t>13,080,000</w:t>
      </w:r>
      <w:r>
        <w:rPr>
          <w:rFonts w:ascii="Times New Roman" w:hAnsi="Times New Roman" w:cs="Times New Roman" w:eastAsia="Times New Roman" w:hint="default"/>
          <w:spacing w:val="3"/>
        </w:rPr>
        <w:t> </w:t>
      </w:r>
      <w:r>
        <w:rPr>
          <w:spacing w:val="7"/>
        </w:rPr>
        <w:t>股，</w:t>
      </w:r>
      <w:r>
        <w:rPr>
          <w:spacing w:val="-74"/>
        </w:rPr>
        <w:t> </w:t>
      </w:r>
      <w:r>
        <w:rPr>
          <w:spacing w:val="14"/>
        </w:rPr>
        <w:t>占公司总股本比例的</w:t>
      </w:r>
      <w:r>
        <w:rPr>
          <w:spacing w:val="-71"/>
        </w:rPr>
        <w:t> </w:t>
      </w:r>
      <w:r>
        <w:rPr>
          <w:rFonts w:ascii="Times New Roman" w:hAnsi="Times New Roman" w:cs="Times New Roman" w:eastAsia="Times New Roman" w:hint="default"/>
          <w:spacing w:val="2"/>
        </w:rPr>
        <w:t>1.89%</w:t>
      </w:r>
      <w:r>
        <w:rPr>
          <w:spacing w:val="2"/>
        </w:rPr>
        <w:t>，</w:t>
      </w:r>
      <w:r>
        <w:rPr>
          <w:spacing w:val="-74"/>
        </w:rPr>
        <w:t> </w:t>
      </w:r>
      <w:r>
        <w:rPr>
          <w:spacing w:val="13"/>
        </w:rPr>
        <w:t>合计持有公司</w:t>
      </w:r>
      <w:r>
        <w:rPr/>
        <w:t> </w:t>
      </w:r>
      <w:r>
        <w:rPr>
          <w:rFonts w:ascii="Times New Roman" w:hAnsi="Times New Roman" w:cs="Times New Roman" w:eastAsia="Times New Roman" w:hint="default"/>
        </w:rPr>
        <w:t>140,474,324  </w:t>
      </w:r>
      <w:r>
        <w:rPr/>
        <w:t>股，占公司总股本比例的</w:t>
      </w:r>
      <w:r>
        <w:rPr>
          <w:spacing w:val="-39"/>
        </w:rPr>
        <w:t> </w:t>
      </w:r>
      <w:r>
        <w:rPr>
          <w:rFonts w:ascii="Times New Roman" w:hAnsi="Times New Roman" w:cs="Times New Roman" w:eastAsia="Times New Roman" w:hint="default"/>
        </w:rPr>
        <w:t>20.31%</w:t>
      </w:r>
      <w:r>
        <w:rPr/>
        <w:t>，为公司第一大股东。</w:t>
      </w:r>
    </w:p>
    <w:p>
      <w:pPr>
        <w:pStyle w:val="BodyText"/>
        <w:spacing w:line="240" w:lineRule="auto" w:before="13"/>
        <w:ind w:left="514" w:right="0"/>
        <w:jc w:val="left"/>
      </w:pPr>
      <w:r>
        <w:rPr>
          <w:rFonts w:ascii="Times New Roman" w:hAnsi="Times New Roman" w:cs="Times New Roman" w:eastAsia="Times New Roman" w:hint="default"/>
        </w:rPr>
        <w:t>5</w:t>
      </w:r>
      <w:r>
        <w:rPr/>
        <w:t>、截止本报告披露日，完成董事会和监事会提前换届工作</w:t>
      </w:r>
    </w:p>
    <w:p>
      <w:pPr>
        <w:pStyle w:val="BodyText"/>
        <w:spacing w:line="300" w:lineRule="auto" w:before="63"/>
        <w:ind w:right="1129" w:firstLine="360"/>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8</w:t>
      </w:r>
      <w:r>
        <w:rPr/>
        <w:t>日召开的第七届董事会第二十次会议、第七届监事会第十三次会议，</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25</w:t>
      </w:r>
      <w:r>
        <w:rPr/>
        <w:t>日召开的</w:t>
      </w:r>
      <w:r>
        <w:rPr>
          <w:rFonts w:ascii="Times New Roman" w:hAnsi="Times New Roman" w:cs="Times New Roman" w:eastAsia="Times New Roman" w:hint="default"/>
        </w:rPr>
        <w:t>2019</w:t>
      </w:r>
      <w:r>
        <w:rPr/>
        <w:t>年第一次临 时股东大会审议通过并完成了对公司第七届董事会、监事会提前换届选举工作。</w:t>
      </w:r>
    </w:p>
    <w:p>
      <w:pPr>
        <w:pStyle w:val="BodyText"/>
        <w:spacing w:line="300" w:lineRule="auto" w:before="31"/>
        <w:ind w:right="1074" w:firstLine="360"/>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25</w:t>
      </w:r>
      <w:r>
        <w:rPr/>
        <w:t>日召开的第八届董事会第一次会议审议通过同意选举瞿洪桂先生为公司第八届董事会董事长，为公司法定 </w:t>
      </w:r>
      <w:r>
        <w:rPr>
          <w:spacing w:val="-5"/>
        </w:rPr>
        <w:t>代表人。</w:t>
      </w:r>
      <w:r>
        <w:rPr>
          <w:rFonts w:ascii="Times New Roman" w:hAnsi="Times New Roman" w:cs="Times New Roman" w:eastAsia="Times New Roman" w:hint="default"/>
          <w:spacing w:val="-5"/>
        </w:rPr>
        <w:t>2019</w:t>
      </w:r>
      <w:r>
        <w:rPr>
          <w:spacing w:val="-5"/>
        </w:rPr>
        <w:t>年</w:t>
      </w:r>
      <w:r>
        <w:rPr>
          <w:rFonts w:ascii="Times New Roman" w:hAnsi="Times New Roman" w:cs="Times New Roman" w:eastAsia="Times New Roman" w:hint="default"/>
          <w:spacing w:val="-5"/>
        </w:rPr>
        <w:t>2</w:t>
      </w:r>
      <w:r>
        <w:rPr>
          <w:spacing w:val="-5"/>
        </w:rPr>
        <w:t>月</w:t>
      </w:r>
      <w:r>
        <w:rPr>
          <w:rFonts w:ascii="Times New Roman" w:hAnsi="Times New Roman" w:cs="Times New Roman" w:eastAsia="Times New Roman" w:hint="default"/>
          <w:spacing w:val="-5"/>
        </w:rPr>
        <w:t>27</w:t>
      </w:r>
      <w:r>
        <w:rPr>
          <w:spacing w:val="-5"/>
        </w:rPr>
        <w:t>日，公司披露了《关于法定代表人变更完成工商登记并取得营业执照的公告》（公告编号：</w:t>
      </w:r>
      <w:r>
        <w:rPr>
          <w:rFonts w:ascii="Times New Roman" w:hAnsi="Times New Roman" w:cs="Times New Roman" w:eastAsia="Times New Roman" w:hint="default"/>
          <w:spacing w:val="-5"/>
        </w:rPr>
        <w:t>2019-021</w:t>
      </w:r>
      <w:r>
        <w:rPr>
          <w:spacing w:val="-5"/>
        </w:rPr>
        <w:t>）。</w:t>
      </w:r>
      <w:r>
        <w:rPr/>
      </w:r>
    </w:p>
    <w:p>
      <w:pPr>
        <w:spacing w:after="0" w:line="30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ind w:left="514" w:right="0"/>
        <w:jc w:val="left"/>
      </w:pPr>
      <w:r>
        <w:rPr/>
        <w:t>（二）凤凰县智慧城市项目进展</w:t>
      </w:r>
    </w:p>
    <w:p>
      <w:pPr>
        <w:pStyle w:val="BodyText"/>
        <w:spacing w:line="300" w:lineRule="auto" w:before="76"/>
        <w:ind w:right="1109" w:firstLine="36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月，公司全资子公司北京中电兴发在凤凰县智慧城市建设</w:t>
      </w:r>
      <w:r>
        <w:rPr>
          <w:rFonts w:ascii="Times New Roman" w:hAnsi="Times New Roman" w:cs="Times New Roman" w:eastAsia="Times New Roman" w:hint="default"/>
        </w:rPr>
        <w:t>PPP</w:t>
      </w:r>
      <w:r>
        <w:rPr/>
        <w:t>项目公开招标中中标，中标金额</w:t>
      </w:r>
      <w:r>
        <w:rPr>
          <w:rFonts w:ascii="Times New Roman" w:hAnsi="Times New Roman" w:cs="Times New Roman" w:eastAsia="Times New Roman" w:hint="default"/>
        </w:rPr>
        <w:t>20.1</w:t>
      </w:r>
      <w:r>
        <w:rPr/>
        <w:t>亿元，并收 </w:t>
      </w:r>
      <w:r>
        <w:rPr>
          <w:spacing w:val="-1"/>
        </w:rPr>
        <w:t>到该项目的中标通知书，且与凤凰县经济和信息化局签订《凤凰县智慧城市建设</w:t>
      </w:r>
      <w:r>
        <w:rPr>
          <w:rFonts w:ascii="Times New Roman" w:hAnsi="Times New Roman" w:cs="Times New Roman" w:eastAsia="Times New Roman" w:hint="default"/>
          <w:spacing w:val="-1"/>
        </w:rPr>
        <w:t>PPP</w:t>
      </w:r>
      <w:r>
        <w:rPr>
          <w:spacing w:val="-1"/>
        </w:rPr>
        <w:t>项目合同》。按照合同约定，北京中电</w:t>
      </w:r>
      <w:r>
        <w:rPr>
          <w:spacing w:val="-62"/>
        </w:rPr>
        <w:t> </w:t>
      </w:r>
      <w:r>
        <w:rPr>
          <w:spacing w:val="-62"/>
        </w:rPr>
      </w:r>
      <w:r>
        <w:rPr/>
        <w:t>兴发作为总承包商，与其他合作单位合资设立凤凰智慧城市管理运营有限责任公司，参与凤凰县智慧城市</w:t>
      </w:r>
      <w:r>
        <w:rPr>
          <w:rFonts w:ascii="Times New Roman" w:hAnsi="Times New Roman" w:cs="Times New Roman" w:eastAsia="Times New Roman" w:hint="default"/>
        </w:rPr>
        <w:t>PPP</w:t>
      </w:r>
      <w:r>
        <w:rPr/>
        <w:t>项目的投资、 建设与运营。该公司注册资本金</w:t>
      </w:r>
      <w:r>
        <w:rPr>
          <w:rFonts w:ascii="Times New Roman" w:hAnsi="Times New Roman" w:cs="Times New Roman" w:eastAsia="Times New Roman" w:hint="default"/>
        </w:rPr>
        <w:t>1</w:t>
      </w:r>
      <w:r>
        <w:rPr/>
        <w:t>亿元，北京中电兴发持有其</w:t>
      </w:r>
      <w:r>
        <w:rPr>
          <w:rFonts w:ascii="Times New Roman" w:hAnsi="Times New Roman" w:cs="Times New Roman" w:eastAsia="Times New Roman" w:hint="default"/>
        </w:rPr>
        <w:t>80%</w:t>
      </w:r>
      <w:r>
        <w:rPr/>
        <w:t>股权。截止本报告期末，北京中电兴发投资建设大数据中</w:t>
      </w:r>
      <w:r>
        <w:rPr>
          <w:spacing w:val="-55"/>
        </w:rPr>
        <w:t> </w:t>
      </w:r>
      <w:r>
        <w:rPr>
          <w:spacing w:val="-55"/>
        </w:rPr>
      </w:r>
      <w:r>
        <w:rPr/>
        <w:t>心、运营管理指挥中心、智慧政务、智慧旅游、平安城市、智慧交通、智慧诚信等系统的一期建设工程，工程金额约</w:t>
      </w:r>
      <w:r>
        <w:rPr>
          <w:rFonts w:ascii="Times New Roman" w:hAnsi="Times New Roman" w:cs="Times New Roman" w:eastAsia="Times New Roman" w:hint="default"/>
        </w:rPr>
        <w:t>1.5</w:t>
      </w:r>
      <w:r>
        <w:rPr/>
        <w:t>亿</w:t>
      </w:r>
      <w:r>
        <w:rPr>
          <w:spacing w:val="-41"/>
        </w:rPr>
        <w:t> </w:t>
      </w:r>
      <w:r>
        <w:rPr/>
        <w:t>元左右，目前仍处于建设投资阶段，尚未验收，最终金额以最终工程决算来核算收入确认。</w:t>
      </w:r>
    </w:p>
    <w:p>
      <w:pPr>
        <w:spacing w:line="240" w:lineRule="auto" w:before="9"/>
        <w:rPr>
          <w:rFonts w:ascii="宋体" w:hAnsi="宋体" w:cs="宋体" w:eastAsia="宋体" w:hint="default"/>
          <w:sz w:val="21"/>
          <w:szCs w:val="21"/>
        </w:rPr>
      </w:pPr>
    </w:p>
    <w:p>
      <w:pPr>
        <w:pStyle w:val="Heading2"/>
        <w:spacing w:line="240" w:lineRule="auto"/>
        <w:ind w:right="0"/>
        <w:jc w:val="left"/>
        <w:rPr>
          <w:b w:val="0"/>
          <w:bCs w:val="0"/>
        </w:rPr>
      </w:pPr>
      <w:bookmarkStart w:name="二十、公司子公司重大事项" w:id="108"/>
      <w:bookmarkEnd w:id="108"/>
      <w:r>
        <w:rPr>
          <w:b w:val="0"/>
          <w:bCs w:val="0"/>
        </w:rPr>
      </w:r>
      <w:r>
        <w:rPr/>
        <w:t>二十、公司子公司重大事项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12" w:lineRule="auto" w:before="101"/>
        <w:ind w:right="1032" w:firstLine="362"/>
        <w:jc w:val="left"/>
      </w:pPr>
      <w:r>
        <w:rPr/>
        <w:t>（一）</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月，公司全资子公司北京中电兴发作为联合体成员在庄河市智慧城市一期工程</w:t>
      </w:r>
      <w:r>
        <w:rPr>
          <w:rFonts w:ascii="Times New Roman" w:hAnsi="Times New Roman" w:cs="Times New Roman" w:eastAsia="Times New Roman" w:hint="default"/>
        </w:rPr>
        <w:t>PPP</w:t>
      </w:r>
      <w:r>
        <w:rPr/>
        <w:t>项目中标，中标金额 </w:t>
      </w:r>
      <w:r>
        <w:rPr>
          <w:spacing w:val="-3"/>
        </w:rPr>
        <w:t>为人民币</w:t>
      </w:r>
      <w:r>
        <w:rPr>
          <w:rFonts w:ascii="Times New Roman" w:hAnsi="Times New Roman" w:cs="Times New Roman" w:eastAsia="Times New Roman" w:hint="default"/>
          <w:spacing w:val="-3"/>
        </w:rPr>
        <w:t>30,870.27</w:t>
      </w:r>
      <w:r>
        <w:rPr>
          <w:spacing w:val="-3"/>
        </w:rPr>
        <w:t>万元，并收到了该项目的中标通知书。该项目中标，可以积累智慧城市范畴内的各类智慧应用的建设经验，</w:t>
      </w:r>
      <w:r>
        <w:rPr>
          <w:spacing w:val="-86"/>
        </w:rPr>
        <w:t> </w:t>
      </w:r>
      <w:r>
        <w:rPr>
          <w:spacing w:val="-86"/>
        </w:rPr>
      </w:r>
      <w:r>
        <w:rPr>
          <w:spacing w:val="-2"/>
        </w:rPr>
        <w:t>将对北京中电兴发在智慧城市领域的产品、业务发展以及市场拓展产生积极的促进和推动作用，进一步提高北京中电兴发在</w:t>
      </w:r>
      <w:r>
        <w:rPr>
          <w:spacing w:val="-64"/>
        </w:rPr>
        <w:t> </w:t>
      </w:r>
      <w:r>
        <w:rPr>
          <w:spacing w:val="-64"/>
        </w:rPr>
      </w:r>
      <w:r>
        <w:rPr>
          <w:spacing w:val="-2"/>
        </w:rPr>
        <w:t>智慧城市的市场影响力及示范作用，进一步增强北京中电兴发在智慧平安城市领域中的综合实力和市场竞争力，促进北京中</w:t>
      </w:r>
      <w:r>
        <w:rPr>
          <w:spacing w:val="-64"/>
        </w:rPr>
        <w:t> </w:t>
      </w:r>
      <w:r>
        <w:rPr>
          <w:spacing w:val="-64"/>
        </w:rPr>
      </w:r>
      <w:r>
        <w:rPr>
          <w:spacing w:val="-2"/>
        </w:rPr>
        <w:t>电兴发在智慧城市业务的建设、投资与运营等方面的更好发展，完善智慧城市解决方案，助推北京中电兴发在智慧城市业务</w:t>
      </w:r>
      <w:r>
        <w:rPr>
          <w:spacing w:val="-66"/>
        </w:rPr>
        <w:t> </w:t>
      </w:r>
      <w:r>
        <w:rPr>
          <w:spacing w:val="-66"/>
        </w:rPr>
      </w:r>
      <w:r>
        <w:rPr/>
        <w:t>的快速发展。</w:t>
      </w:r>
    </w:p>
    <w:p>
      <w:pPr>
        <w:pStyle w:val="BodyText"/>
        <w:spacing w:line="309" w:lineRule="auto" w:before="22"/>
        <w:ind w:right="1131" w:firstLine="360"/>
        <w:jc w:val="both"/>
      </w:pPr>
      <w:r>
        <w:rPr/>
        <w:t>（二）</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月，北京中电兴发作为联合体成员在河北省枣强县雪亮工程</w:t>
      </w:r>
      <w:r>
        <w:rPr>
          <w:spacing w:val="-55"/>
        </w:rPr>
        <w:t> </w:t>
      </w:r>
      <w:r>
        <w:rPr>
          <w:rFonts w:ascii="Times New Roman" w:hAnsi="Times New Roman" w:cs="Times New Roman" w:eastAsia="Times New Roman" w:hint="default"/>
        </w:rPr>
        <w:t>PPP</w:t>
      </w:r>
      <w:r>
        <w:rPr>
          <w:rFonts w:ascii="Times New Roman" w:hAnsi="Times New Roman" w:cs="Times New Roman" w:eastAsia="Times New Roman" w:hint="default"/>
          <w:spacing w:val="-11"/>
        </w:rPr>
        <w:t> </w:t>
      </w:r>
      <w:r>
        <w:rPr/>
        <w:t>项目社会资本方采购招标中中标，项目 总投资为人民币</w:t>
      </w:r>
      <w:r>
        <w:rPr>
          <w:rFonts w:ascii="Times New Roman" w:hAnsi="Times New Roman" w:cs="Times New Roman" w:eastAsia="Times New Roman" w:hint="default"/>
        </w:rPr>
        <w:t>6,225.69</w:t>
      </w:r>
      <w:r>
        <w:rPr/>
        <w:t>万元，并收到了该项目的中标通知书。该项目是继北京中电兴发与河北广电网络签署战略合作协议 </w:t>
      </w:r>
      <w:r>
        <w:rPr>
          <w:spacing w:val="-2"/>
        </w:rPr>
        <w:t>后，共同在河北省域内拓展平安城市、雪亮工程、智慧城市等政府信息化项目的首个中标项目。该项中标具有重要意义，将</w:t>
      </w:r>
      <w:r>
        <w:rPr>
          <w:spacing w:val="-66"/>
        </w:rPr>
        <w:t> </w:t>
      </w:r>
      <w:r>
        <w:rPr>
          <w:spacing w:val="-66"/>
        </w:rPr>
      </w:r>
      <w:r>
        <w:rPr>
          <w:spacing w:val="-2"/>
        </w:rPr>
        <w:t>进一步提高公司在智慧平安城市、公共安全及雪亮工程的市场影响力及示范作用，进一步提高公司在智慧城市的运行效率并</w:t>
      </w:r>
      <w:r>
        <w:rPr>
          <w:spacing w:val="-64"/>
        </w:rPr>
        <w:t> </w:t>
      </w:r>
      <w:r>
        <w:rPr>
          <w:spacing w:val="-64"/>
        </w:rPr>
      </w:r>
      <w:r>
        <w:rPr/>
        <w:t>不断精益求精地复制，促进公司在智慧城市业务的投资、建设与运营等方面的更好发展。</w:t>
      </w:r>
    </w:p>
    <w:p>
      <w:pPr>
        <w:pStyle w:val="BodyText"/>
        <w:spacing w:line="307" w:lineRule="auto" w:before="24"/>
        <w:ind w:right="1050" w:firstLine="360"/>
        <w:jc w:val="both"/>
      </w:pPr>
      <w:r>
        <w:rPr/>
        <w:t>（三）</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月，北京中电兴发在芜湖市公共安全视频监控建设联网应用项目（雪亮工程）中标，中标金额为人民币 </w:t>
      </w:r>
      <w:r>
        <w:rPr>
          <w:rFonts w:ascii="Times New Roman" w:hAnsi="Times New Roman" w:cs="Times New Roman" w:eastAsia="Times New Roman" w:hint="default"/>
          <w:spacing w:val="-2"/>
        </w:rPr>
        <w:t>29,205.20</w:t>
      </w:r>
      <w:r>
        <w:rPr>
          <w:spacing w:val="-2"/>
        </w:rPr>
        <w:t>万元，并收到了该项目的中标通知书。该项目是公司继中标淮南市城市视频监控（平安淮南）项目以后，在安徽省</w:t>
      </w:r>
      <w:r>
        <w:rPr>
          <w:spacing w:val="-58"/>
        </w:rPr>
        <w:t> </w:t>
      </w:r>
      <w:r>
        <w:rPr>
          <w:spacing w:val="-58"/>
        </w:rPr>
      </w:r>
      <w:r>
        <w:rPr>
          <w:spacing w:val="-2"/>
        </w:rPr>
        <w:t>域内的又一个单笔中标金额过亿的项目，对公司进一步拓展在安徽省智慧平安城市、公共安全、雪亮工程等政府信息化项目</w:t>
      </w:r>
      <w:r>
        <w:rPr>
          <w:spacing w:val="-66"/>
        </w:rPr>
        <w:t> </w:t>
      </w:r>
      <w:r>
        <w:rPr>
          <w:spacing w:val="-66"/>
        </w:rPr>
      </w:r>
      <w:r>
        <w:rPr/>
        <w:t>建设领域的业务发展具有重要意义，进一步完善智慧平安城市解决方案，更好地专注于智慧城市的建设、投资与运营服务。</w:t>
      </w:r>
    </w:p>
    <w:p>
      <w:pPr>
        <w:pStyle w:val="BodyText"/>
        <w:spacing w:line="304" w:lineRule="auto" w:before="26"/>
        <w:ind w:right="1130" w:firstLine="362"/>
        <w:jc w:val="both"/>
      </w:pPr>
      <w:r>
        <w:rPr>
          <w:spacing w:val="-2"/>
        </w:rPr>
        <w:t>（四）</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月，北京中电兴发在凤凰工业园市政基础设施建设项目（二期）</w:t>
      </w:r>
      <w:r>
        <w:rPr>
          <w:rFonts w:ascii="Times New Roman" w:hAnsi="Times New Roman" w:cs="Times New Roman" w:eastAsia="Times New Roman" w:hint="default"/>
          <w:spacing w:val="-2"/>
        </w:rPr>
        <w:t>EPC</w:t>
      </w:r>
      <w:r>
        <w:rPr>
          <w:spacing w:val="-2"/>
        </w:rPr>
        <w:t>总承包工程项目招标采购中与中铁</w:t>
      </w:r>
      <w:r>
        <w:rPr/>
        <w:t> 七局集团有限公司、中铁工程设计咨询集团有限公司被确定为联合体中标单位，中标总金额为人民币</w:t>
      </w:r>
      <w:r>
        <w:rPr>
          <w:rFonts w:ascii="Times New Roman" w:hAnsi="Times New Roman" w:cs="Times New Roman" w:eastAsia="Times New Roman" w:hint="default"/>
        </w:rPr>
        <w:t>117,563.71</w:t>
      </w:r>
      <w:r>
        <w:rPr/>
        <w:t>万元，并收</w:t>
      </w:r>
      <w:r>
        <w:rPr>
          <w:spacing w:val="-84"/>
        </w:rPr>
        <w:t> </w:t>
      </w:r>
      <w:r>
        <w:rPr>
          <w:spacing w:val="-2"/>
        </w:rPr>
        <w:t>到了该项目的中标通知书。该项目对北京中电兴发在智慧城市、公共安全与反恐等领域的业务发展产生积极的促进和推动作</w:t>
      </w:r>
      <w:r>
        <w:rPr>
          <w:spacing w:val="-64"/>
        </w:rPr>
        <w:t> </w:t>
      </w:r>
      <w:r>
        <w:rPr>
          <w:spacing w:val="-64"/>
        </w:rPr>
      </w:r>
      <w:r>
        <w:rPr/>
        <w:t>用，通过参与并取得政府市政建设项目 </w:t>
      </w:r>
      <w:r>
        <w:rPr>
          <w:rFonts w:ascii="Times New Roman" w:hAnsi="Times New Roman" w:cs="Times New Roman" w:eastAsia="Times New Roman" w:hint="default"/>
        </w:rPr>
        <w:t>EPC</w:t>
      </w:r>
      <w:r>
        <w:rPr>
          <w:rFonts w:ascii="Times New Roman" w:hAnsi="Times New Roman" w:cs="Times New Roman" w:eastAsia="Times New Roman" w:hint="default"/>
          <w:spacing w:val="-9"/>
        </w:rPr>
        <w:t> </w:t>
      </w:r>
      <w:r>
        <w:rPr/>
        <w:t>总承包项目，进一步提升北京中电兴发在智慧城市、公共安全等政府信息化项 目建设领域的核心竞争力和行业影响力。</w:t>
      </w:r>
    </w:p>
    <w:p>
      <w:pPr>
        <w:pStyle w:val="BodyText"/>
        <w:spacing w:line="300" w:lineRule="auto" w:before="28"/>
        <w:ind w:right="1132" w:firstLine="362"/>
        <w:jc w:val="both"/>
      </w:pPr>
      <w:r>
        <w:rPr>
          <w:spacing w:val="-2"/>
        </w:rPr>
        <w:t>（五）</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月，北京中电兴发中标国家某单位安全联网应用涉密项目，项目建设内容属于公司的智慧城市、公共安</w:t>
      </w:r>
      <w:r>
        <w:rPr/>
        <w:t> 全业务范畴，中标金额合计为人民币</w:t>
      </w:r>
      <w:r>
        <w:rPr>
          <w:rFonts w:ascii="Times New Roman" w:hAnsi="Times New Roman" w:cs="Times New Roman" w:eastAsia="Times New Roman" w:hint="default"/>
        </w:rPr>
        <w:t>9,460.54</w:t>
      </w:r>
      <w:r>
        <w:rPr/>
        <w:t>万元，并收到了该项目的中标通知书。</w:t>
      </w:r>
    </w:p>
    <w:p>
      <w:pPr>
        <w:pStyle w:val="BodyText"/>
        <w:spacing w:line="314" w:lineRule="auto" w:before="13"/>
        <w:ind w:right="1131" w:firstLine="362"/>
        <w:jc w:val="both"/>
      </w:pPr>
      <w:r>
        <w:rPr>
          <w:spacing w:val="-2"/>
        </w:rPr>
        <w:t>（六）</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月，北京中电兴发首个国际</w:t>
      </w:r>
      <w:r>
        <w:rPr>
          <w:rFonts w:ascii="Times New Roman" w:hAnsi="Times New Roman" w:cs="Times New Roman" w:eastAsia="Times New Roman" w:hint="default"/>
          <w:spacing w:val="-2"/>
        </w:rPr>
        <w:t>PCT</w:t>
      </w:r>
      <w:r>
        <w:rPr>
          <w:spacing w:val="-2"/>
        </w:rPr>
        <w:t>专利在美国获得授权，取得美国专利局颁发的发明专利证书。本次新发</w:t>
      </w:r>
      <w:r>
        <w:rPr/>
        <w:t> </w:t>
      </w:r>
      <w:r>
        <w:rPr>
          <w:spacing w:val="-2"/>
        </w:rPr>
        <w:t>明专利证书的取得是公司研发创新实力的体现，对公司市场开拓和产品推广会产生积极的影响，有利于公司进一步完善知识</w:t>
      </w:r>
      <w:r>
        <w:rPr>
          <w:spacing w:val="-64"/>
        </w:rPr>
        <w:t> </w:t>
      </w:r>
      <w:r>
        <w:rPr>
          <w:spacing w:val="-64"/>
        </w:rPr>
      </w:r>
      <w:r>
        <w:rPr>
          <w:spacing w:val="-2"/>
        </w:rPr>
        <w:t>产权保护体系，充分发挥知识产权优势，并形成持续创新机制，从而提升公司核心竞争力，更有利于进一步提升公司的知识</w:t>
      </w:r>
      <w:r>
        <w:rPr>
          <w:spacing w:val="-66"/>
        </w:rPr>
        <w:t> </w:t>
      </w:r>
      <w:r>
        <w:rPr>
          <w:spacing w:val="-66"/>
        </w:rPr>
      </w:r>
      <w:r>
        <w:rPr>
          <w:spacing w:val="-2"/>
        </w:rPr>
        <w:t>产权战略管理和实施，充分体现了公司在智慧城市、智慧用能领域的设计、研发及创新能力，将进一步提升公司的整体创新</w:t>
      </w:r>
      <w:r>
        <w:rPr>
          <w:spacing w:val="-66"/>
        </w:rPr>
        <w:t> </w:t>
      </w:r>
      <w:r>
        <w:rPr>
          <w:spacing w:val="-66"/>
        </w:rPr>
      </w:r>
      <w:r>
        <w:rPr>
          <w:spacing w:val="-2"/>
        </w:rPr>
        <w:t>研发水平，有利于公司进一步开拓市场和提高市场竞争力，有利于公司进一步完善知识产权保护体系，发挥自主知识产权优</w:t>
      </w:r>
      <w:r>
        <w:rPr>
          <w:spacing w:val="-66"/>
        </w:rPr>
        <w:t> </w:t>
      </w:r>
      <w:r>
        <w:rPr>
          <w:spacing w:val="-66"/>
        </w:rPr>
      </w:r>
      <w:r>
        <w:rPr>
          <w:spacing w:val="-2"/>
        </w:rPr>
        <w:t>势，并形成持续创新机制，保持技术的领先，提升公司的核心竞争力，有助于实现知识产权强企的发展目标，为公司进一步</w:t>
      </w:r>
      <w:r>
        <w:rPr>
          <w:spacing w:val="-66"/>
        </w:rPr>
        <w:t> </w:t>
      </w:r>
      <w:r>
        <w:rPr>
          <w:spacing w:val="-66"/>
        </w:rPr>
      </w:r>
      <w:r>
        <w:rPr/>
        <w:t>夯实未来发展战略打下坚实的基础。</w:t>
      </w:r>
    </w:p>
    <w:p>
      <w:pPr>
        <w:pStyle w:val="BodyText"/>
        <w:spacing w:line="300" w:lineRule="auto" w:before="21"/>
        <w:ind w:right="1130" w:firstLine="362"/>
        <w:jc w:val="both"/>
      </w:pPr>
      <w:r>
        <w:rPr>
          <w:spacing w:val="-1"/>
        </w:rPr>
        <w:t>（七）</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11</w:t>
      </w:r>
      <w:r>
        <w:rPr>
          <w:spacing w:val="-1"/>
        </w:rPr>
        <w:t>月，北京中电兴发作为牵头方在贵州省毕节市大方县全域智慧旅游信息化平台建设</w:t>
      </w:r>
      <w:r>
        <w:rPr>
          <w:rFonts w:ascii="Times New Roman" w:hAnsi="Times New Roman" w:cs="Times New Roman" w:eastAsia="Times New Roman" w:hint="default"/>
          <w:spacing w:val="-1"/>
        </w:rPr>
        <w:t>PPP</w:t>
      </w:r>
      <w:r>
        <w:rPr>
          <w:spacing w:val="-1"/>
        </w:rPr>
        <w:t>项目招标采购中</w:t>
      </w:r>
      <w:r>
        <w:rPr/>
        <w:t> 与北京中景合天科技有限公司被确定为联合体预中标单位，中标总金额为人民币</w:t>
      </w:r>
      <w:r>
        <w:rPr>
          <w:spacing w:val="-40"/>
        </w:rPr>
        <w:t> </w:t>
      </w:r>
      <w:r>
        <w:rPr>
          <w:rFonts w:ascii="Times New Roman" w:hAnsi="Times New Roman" w:cs="Times New Roman" w:eastAsia="Times New Roman" w:hint="default"/>
        </w:rPr>
        <w:t>10,493.55</w:t>
      </w:r>
      <w:r>
        <w:rPr>
          <w:rFonts w:ascii="Times New Roman" w:hAnsi="Times New Roman" w:cs="Times New Roman" w:eastAsia="Times New Roman" w:hint="default"/>
          <w:spacing w:val="4"/>
        </w:rPr>
        <w:t> </w:t>
      </w:r>
      <w:r>
        <w:rPr/>
        <w:t>万元，并收到了该项目的预中标 通知书。</w:t>
      </w:r>
    </w:p>
    <w:p>
      <w:pPr>
        <w:pStyle w:val="BodyText"/>
        <w:spacing w:line="240" w:lineRule="auto" w:before="31"/>
        <w:ind w:left="516" w:right="0"/>
        <w:jc w:val="left"/>
      </w:pPr>
      <w:r>
        <w:rPr/>
        <w:t>（八）</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月，北京中电兴发在武汉高世代薄膜晶体管液晶显示器件（</w:t>
      </w:r>
      <w:r>
        <w:rPr>
          <w:rFonts w:ascii="Times New Roman" w:hAnsi="Times New Roman" w:cs="Times New Roman" w:eastAsia="Times New Roman" w:hint="default"/>
        </w:rPr>
        <w:t>TFT-LCD</w:t>
      </w:r>
      <w:r>
        <w:rPr/>
        <w:t>）生产线项目中，分别在弱电工</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ind w:right="0"/>
        <w:jc w:val="left"/>
      </w:pPr>
      <w:r>
        <w:rPr/>
        <w:t>程（</w:t>
      </w:r>
      <w:r>
        <w:rPr>
          <w:rFonts w:ascii="Times New Roman" w:hAnsi="Times New Roman" w:cs="Times New Roman" w:eastAsia="Times New Roman" w:hint="default"/>
        </w:rPr>
        <w:t>B </w:t>
      </w:r>
      <w:r>
        <w:rPr/>
        <w:t>标段）和弱电工程（</w:t>
      </w:r>
      <w:r>
        <w:rPr>
          <w:rFonts w:ascii="Times New Roman" w:hAnsi="Times New Roman" w:cs="Times New Roman" w:eastAsia="Times New Roman" w:hint="default"/>
        </w:rPr>
        <w:t>E </w:t>
      </w:r>
      <w:r>
        <w:rPr/>
        <w:t>标段）系统设备供货两个工程包中中标，中标总金额为人民币 </w:t>
      </w:r>
      <w:r>
        <w:rPr>
          <w:rFonts w:ascii="Times New Roman" w:hAnsi="Times New Roman" w:cs="Times New Roman" w:eastAsia="Times New Roman" w:hint="default"/>
        </w:rPr>
        <w:t>3,653.70</w:t>
      </w:r>
      <w:r>
        <w:rPr>
          <w:rFonts w:ascii="Times New Roman" w:hAnsi="Times New Roman" w:cs="Times New Roman" w:eastAsia="Times New Roman" w:hint="default"/>
          <w:spacing w:val="-3"/>
        </w:rPr>
        <w:t> </w:t>
      </w:r>
      <w:r>
        <w:rPr/>
        <w:t>万元，并收到了该项 目的中标通知书。</w:t>
      </w:r>
    </w:p>
    <w:p>
      <w:pPr>
        <w:pStyle w:val="BodyText"/>
        <w:spacing w:line="316" w:lineRule="auto" w:before="31"/>
        <w:ind w:right="1130" w:firstLine="362"/>
        <w:jc w:val="both"/>
      </w:pPr>
      <w:r>
        <w:rPr>
          <w:spacing w:val="-2"/>
        </w:rPr>
        <w:t>（九）截止披露日，北京中电兴发与中国航发贵州黎阳航空动力有限公司签署了战略合作框架协议。本次战略合作协议</w:t>
      </w:r>
      <w:r>
        <w:rPr/>
        <w:t> </w:t>
      </w:r>
      <w:r>
        <w:rPr>
          <w:spacing w:val="-2"/>
        </w:rPr>
        <w:t>的签署，将充分融合双方技术、资源、人才优势，构建极具竞争力的军民融合智慧生态，推动双方重点业务和产业链融合创</w:t>
      </w:r>
      <w:r>
        <w:rPr>
          <w:spacing w:val="-66"/>
        </w:rPr>
        <w:t> </w:t>
      </w:r>
      <w:r>
        <w:rPr>
          <w:spacing w:val="-66"/>
        </w:rPr>
      </w:r>
      <w:r>
        <w:rPr>
          <w:spacing w:val="-2"/>
        </w:rPr>
        <w:t>新发展，培育新的产业增长点。对北京中电兴发在智慧城市领域的技术精进、产品研发、业务发展以及市场拓展将产生积极</w:t>
      </w:r>
      <w:r>
        <w:rPr>
          <w:spacing w:val="-66"/>
        </w:rPr>
        <w:t> </w:t>
      </w:r>
      <w:r>
        <w:rPr>
          <w:spacing w:val="-66"/>
        </w:rPr>
      </w:r>
      <w:r>
        <w:rPr>
          <w:spacing w:val="-2"/>
        </w:rPr>
        <w:t>的推动作用，有利于促进北京中电兴发在智慧城市基础设施层、通用支撑层、智慧应用层的核心技术、先进产品的研究和开</w:t>
      </w:r>
      <w:r>
        <w:rPr>
          <w:spacing w:val="-66"/>
        </w:rPr>
        <w:t> </w:t>
      </w:r>
      <w:r>
        <w:rPr>
          <w:spacing w:val="-66"/>
        </w:rPr>
      </w:r>
      <w:r>
        <w:rPr>
          <w:spacing w:val="-2"/>
        </w:rPr>
        <w:t>发，并增强全面解决方案能力，从而提升公司整体竞争力和盈利能力，进一步提升公司未来的经营业绩，符合公司整体发展</w:t>
      </w:r>
      <w:r>
        <w:rPr>
          <w:spacing w:val="-66"/>
        </w:rPr>
        <w:t> </w:t>
      </w:r>
      <w:r>
        <w:rPr>
          <w:spacing w:val="-66"/>
        </w:rPr>
      </w:r>
      <w:r>
        <w:rPr/>
        <w:t>战略，有利于公司的长远发展。</w:t>
      </w:r>
    </w:p>
    <w:p>
      <w:pPr>
        <w:pStyle w:val="BodyText"/>
        <w:spacing w:line="240" w:lineRule="auto" w:before="19"/>
        <w:ind w:left="516" w:right="0"/>
        <w:jc w:val="left"/>
      </w:pPr>
      <w:r>
        <w:rPr/>
        <w:t>（十）荣誉奖项</w:t>
      </w:r>
    </w:p>
    <w:p>
      <w:pPr>
        <w:pStyle w:val="BodyText"/>
        <w:spacing w:line="300" w:lineRule="auto" w:before="76"/>
        <w:ind w:left="516" w:right="0"/>
        <w:jc w:val="left"/>
      </w:pPr>
      <w:r>
        <w:rPr>
          <w:rFonts w:ascii="Times New Roman" w:hAnsi="Times New Roman" w:cs="Times New Roman" w:eastAsia="Times New Roman" w:hint="default"/>
        </w:rPr>
        <w:t>1</w:t>
      </w:r>
      <w:r>
        <w:rPr/>
        <w:t>、全资子公司荣获</w:t>
      </w:r>
      <w:r>
        <w:rPr>
          <w:rFonts w:ascii="Times New Roman" w:hAnsi="Times New Roman" w:cs="Times New Roman" w:eastAsia="Times New Roman" w:hint="default"/>
        </w:rPr>
        <w:t>2018</w:t>
      </w:r>
      <w:r>
        <w:rPr/>
        <w:t>年度中国电子信息行业创新成果盘古奖 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19</w:t>
      </w:r>
      <w:r>
        <w:rPr/>
        <w:t>日收到全资子公司北京中电兴发的告知函：北京中电兴发申报的贵州省六盘水</w:t>
      </w:r>
      <w:r>
        <w:rPr>
          <w:rFonts w:ascii="Times New Roman" w:hAnsi="Times New Roman" w:cs="Times New Roman" w:eastAsia="Times New Roman" w:hint="default"/>
        </w:rPr>
        <w:t>“</w:t>
      </w:r>
      <w:r>
        <w:rPr/>
        <w:t>天网</w:t>
      </w:r>
      <w:r>
        <w:rPr>
          <w:rFonts w:ascii="Times New Roman" w:hAnsi="Times New Roman" w:cs="Times New Roman" w:eastAsia="Times New Roman" w:hint="default"/>
        </w:rPr>
        <w:t>”</w:t>
      </w:r>
      <w:r>
        <w:rPr/>
        <w:t>工程总集成项</w:t>
      </w:r>
    </w:p>
    <w:p>
      <w:pPr>
        <w:pStyle w:val="BodyText"/>
        <w:spacing w:line="307" w:lineRule="auto" w:before="13"/>
        <w:ind w:right="1031"/>
        <w:jc w:val="left"/>
      </w:pPr>
      <w:r>
        <w:rPr/>
        <w:t>目近日荣获</w:t>
      </w:r>
      <w:r>
        <w:rPr>
          <w:spacing w:val="13"/>
        </w:rPr>
        <w:t> </w:t>
      </w:r>
      <w:r>
        <w:rPr>
          <w:rFonts w:ascii="Times New Roman" w:hAnsi="Times New Roman" w:cs="Times New Roman" w:eastAsia="Times New Roman" w:hint="default"/>
          <w:spacing w:val="-2"/>
        </w:rPr>
        <w:t>2018</w:t>
      </w:r>
      <w:r>
        <w:rPr>
          <w:spacing w:val="-2"/>
        </w:rPr>
        <w:t>年度中国电子信息行业创新成果（创新应用类）盘古奖。本次获奖的贵州省六盘水市天网工程总集成项目，</w:t>
      </w:r>
      <w:r>
        <w:rPr>
          <w:spacing w:val="-87"/>
        </w:rPr>
        <w:t> </w:t>
      </w:r>
      <w:r>
        <w:rPr>
          <w:spacing w:val="-87"/>
        </w:rPr>
      </w:r>
      <w:r>
        <w:rPr/>
        <w:t>项目总投资</w:t>
      </w:r>
      <w:r>
        <w:rPr>
          <w:rFonts w:ascii="Times New Roman" w:hAnsi="Times New Roman" w:cs="Times New Roman" w:eastAsia="Times New Roman" w:hint="default"/>
        </w:rPr>
        <w:t>13.07</w:t>
      </w:r>
      <w:r>
        <w:rPr/>
        <w:t>亿元，运营维护期</w:t>
      </w:r>
      <w:r>
        <w:rPr>
          <w:rFonts w:ascii="Times New Roman" w:hAnsi="Times New Roman" w:cs="Times New Roman" w:eastAsia="Times New Roman" w:hint="default"/>
        </w:rPr>
        <w:t>10</w:t>
      </w:r>
      <w:r>
        <w:rPr/>
        <w:t>年，建设范围覆盖六盘水市</w:t>
      </w:r>
      <w:r>
        <w:rPr>
          <w:rFonts w:ascii="Times New Roman" w:hAnsi="Times New Roman" w:cs="Times New Roman" w:eastAsia="Times New Roman" w:hint="default"/>
        </w:rPr>
        <w:t>5</w:t>
      </w:r>
      <w:r>
        <w:rPr/>
        <w:t>个区县</w:t>
      </w:r>
      <w:r>
        <w:rPr>
          <w:rFonts w:ascii="Times New Roman" w:hAnsi="Times New Roman" w:cs="Times New Roman" w:eastAsia="Times New Roman" w:hint="default"/>
        </w:rPr>
        <w:t>36</w:t>
      </w:r>
      <w:r>
        <w:rPr/>
        <w:t>个乡镇派出所，该项目是中国目前单一最大的智 </w:t>
      </w:r>
      <w:r>
        <w:rPr>
          <w:spacing w:val="-2"/>
        </w:rPr>
        <w:t>慧社会治理项目，真正实现了跨地区、跨部门、跨业务的信息融合与应用，已成为中国全方位、立体化智慧社会治理体系建</w:t>
      </w:r>
      <w:r>
        <w:rPr>
          <w:spacing w:val="-66"/>
        </w:rPr>
        <w:t> </w:t>
      </w:r>
      <w:r>
        <w:rPr>
          <w:spacing w:val="-66"/>
        </w:rPr>
      </w:r>
      <w:r>
        <w:rPr/>
        <w:t>设的标杆。</w:t>
      </w:r>
    </w:p>
    <w:p>
      <w:pPr>
        <w:pStyle w:val="BodyText"/>
        <w:spacing w:line="314" w:lineRule="auto" w:before="26"/>
        <w:ind w:right="1129" w:firstLine="362"/>
        <w:jc w:val="both"/>
      </w:pPr>
      <w:r>
        <w:rPr>
          <w:spacing w:val="-2"/>
        </w:rPr>
        <w:t>此次荣誉的获得，是中国电子信息行业联合会对公司自主核心技术、产品及全面解决方案创新应用能力的极大肯定，将</w:t>
      </w:r>
      <w:r>
        <w:rPr/>
        <w:t> </w:t>
      </w:r>
      <w:r>
        <w:rPr>
          <w:spacing w:val="-1"/>
        </w:rPr>
        <w:t>进一步促进公司完善智慧平安城市及</w:t>
      </w:r>
      <w:r>
        <w:rPr>
          <w:rFonts w:ascii="Times New Roman" w:hAnsi="Times New Roman" w:cs="Times New Roman" w:eastAsia="Times New Roman" w:hint="default"/>
          <w:spacing w:val="-1"/>
        </w:rPr>
        <w:t>“</w:t>
      </w:r>
      <w:r>
        <w:rPr>
          <w:spacing w:val="-1"/>
        </w:rPr>
        <w:t>天网</w:t>
      </w:r>
      <w:r>
        <w:rPr>
          <w:rFonts w:ascii="Times New Roman" w:hAnsi="Times New Roman" w:cs="Times New Roman" w:eastAsia="Times New Roman" w:hint="default"/>
          <w:spacing w:val="-1"/>
        </w:rPr>
        <w:t>”</w:t>
      </w:r>
      <w:r>
        <w:rPr>
          <w:spacing w:val="-1"/>
        </w:rPr>
        <w:t>工程解决方案，进一步提高公司在智慧平安城市、公共安全及</w:t>
      </w:r>
      <w:r>
        <w:rPr>
          <w:rFonts w:ascii="Times New Roman" w:hAnsi="Times New Roman" w:cs="Times New Roman" w:eastAsia="Times New Roman" w:hint="default"/>
          <w:spacing w:val="-1"/>
        </w:rPr>
        <w:t>“</w:t>
      </w:r>
      <w:r>
        <w:rPr>
          <w:spacing w:val="-1"/>
        </w:rPr>
        <w:t>天网</w:t>
      </w:r>
      <w:r>
        <w:rPr>
          <w:rFonts w:ascii="Times New Roman" w:hAnsi="Times New Roman" w:cs="Times New Roman" w:eastAsia="Times New Roman" w:hint="default"/>
          <w:spacing w:val="-1"/>
        </w:rPr>
        <w:t>”</w:t>
      </w:r>
      <w:r>
        <w:rPr>
          <w:spacing w:val="-1"/>
        </w:rPr>
        <w:t>工程领域的</w:t>
      </w:r>
      <w:r>
        <w:rPr>
          <w:spacing w:val="-77"/>
        </w:rPr>
        <w:t> </w:t>
      </w:r>
      <w:r>
        <w:rPr>
          <w:spacing w:val="-2"/>
        </w:rPr>
        <w:t>市场影响力及示范作用，已形成面向智慧社会治理、智慧民生服务、智慧产业经济等三位一体的完全自主可控、国内领先且</w:t>
      </w:r>
      <w:r>
        <w:rPr>
          <w:spacing w:val="-66"/>
        </w:rPr>
        <w:t> </w:t>
      </w:r>
      <w:r>
        <w:rPr>
          <w:spacing w:val="-66"/>
        </w:rPr>
      </w:r>
      <w:r>
        <w:rPr>
          <w:spacing w:val="-2"/>
        </w:rPr>
        <w:t>具有国际竞争力的核心技术、产品和全面解决方案，进一步提高公司在智慧城市的运行效率并不断精益求精地复制，更好地</w:t>
      </w:r>
      <w:r>
        <w:rPr>
          <w:spacing w:val="-66"/>
        </w:rPr>
        <w:t> </w:t>
      </w:r>
      <w:r>
        <w:rPr>
          <w:spacing w:val="-66"/>
        </w:rPr>
      </w:r>
      <w:r>
        <w:rPr/>
        <w:t>专注于新型智慧城市的建设、投资与运营服务。</w:t>
      </w:r>
    </w:p>
    <w:p>
      <w:pPr>
        <w:pStyle w:val="BodyText"/>
        <w:spacing w:line="300" w:lineRule="auto" w:before="20"/>
        <w:ind w:left="516" w:right="0"/>
        <w:jc w:val="left"/>
      </w:pPr>
      <w:r>
        <w:rPr>
          <w:rFonts w:ascii="Times New Roman" w:hAnsi="Times New Roman" w:cs="Times New Roman" w:eastAsia="Times New Roman" w:hint="default"/>
        </w:rPr>
        <w:t>2</w:t>
      </w:r>
      <w:r>
        <w:rPr/>
        <w:t>、全资子公司荣获全国政法智能化建设领域十大解决方案提供商称号 </w:t>
      </w:r>
      <w:r>
        <w:rPr>
          <w:spacing w:val="-2"/>
        </w:rPr>
        <w:t>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w:t>
      </w:r>
      <w:r>
        <w:rPr>
          <w:spacing w:val="-2"/>
        </w:rPr>
        <w:t>日收到全资子公司北京中电兴发的告知函，内容为：北京中电兴发申报的黑龙江省人民检察院电子检</w:t>
      </w:r>
    </w:p>
    <w:p>
      <w:pPr>
        <w:pStyle w:val="BodyText"/>
        <w:spacing w:line="307" w:lineRule="auto" w:before="13"/>
        <w:ind w:right="1132"/>
        <w:jc w:val="both"/>
      </w:pPr>
      <w:r>
        <w:rPr/>
        <w:t>务工程（网络与检察专用信息系统建设项目）近日在中央政法委机关报《法制日报》主办的</w:t>
      </w:r>
      <w:r>
        <w:rPr>
          <w:spacing w:val="-4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全国政法智能化建设创新 </w:t>
      </w:r>
      <w:r>
        <w:rPr>
          <w:spacing w:val="-2"/>
        </w:rPr>
        <w:t>案例评选活动中荣获智慧检务十大解决方案提供商称号。公司作为目前中国具有国家部委核准并颁发的</w:t>
      </w:r>
      <w:r>
        <w:rPr>
          <w:rFonts w:ascii="Times New Roman" w:hAnsi="Times New Roman" w:cs="Times New Roman" w:eastAsia="Times New Roman" w:hint="default"/>
          <w:spacing w:val="-2"/>
        </w:rPr>
        <w:t>“</w:t>
      </w:r>
      <w:r>
        <w:rPr>
          <w:spacing w:val="-2"/>
        </w:rPr>
        <w:t>九甲</w:t>
      </w:r>
      <w:r>
        <w:rPr>
          <w:rFonts w:ascii="Times New Roman" w:hAnsi="Times New Roman" w:cs="Times New Roman" w:eastAsia="Times New Roman" w:hint="default"/>
          <w:spacing w:val="-2"/>
        </w:rPr>
        <w:t>”</w:t>
      </w:r>
      <w:r>
        <w:rPr>
          <w:spacing w:val="-2"/>
        </w:rPr>
        <w:t>资质的总集成</w:t>
      </w:r>
      <w:r>
        <w:rPr>
          <w:spacing w:val="-43"/>
        </w:rPr>
        <w:t> </w:t>
      </w:r>
      <w:r>
        <w:rPr>
          <w:spacing w:val="-2"/>
        </w:rPr>
        <w:t>商、整体解决方案供应商和智慧城市运营服务商，在政法智能化建设领域拥有深厚的技术积累，已累计完成了数百个政法信</w:t>
      </w:r>
      <w:r>
        <w:rPr>
          <w:spacing w:val="-66"/>
        </w:rPr>
        <w:t> </w:t>
      </w:r>
      <w:r>
        <w:rPr>
          <w:spacing w:val="-66"/>
        </w:rPr>
      </w:r>
      <w:r>
        <w:rPr>
          <w:spacing w:val="-3"/>
        </w:rPr>
        <w:t>息化项目，仅 </w:t>
      </w:r>
      <w:r>
        <w:rPr>
          <w:rFonts w:ascii="Times New Roman" w:hAnsi="Times New Roman" w:cs="Times New Roman" w:eastAsia="Times New Roman" w:hint="default"/>
        </w:rPr>
        <w:t>2017</w:t>
      </w:r>
      <w:r>
        <w:rPr>
          <w:rFonts w:ascii="Times New Roman" w:hAnsi="Times New Roman" w:cs="Times New Roman" w:eastAsia="Times New Roman" w:hint="default"/>
          <w:spacing w:val="-22"/>
        </w:rPr>
        <w:t> </w:t>
      </w:r>
      <w:r>
        <w:rPr/>
        <w:t>年以来就承揽了北京丰台区科技创安图像系统建设项目（智能应用部分）、新疆乌鲁木齐综治视联网项</w:t>
      </w:r>
    </w:p>
    <w:p>
      <w:pPr>
        <w:pStyle w:val="BodyText"/>
        <w:spacing w:line="300" w:lineRule="auto" w:before="7"/>
        <w:ind w:left="516" w:right="0" w:hanging="363"/>
        <w:jc w:val="left"/>
      </w:pPr>
      <w:r>
        <w:rPr/>
        <w:t>目、河北枣强雪亮工程、安徽芜湖雪亮工程、新疆伊宁县雪亮工程、安徽省淮南市平安淮南等 </w:t>
      </w:r>
      <w:r>
        <w:rPr>
          <w:rFonts w:ascii="Times New Roman" w:hAnsi="Times New Roman" w:cs="Times New Roman" w:eastAsia="Times New Roman" w:hint="default"/>
        </w:rPr>
        <w:t>10</w:t>
      </w:r>
      <w:r>
        <w:rPr>
          <w:rFonts w:ascii="Times New Roman" w:hAnsi="Times New Roman" w:cs="Times New Roman" w:eastAsia="Times New Roman" w:hint="default"/>
          <w:spacing w:val="9"/>
        </w:rPr>
        <w:t> </w:t>
      </w:r>
      <w:r>
        <w:rPr/>
        <w:t>余个大型项目。 </w:t>
      </w:r>
      <w:r>
        <w:rPr>
          <w:spacing w:val="-2"/>
        </w:rPr>
        <w:t>此次荣誉的获得，是中央政法委机关对公司在政法智能化建设领域的自主核心技术、产品及全面解决方案应用能力的极</w:t>
      </w:r>
    </w:p>
    <w:p>
      <w:pPr>
        <w:pStyle w:val="BodyText"/>
        <w:spacing w:line="316" w:lineRule="auto" w:before="31"/>
        <w:ind w:right="0"/>
        <w:jc w:val="left"/>
      </w:pPr>
      <w:r>
        <w:rPr>
          <w:spacing w:val="-2"/>
        </w:rPr>
        <w:t>大肯定，对北京中电兴发在政法智能化建设领域的产品、业务发展以及市场拓展产生积极的促进和推动作用，提升北京中电</w:t>
      </w:r>
      <w:r>
        <w:rPr>
          <w:spacing w:val="-66"/>
        </w:rPr>
        <w:t> </w:t>
      </w:r>
      <w:r>
        <w:rPr>
          <w:spacing w:val="-66"/>
        </w:rPr>
      </w:r>
      <w:r>
        <w:rPr/>
        <w:t>兴发在政法智能化建设领域的知名度，进一步提高公司在智慧城市、公共安全与反恐领域中的市场影响力及示范作用。</w:t>
      </w:r>
    </w:p>
    <w:p>
      <w:pPr>
        <w:pStyle w:val="BodyText"/>
        <w:spacing w:line="240" w:lineRule="auto" w:before="19"/>
        <w:ind w:left="531" w:right="0"/>
        <w:jc w:val="left"/>
      </w:pPr>
      <w:r>
        <w:rPr>
          <w:rFonts w:ascii="Times New Roman" w:hAnsi="Times New Roman" w:cs="Times New Roman" w:eastAsia="Times New Roman" w:hint="default"/>
        </w:rPr>
        <w:t>3</w:t>
      </w:r>
      <w:r>
        <w:rPr/>
        <w:t>、全资子公司荣登</w:t>
      </w:r>
      <w:r>
        <w:rPr>
          <w:rFonts w:ascii="Times New Roman" w:hAnsi="Times New Roman" w:cs="Times New Roman" w:eastAsia="Times New Roman" w:hint="default"/>
        </w:rPr>
        <w:t>2018</w:t>
      </w:r>
      <w:r>
        <w:rPr/>
        <w:t>北京民营企业科技创新百强榜</w:t>
      </w:r>
    </w:p>
    <w:p>
      <w:pPr>
        <w:pStyle w:val="BodyText"/>
        <w:spacing w:line="309" w:lineRule="auto" w:before="63"/>
        <w:ind w:right="0" w:firstLine="378"/>
        <w:jc w:val="left"/>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18</w:t>
      </w:r>
      <w:r>
        <w:rPr>
          <w:spacing w:val="-2"/>
        </w:rPr>
        <w:t>日，</w:t>
      </w:r>
      <w:r>
        <w:rPr>
          <w:rFonts w:ascii="Times New Roman" w:hAnsi="Times New Roman" w:cs="Times New Roman" w:eastAsia="Times New Roman" w:hint="default"/>
          <w:spacing w:val="-2"/>
        </w:rPr>
        <w:t>“2018</w:t>
      </w:r>
      <w:r>
        <w:rPr>
          <w:spacing w:val="-2"/>
        </w:rPr>
        <w:t>北京民营企业</w:t>
      </w:r>
      <w:r>
        <w:rPr>
          <w:rFonts w:ascii="Times New Roman" w:hAnsi="Times New Roman" w:cs="Times New Roman" w:eastAsia="Times New Roman" w:hint="default"/>
          <w:spacing w:val="-2"/>
        </w:rPr>
        <w:t>100</w:t>
      </w:r>
      <w:r>
        <w:rPr>
          <w:spacing w:val="-2"/>
        </w:rPr>
        <w:t>强发布会</w:t>
      </w:r>
      <w:r>
        <w:rPr>
          <w:rFonts w:ascii="Times New Roman" w:hAnsi="Times New Roman" w:cs="Times New Roman" w:eastAsia="Times New Roman" w:hint="default"/>
          <w:spacing w:val="-2"/>
        </w:rPr>
        <w:t>”</w:t>
      </w:r>
      <w:r>
        <w:rPr>
          <w:spacing w:val="-2"/>
        </w:rPr>
        <w:t>在北京举行，北京中电兴发荣登</w:t>
      </w:r>
      <w:r>
        <w:rPr>
          <w:rFonts w:ascii="Times New Roman" w:hAnsi="Times New Roman" w:cs="Times New Roman" w:eastAsia="Times New Roman" w:hint="default"/>
          <w:spacing w:val="-2"/>
        </w:rPr>
        <w:t>2018</w:t>
      </w:r>
      <w:r>
        <w:rPr>
          <w:spacing w:val="-2"/>
        </w:rPr>
        <w:t>北京民营企业科技创新百强榜。</w:t>
      </w:r>
      <w:r>
        <w:rPr/>
        <w:t> </w:t>
      </w:r>
      <w:r>
        <w:rPr>
          <w:spacing w:val="-2"/>
        </w:rPr>
        <w:t>此次荣誉的获得，是对北京中电兴发多年来快速良好发展势头和持续科技创新能力的高度认可。北京中电兴发将继续加大技</w:t>
      </w:r>
      <w:r>
        <w:rPr>
          <w:spacing w:val="-64"/>
        </w:rPr>
        <w:t> </w:t>
      </w:r>
      <w:r>
        <w:rPr>
          <w:spacing w:val="-64"/>
        </w:rPr>
      </w:r>
      <w:r>
        <w:rPr/>
        <w:t>术研发投入，增强社会责任担当，为推动国家和北京市非公有制经济的健康发展贡献更大力量。</w:t>
      </w:r>
    </w:p>
    <w:p>
      <w:pPr>
        <w:pStyle w:val="BodyText"/>
        <w:spacing w:line="240" w:lineRule="auto" w:before="24"/>
        <w:ind w:left="531" w:right="0"/>
        <w:jc w:val="left"/>
      </w:pPr>
      <w:r>
        <w:rPr>
          <w:rFonts w:ascii="Times New Roman" w:hAnsi="Times New Roman" w:cs="Times New Roman" w:eastAsia="Times New Roman" w:hint="default"/>
        </w:rPr>
        <w:t>4</w:t>
      </w:r>
      <w:r>
        <w:rPr/>
        <w:t>、全资子公司荣获</w:t>
      </w:r>
      <w:r>
        <w:rPr>
          <w:rFonts w:ascii="Times New Roman" w:hAnsi="Times New Roman" w:cs="Times New Roman" w:eastAsia="Times New Roman" w:hint="default"/>
        </w:rPr>
        <w:t>“a&amp;s</w:t>
      </w:r>
      <w:r>
        <w:rPr/>
        <w:t>中国百大智能集成企业</w:t>
      </w:r>
      <w:r>
        <w:rPr>
          <w:rFonts w:ascii="Times New Roman" w:hAnsi="Times New Roman" w:cs="Times New Roman" w:eastAsia="Times New Roman" w:hint="default"/>
        </w:rPr>
        <w:t>”</w:t>
      </w:r>
      <w:r>
        <w:rPr/>
        <w:t>多项荣誉</w:t>
      </w:r>
    </w:p>
    <w:p>
      <w:pPr>
        <w:pStyle w:val="BodyText"/>
        <w:spacing w:line="304" w:lineRule="auto" w:before="63"/>
        <w:ind w:right="1032" w:firstLine="378"/>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月，由</w:t>
      </w:r>
      <w:r>
        <w:rPr>
          <w:rFonts w:ascii="Times New Roman" w:hAnsi="Times New Roman" w:cs="Times New Roman" w:eastAsia="Times New Roman" w:hint="default"/>
        </w:rPr>
        <w:t>a&amp;s</w:t>
      </w:r>
      <w:r>
        <w:rPr/>
        <w:t>传媒主办的</w:t>
      </w:r>
      <w:r>
        <w:rPr>
          <w:rFonts w:ascii="Times New Roman" w:hAnsi="Times New Roman" w:cs="Times New Roman" w:eastAsia="Times New Roman" w:hint="default"/>
        </w:rPr>
        <w:t>“2018 a&amp;s</w:t>
      </w:r>
      <w:r>
        <w:rPr>
          <w:rFonts w:ascii="Times New Roman" w:hAnsi="Times New Roman" w:cs="Times New Roman" w:eastAsia="Times New Roman" w:hint="default"/>
          <w:spacing w:val="-2"/>
        </w:rPr>
        <w:t> </w:t>
      </w:r>
      <w:r>
        <w:rPr>
          <w:rFonts w:ascii="Times New Roman" w:hAnsi="Times New Roman" w:cs="Times New Roman" w:eastAsia="Times New Roman" w:hint="default"/>
        </w:rPr>
        <w:t>AI+</w:t>
      </w:r>
      <w:r>
        <w:rPr/>
        <w:t>产业高层峰会</w:t>
      </w:r>
      <w:r>
        <w:rPr>
          <w:rFonts w:ascii="Times New Roman" w:hAnsi="Times New Roman" w:cs="Times New Roman" w:eastAsia="Times New Roman" w:hint="default"/>
        </w:rPr>
        <w:t>”</w:t>
      </w:r>
      <w:r>
        <w:rPr/>
        <w:t>暨</w:t>
      </w:r>
      <w:r>
        <w:rPr>
          <w:rFonts w:ascii="Times New Roman" w:hAnsi="Times New Roman" w:cs="Times New Roman" w:eastAsia="Times New Roman" w:hint="default"/>
        </w:rPr>
        <w:t>2018</w:t>
      </w:r>
      <w:r>
        <w:rPr/>
        <w:t>中国百大智能集成商及安防十大品牌颁奖典礼中， 北京中电兴发凭借在智慧城市和公共安全领域取得的突出成绩，再次获得</w:t>
      </w:r>
      <w:r>
        <w:rPr>
          <w:rFonts w:ascii="Times New Roman" w:hAnsi="Times New Roman" w:cs="Times New Roman" w:eastAsia="Times New Roman" w:hint="default"/>
        </w:rPr>
        <w:t>“</w:t>
      </w:r>
      <w:r>
        <w:rPr/>
        <w:t>中国百大智能集成商</w:t>
      </w:r>
      <w:r>
        <w:rPr>
          <w:rFonts w:ascii="Times New Roman" w:hAnsi="Times New Roman" w:cs="Times New Roman" w:eastAsia="Times New Roman" w:hint="default"/>
        </w:rPr>
        <w:t>”</w:t>
      </w:r>
      <w:r>
        <w:rPr/>
        <w:t>殊荣，并在细分行业的</w:t>
      </w:r>
      <w:r>
        <w:rPr>
          <w:rFonts w:ascii="Times New Roman" w:hAnsi="Times New Roman" w:cs="Times New Roman" w:eastAsia="Times New Roman" w:hint="default"/>
        </w:rPr>
        <w:t>“</w:t>
      </w:r>
      <w:r>
        <w:rPr/>
        <w:t>平 </w:t>
      </w:r>
      <w:r>
        <w:rPr>
          <w:spacing w:val="-2"/>
        </w:rPr>
        <w:t>安城市</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智慧交通</w:t>
      </w:r>
      <w:r>
        <w:rPr>
          <w:rFonts w:ascii="Times New Roman" w:hAnsi="Times New Roman" w:cs="Times New Roman" w:eastAsia="Times New Roman" w:hint="default"/>
          <w:spacing w:val="-2"/>
        </w:rPr>
        <w:t>”</w:t>
      </w:r>
      <w:r>
        <w:rPr>
          <w:spacing w:val="-2"/>
        </w:rPr>
        <w:t>两大板块中名列</w:t>
      </w:r>
      <w:r>
        <w:rPr>
          <w:rFonts w:ascii="Times New Roman" w:hAnsi="Times New Roman" w:cs="Times New Roman" w:eastAsia="Times New Roman" w:hint="default"/>
          <w:spacing w:val="-2"/>
        </w:rPr>
        <w:t>TOP20</w:t>
      </w:r>
      <w:r>
        <w:rPr>
          <w:spacing w:val="-2"/>
        </w:rPr>
        <w:t>榜单，在</w:t>
      </w:r>
      <w:r>
        <w:rPr>
          <w:rFonts w:ascii="Times New Roman" w:hAnsi="Times New Roman" w:cs="Times New Roman" w:eastAsia="Times New Roman" w:hint="default"/>
          <w:spacing w:val="-2"/>
        </w:rPr>
        <w:t>“</w:t>
      </w:r>
      <w:r>
        <w:rPr>
          <w:spacing w:val="-2"/>
        </w:rPr>
        <w:t>安防系统集成</w:t>
      </w:r>
      <w:r>
        <w:rPr>
          <w:rFonts w:ascii="Times New Roman" w:hAnsi="Times New Roman" w:cs="Times New Roman" w:eastAsia="Times New Roman" w:hint="default"/>
          <w:spacing w:val="-2"/>
        </w:rPr>
        <w:t>”</w:t>
      </w:r>
      <w:r>
        <w:rPr>
          <w:spacing w:val="-2"/>
        </w:rPr>
        <w:t>板块中名列</w:t>
      </w:r>
      <w:r>
        <w:rPr>
          <w:rFonts w:ascii="Times New Roman" w:hAnsi="Times New Roman" w:cs="Times New Roman" w:eastAsia="Times New Roman" w:hint="default"/>
          <w:spacing w:val="-2"/>
        </w:rPr>
        <w:t>TOP50</w:t>
      </w:r>
      <w:r>
        <w:rPr>
          <w:spacing w:val="-2"/>
        </w:rPr>
        <w:t>榜单。此次荣誉的获得，充分肯定了</w:t>
      </w:r>
      <w:r>
        <w:rPr>
          <w:spacing w:val="-55"/>
        </w:rPr>
        <w:t> </w:t>
      </w:r>
      <w:r>
        <w:rPr>
          <w:spacing w:val="-55"/>
        </w:rPr>
      </w:r>
      <w:r>
        <w:rPr/>
        <w:t>北京中电兴发在信息系统集成、信息技术服务等方面的骄人成绩。公司将持续加大技术研发投入、增强全面解决方案能力、 践行项目管理创新，为行业客户创造更大价值。</w:t>
      </w:r>
    </w:p>
    <w:p>
      <w:pPr>
        <w:pStyle w:val="BodyText"/>
        <w:spacing w:line="300" w:lineRule="auto" w:before="28"/>
        <w:ind w:left="531" w:right="0"/>
        <w:jc w:val="left"/>
      </w:pPr>
      <w:r>
        <w:rPr>
          <w:rFonts w:ascii="Times New Roman" w:hAnsi="Times New Roman" w:cs="Times New Roman" w:eastAsia="Times New Roman" w:hint="default"/>
        </w:rPr>
        <w:t>5</w:t>
      </w:r>
      <w:r>
        <w:rPr/>
        <w:t>、全资子公司荣膺</w:t>
      </w:r>
      <w:r>
        <w:rPr>
          <w:rFonts w:ascii="Times New Roman" w:hAnsi="Times New Roman" w:cs="Times New Roman" w:eastAsia="Times New Roman" w:hint="default"/>
        </w:rPr>
        <w:t>“</w:t>
      </w:r>
      <w:r>
        <w:rPr/>
        <w:t>平安建设</w:t>
      </w:r>
      <w:r>
        <w:rPr>
          <w:rFonts w:ascii="Times New Roman" w:hAnsi="Times New Roman" w:cs="Times New Roman" w:eastAsia="Times New Roman" w:hint="default"/>
        </w:rPr>
        <w:t>”</w:t>
      </w:r>
      <w:r>
        <w:rPr/>
        <w:t>优秀行业解决方案提供商 </w:t>
      </w:r>
      <w:r>
        <w:rPr>
          <w:spacing w:val="-2"/>
        </w:rPr>
        <w:t>由中国安全防范产品行业协会组织开展的</w:t>
      </w:r>
      <w:r>
        <w:rPr>
          <w:rFonts w:ascii="Times New Roman" w:hAnsi="Times New Roman" w:cs="Times New Roman" w:eastAsia="Times New Roman" w:hint="default"/>
          <w:spacing w:val="-2"/>
        </w:rPr>
        <w:t>2018“</w:t>
      </w:r>
      <w:r>
        <w:rPr>
          <w:spacing w:val="-2"/>
        </w:rPr>
        <w:t>平安建设</w:t>
      </w:r>
      <w:r>
        <w:rPr>
          <w:rFonts w:ascii="Times New Roman" w:hAnsi="Times New Roman" w:cs="Times New Roman" w:eastAsia="Times New Roman" w:hint="default"/>
          <w:spacing w:val="-2"/>
        </w:rPr>
        <w:t>”</w:t>
      </w:r>
      <w:r>
        <w:rPr>
          <w:spacing w:val="-2"/>
        </w:rPr>
        <w:t>优秀行业解决方案推荐活动，于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23</w:t>
      </w:r>
      <w:r>
        <w:rPr>
          <w:spacing w:val="-2"/>
        </w:rPr>
        <w:t>日举行了优秀解</w:t>
      </w:r>
    </w:p>
    <w:p>
      <w:pPr>
        <w:pStyle w:val="BodyText"/>
        <w:spacing w:line="300" w:lineRule="auto" w:before="13"/>
        <w:ind w:right="0"/>
        <w:jc w:val="left"/>
      </w:pPr>
      <w:r>
        <w:rPr>
          <w:spacing w:val="-2"/>
        </w:rPr>
        <w:t>决方案提供商颁奖仪式。北京中电兴发雪亮工程、平安城市两大行业解决方案均获得了</w:t>
      </w:r>
      <w:r>
        <w:rPr>
          <w:rFonts w:ascii="Times New Roman" w:hAnsi="Times New Roman" w:cs="Times New Roman" w:eastAsia="Times New Roman" w:hint="default"/>
          <w:spacing w:val="-2"/>
        </w:rPr>
        <w:t>“</w:t>
      </w:r>
      <w:r>
        <w:rPr>
          <w:spacing w:val="-2"/>
        </w:rPr>
        <w:t>平安建设</w:t>
      </w:r>
      <w:r>
        <w:rPr>
          <w:rFonts w:ascii="Times New Roman" w:hAnsi="Times New Roman" w:cs="Times New Roman" w:eastAsia="Times New Roman" w:hint="default"/>
          <w:spacing w:val="-2"/>
        </w:rPr>
        <w:t>”</w:t>
      </w:r>
      <w:r>
        <w:rPr>
          <w:spacing w:val="-2"/>
        </w:rPr>
        <w:t>优秀行业解决方案奖。此</w:t>
      </w:r>
      <w:r>
        <w:rPr>
          <w:spacing w:val="-43"/>
        </w:rPr>
        <w:t> </w:t>
      </w:r>
      <w:r>
        <w:rPr>
          <w:spacing w:val="-43"/>
        </w:rPr>
      </w:r>
      <w:r>
        <w:rPr/>
        <w:t>次荣誉的获得，有利于树立公司品牌形象，是对公司在</w:t>
      </w:r>
      <w:r>
        <w:rPr>
          <w:rFonts w:ascii="Times New Roman" w:hAnsi="Times New Roman" w:cs="Times New Roman" w:eastAsia="Times New Roman" w:hint="default"/>
        </w:rPr>
        <w:t>“</w:t>
      </w:r>
      <w:r>
        <w:rPr/>
        <w:t>平安建设</w:t>
      </w:r>
      <w:r>
        <w:rPr>
          <w:rFonts w:ascii="Times New Roman" w:hAnsi="Times New Roman" w:cs="Times New Roman" w:eastAsia="Times New Roman" w:hint="default"/>
        </w:rPr>
        <w:t>”</w:t>
      </w:r>
      <w:r>
        <w:rPr/>
        <w:t>领域解决方案能力和综合实力的高度认可。</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ind w:left="531" w:right="1115"/>
        <w:jc w:val="left"/>
      </w:pPr>
      <w:r>
        <w:rPr>
          <w:rFonts w:ascii="Times New Roman" w:hAnsi="Times New Roman" w:cs="Times New Roman" w:eastAsia="Times New Roman" w:hint="default"/>
        </w:rPr>
        <w:t>6</w:t>
      </w:r>
      <w:r>
        <w:rPr/>
        <w:t>、全资子公司荣获中国智慧城市大会两大奖项 报告期内举办的第九届中国智慧城市大会上，公司董事长兼总经理、北京中电兴发董事长兼总裁瞿洪桂荣获</w:t>
      </w:r>
      <w:r>
        <w:rPr>
          <w:rFonts w:ascii="Times New Roman" w:hAnsi="Times New Roman" w:cs="Times New Roman" w:eastAsia="Times New Roman" w:hint="default"/>
        </w:rPr>
        <w:t>“</w:t>
      </w:r>
      <w:r>
        <w:rPr/>
        <w:t>中国智慧</w:t>
      </w:r>
    </w:p>
    <w:p>
      <w:pPr>
        <w:pStyle w:val="BodyText"/>
        <w:spacing w:line="300" w:lineRule="auto" w:before="13"/>
        <w:ind w:right="1148"/>
        <w:jc w:val="both"/>
      </w:pPr>
      <w:r>
        <w:rPr/>
        <w:t>城市发展十周年领袖人物</w:t>
      </w:r>
      <w:r>
        <w:rPr>
          <w:rFonts w:ascii="Times New Roman" w:hAnsi="Times New Roman" w:cs="Times New Roman" w:eastAsia="Times New Roman" w:hint="default"/>
        </w:rPr>
        <w:t>”</w:t>
      </w:r>
      <w:r>
        <w:rPr/>
        <w:t>，北京中电兴发智慧治理与雪亮工程解决方案荣获</w:t>
      </w:r>
      <w:r>
        <w:rPr>
          <w:rFonts w:ascii="Times New Roman" w:hAnsi="Times New Roman" w:cs="Times New Roman" w:eastAsia="Times New Roman" w:hint="default"/>
        </w:rPr>
        <w:t>“</w:t>
      </w:r>
      <w:r>
        <w:rPr/>
        <w:t>中国智慧城市发展十周年优秀方案</w:t>
      </w:r>
      <w:r>
        <w:rPr>
          <w:rFonts w:ascii="Times New Roman" w:hAnsi="Times New Roman" w:cs="Times New Roman" w:eastAsia="Times New Roman" w:hint="default"/>
        </w:rPr>
        <w:t>”</w:t>
      </w:r>
      <w:r>
        <w:rPr/>
        <w:t>。此次两 项荣誉的获得，是对北京中电兴发技术、团队、解决方案等综合实力的高度认可。面向未来，公司将紧紧围绕</w:t>
      </w:r>
      <w:r>
        <w:rPr>
          <w:rFonts w:ascii="Times New Roman" w:hAnsi="Times New Roman" w:cs="Times New Roman" w:eastAsia="Times New Roman" w:hint="default"/>
        </w:rPr>
        <w:t>“</w:t>
      </w:r>
      <w:r>
        <w:rPr/>
        <w:t>智慧社会治 理、智慧民生服务、智慧产业经济</w:t>
      </w:r>
      <w:r>
        <w:rPr>
          <w:rFonts w:ascii="Times New Roman" w:hAnsi="Times New Roman" w:cs="Times New Roman" w:eastAsia="Times New Roman" w:hint="default"/>
        </w:rPr>
        <w:t>”</w:t>
      </w:r>
      <w:r>
        <w:rPr/>
        <w:t>三位一体进行业务布局，助力我国智慧城市建设更上新台阶。</w:t>
      </w:r>
    </w:p>
    <w:p>
      <w:pPr>
        <w:spacing w:after="0" w:line="300"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6" w:right="0"/>
        <w:jc w:val="left"/>
        <w:rPr>
          <w:b w:val="0"/>
          <w:bCs w:val="0"/>
        </w:rPr>
      </w:pPr>
      <w:bookmarkStart w:name="_TOC_250006" w:id="109"/>
      <w:bookmarkStart w:name="第六节 股份变动及股东情况" w:id="110"/>
      <w:r>
        <w:rPr>
          <w:b w:val="0"/>
          <w:bCs w:val="0"/>
        </w:rPr>
      </w:r>
      <w:r>
        <w:rPr/>
        <w:t>第六节</w:t>
      </w:r>
      <w:r>
        <w:rPr>
          <w:spacing w:val="-10"/>
        </w:rPr>
        <w:t> </w:t>
      </w:r>
      <w:r>
        <w:rPr/>
        <w:t>股份变动及股东情况</w:t>
      </w:r>
      <w:bookmarkEnd w:id="109"/>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111"/>
      <w:bookmarkEnd w:id="111"/>
      <w:r>
        <w:rPr>
          <w:b w:val="0"/>
          <w:bCs w:val="0"/>
        </w:rPr>
      </w:r>
      <w:r>
        <w:rPr/>
        <w:t>一、股份变动情况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股份变动情况" w:id="112"/>
      <w:bookmarkEnd w:id="112"/>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7524" w:right="1130"/>
        <w:jc w:val="right"/>
      </w:pPr>
      <w:r>
        <w:rPr/>
        <w:t>单位：股</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216"/>
        <w:gridCol w:w="823"/>
        <w:gridCol w:w="824"/>
        <w:gridCol w:w="822"/>
        <w:gridCol w:w="822"/>
        <w:gridCol w:w="822"/>
        <w:gridCol w:w="822"/>
        <w:gridCol w:w="822"/>
        <w:gridCol w:w="794"/>
        <w:gridCol w:w="794"/>
      </w:tblGrid>
      <w:tr>
        <w:trPr>
          <w:trHeight w:val="402"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16" w:right="43"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vMerge/>
            <w:tcBorders>
              <w:left w:val="single" w:sz="4" w:space="0" w:color="000000"/>
              <w:right w:val="single" w:sz="4" w:space="0" w:color="000000"/>
            </w:tcBorders>
            <w:shd w:val="clear" w:color="auto" w:fill="D2D2D2"/>
          </w:tcPr>
          <w:p>
            <w:pP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236,247,0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01</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33.56%</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-63,273,1</w:t>
            </w:r>
            <w:r>
              <w:rPr>
                <w:rFonts w:ascii="Times New Roman"/>
                <w:sz w:val="18"/>
              </w:rPr>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52</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-63,273,1</w:t>
            </w:r>
            <w:r>
              <w:rPr>
                <w:rFonts w:ascii="Times New Roman"/>
                <w:sz w:val="18"/>
              </w:rPr>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172,973,8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49</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25.01%</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236,247,0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01</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33.56%</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-63,273,1</w:t>
            </w:r>
            <w:r>
              <w:rPr>
                <w:rFonts w:ascii="Times New Roman"/>
                <w:sz w:val="18"/>
              </w:rPr>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52</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-63,273,1</w:t>
            </w:r>
            <w:r>
              <w:rPr>
                <w:rFonts w:ascii="Times New Roman"/>
                <w:sz w:val="18"/>
              </w:rPr>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172,973,8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49</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25.01%</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60,107,46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8.54%</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-60,107,4</w:t>
            </w:r>
            <w:r>
              <w:rPr>
                <w:rFonts w:ascii="Times New Roman"/>
                <w:sz w:val="18"/>
              </w:rPr>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62</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-60,107,4</w:t>
            </w:r>
            <w:r>
              <w:rPr>
                <w:rFonts w:ascii="Times New Roman"/>
                <w:sz w:val="18"/>
              </w:rPr>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62</w:t>
            </w:r>
          </w:p>
        </w:tc>
        <w:tc>
          <w:tcPr>
            <w:tcW w:w="794" w:type="dxa"/>
            <w:vMerge w:val="restart"/>
            <w:tcBorders>
              <w:top w:val="single" w:sz="4" w:space="0" w:color="000000"/>
              <w:left w:val="single" w:sz="4" w:space="0" w:color="000000"/>
              <w:right w:val="single" w:sz="4" w:space="0" w:color="000000"/>
            </w:tcBorders>
          </w:tcPr>
          <w:p>
            <w:pPr/>
          </w:p>
        </w:tc>
        <w:tc>
          <w:tcPr>
            <w:tcW w:w="794" w:type="dxa"/>
            <w:vMerge w:val="restart"/>
            <w:tcBorders>
              <w:top w:val="single" w:sz="4" w:space="0" w:color="000000"/>
              <w:left w:val="single" w:sz="4" w:space="0" w:color="000000"/>
              <w:right w:val="single" w:sz="4" w:space="0" w:color="000000"/>
            </w:tcBorders>
          </w:tcPr>
          <w:p>
            <w:pP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176,139,5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39</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25.02%</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-3,165,69</w:t>
            </w:r>
            <w:r>
              <w:rPr>
                <w:rFonts w:ascii="Times New Roman"/>
                <w:sz w:val="18"/>
              </w:rPr>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-3,165,69</w:t>
            </w:r>
            <w:r>
              <w:rPr>
                <w:rFonts w:ascii="Times New Roman"/>
                <w:sz w:val="18"/>
              </w:rPr>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172,973,8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49</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25.01%</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467,713,6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59</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66.44%</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50,818,40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50,818,40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518,532,0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74.99%</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467,713,6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59</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66.44%</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50,818,40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50,818,40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518,532,0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74.99%</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703,960,6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-12,454,7</w:t>
            </w:r>
            <w:r>
              <w:rPr>
                <w:rFonts w:ascii="Times New Roman"/>
                <w:sz w:val="18"/>
              </w:rPr>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45</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-12,454,7</w:t>
            </w:r>
            <w:r>
              <w:rPr>
                <w:rFonts w:ascii="Times New Roman"/>
                <w:sz w:val="18"/>
              </w:rPr>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691,505,9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bl>
    <w:p>
      <w:pPr>
        <w:pStyle w:val="BodyText"/>
        <w:spacing w:line="240" w:lineRule="auto" w:before="51"/>
        <w:ind w:right="0"/>
        <w:jc w:val="both"/>
      </w:pPr>
      <w:r>
        <w:rPr/>
        <w:t>股份变动的原因</w:t>
      </w:r>
    </w:p>
    <w:p>
      <w:pPr>
        <w:pStyle w:val="BodyText"/>
        <w:spacing w:line="338" w:lineRule="auto" w:before="117"/>
        <w:ind w:left="514" w:right="1118"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根据《深圳证券交易所上市公司以集中竞价方式回购股份业务指引》、《关于上市公司以集中竞价交易方式回购股份的</w:t>
      </w:r>
    </w:p>
    <w:p>
      <w:pPr>
        <w:pStyle w:val="BodyText"/>
        <w:spacing w:line="304" w:lineRule="auto" w:before="2"/>
        <w:ind w:right="1132"/>
        <w:jc w:val="both"/>
      </w:pPr>
      <w:r>
        <w:rPr>
          <w:spacing w:val="-2"/>
        </w:rPr>
        <w:t>补充规定》等相关规定，公司分别于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5</w:t>
      </w:r>
      <w:r>
        <w:rPr>
          <w:spacing w:val="-2"/>
        </w:rPr>
        <w:t>日召开的第七届董事会第十三次会议、</w:t>
      </w:r>
      <w:r>
        <w:rPr>
          <w:rFonts w:ascii="Times New Roman" w:hAnsi="Times New Roman" w:cs="Times New Roman" w:eastAsia="Times New Roman" w:hint="default"/>
          <w:spacing w:val="-2"/>
        </w:rPr>
        <w:t>2018</w:t>
      </w:r>
      <w:r>
        <w:rPr>
          <w:rFonts w:ascii="Times New Roman" w:hAnsi="Times New Roman" w:cs="Times New Roman" w:eastAsia="Times New Roman" w:hint="default"/>
          <w:spacing w:val="17"/>
        </w:rPr>
        <w:t> </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23</w:t>
      </w:r>
      <w:r>
        <w:rPr>
          <w:spacing w:val="-1"/>
        </w:rPr>
        <w:t>日召开的</w:t>
      </w:r>
      <w:r>
        <w:rPr>
          <w:rFonts w:ascii="Times New Roman" w:hAnsi="Times New Roman" w:cs="Times New Roman" w:eastAsia="Times New Roman" w:hint="default"/>
          <w:spacing w:val="-1"/>
        </w:rPr>
        <w:t>2018</w:t>
      </w:r>
      <w:r>
        <w:rPr>
          <w:spacing w:val="-1"/>
        </w:rPr>
        <w:t>年第一次</w:t>
      </w:r>
      <w:r>
        <w:rPr>
          <w:spacing w:val="-86"/>
        </w:rPr>
        <w:t> </w:t>
      </w:r>
      <w:r>
        <w:rPr>
          <w:spacing w:val="-2"/>
        </w:rPr>
        <w:t>临时股东大会审议通过了《关于以集中竞价交易方式回购公司股份的议案》等议案，同意公司使用自有资金以集中竞价交易</w:t>
      </w:r>
      <w:r>
        <w:rPr>
          <w:spacing w:val="-66"/>
        </w:rPr>
        <w:t> </w:t>
      </w:r>
      <w:r>
        <w:rPr>
          <w:spacing w:val="-66"/>
        </w:rPr>
      </w:r>
      <w:r>
        <w:rPr/>
        <w:t>的方式回购公司股份，直接用作注销并减少注册资本，回购资金总额不低于人民币</w:t>
      </w:r>
      <w:r>
        <w:rPr>
          <w:rFonts w:ascii="Times New Roman" w:hAnsi="Times New Roman" w:cs="Times New Roman" w:eastAsia="Times New Roman" w:hint="default"/>
        </w:rPr>
        <w:t>9000</w:t>
      </w:r>
      <w:r>
        <w:rPr/>
        <w:t>万元、不超过人民币</w:t>
      </w:r>
      <w:r>
        <w:rPr>
          <w:rFonts w:ascii="Times New Roman" w:hAnsi="Times New Roman" w:cs="Times New Roman" w:eastAsia="Times New Roman" w:hint="default"/>
        </w:rPr>
        <w:t>1</w:t>
      </w:r>
      <w:r>
        <w:rPr/>
        <w:t>亿元，回购价 格不超过人民币</w:t>
      </w:r>
      <w:r>
        <w:rPr>
          <w:rFonts w:ascii="Times New Roman" w:hAnsi="Times New Roman" w:cs="Times New Roman" w:eastAsia="Times New Roman" w:hint="default"/>
        </w:rPr>
        <w:t>10</w:t>
      </w:r>
      <w:r>
        <w:rPr/>
        <w:t>元</w:t>
      </w:r>
      <w:r>
        <w:rPr>
          <w:rFonts w:ascii="Times New Roman" w:hAnsi="Times New Roman" w:cs="Times New Roman" w:eastAsia="Times New Roman" w:hint="default"/>
        </w:rPr>
        <w:t>/</w:t>
      </w:r>
      <w:r>
        <w:rPr/>
        <w:t>股，回购股份的实施期限为自股东大会审议通过回购股份方案之日起不超过六个月（即本次回购股份 的实施期限为：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 </w:t>
      </w:r>
      <w:r>
        <w:rPr>
          <w:rFonts w:ascii="Times New Roman" w:hAnsi="Times New Roman" w:cs="Times New Roman" w:eastAsia="Times New Roman" w:hint="default"/>
        </w:rPr>
        <w:t>24</w:t>
      </w:r>
      <w:r>
        <w:rPr>
          <w:rFonts w:ascii="Times New Roman" w:hAnsi="Times New Roman" w:cs="Times New Roman" w:eastAsia="Times New Roman" w:hint="default"/>
          <w:spacing w:val="8"/>
        </w:rPr>
        <w:t> </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23</w:t>
      </w:r>
      <w:r>
        <w:rPr/>
        <w:t>日。截止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14</w:t>
      </w:r>
      <w:r>
        <w:rPr/>
        <w:t>日，公司股份回购已实施完毕。经中国证券登记结算 有限责任公司深圳分公司审核确认，公司本次回购股份注销事宜已于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9</w:t>
      </w:r>
      <w:r>
        <w:rPr/>
        <w:t>日办理完成，公司总股本由</w:t>
      </w:r>
      <w:r>
        <w:rPr>
          <w:rFonts w:ascii="Times New Roman" w:hAnsi="Times New Roman" w:cs="Times New Roman" w:eastAsia="Times New Roman" w:hint="default"/>
        </w:rPr>
        <w:t>703,960,660</w:t>
      </w:r>
      <w:r>
        <w:rPr/>
        <w:t>股 减少至</w:t>
      </w:r>
      <w:r>
        <w:rPr>
          <w:rFonts w:ascii="Times New Roman" w:hAnsi="Times New Roman" w:cs="Times New Roman" w:eastAsia="Times New Roman" w:hint="default"/>
        </w:rPr>
        <w:t>691,505,915</w:t>
      </w:r>
      <w:r>
        <w:rPr/>
        <w:t>股。</w:t>
      </w:r>
    </w:p>
    <w:p>
      <w:pPr>
        <w:pStyle w:val="BodyText"/>
        <w:spacing w:line="240" w:lineRule="auto" w:before="50"/>
        <w:ind w:right="0"/>
        <w:jc w:val="both"/>
      </w:pPr>
      <w:r>
        <w:rPr/>
        <w:t>股份变动的批准情况</w:t>
      </w:r>
    </w:p>
    <w:p>
      <w:pPr>
        <w:pStyle w:val="BodyText"/>
        <w:spacing w:line="338" w:lineRule="auto" w:before="116"/>
        <w:ind w:right="9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股份变动的过户情况</w:t>
      </w:r>
    </w:p>
    <w:p>
      <w:pPr>
        <w:pStyle w:val="BodyText"/>
        <w:spacing w:line="240" w:lineRule="auto" w:before="43"/>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both"/>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ind w:right="0"/>
        <w:jc w:val="left"/>
      </w:pPr>
      <w:r>
        <w:rPr/>
        <w:t>股份回购的实施进展情况</w:t>
      </w:r>
    </w:p>
    <w:p>
      <w:pPr>
        <w:pStyle w:val="BodyText"/>
        <w:spacing w:line="319" w:lineRule="auto" w:before="116"/>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rPr>
        <w:t>1</w:t>
      </w:r>
      <w:r>
        <w:rPr/>
        <w:t>、根据《深圳证券交易所上市公司以集中竞价方式回购股份业务指引》、《关于上市公司以集中竞价交易方式回购股份的 </w:t>
      </w:r>
      <w:r>
        <w:rPr>
          <w:spacing w:val="-2"/>
        </w:rPr>
        <w:t>补充规定》等相关规定，公司分别于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5</w:t>
      </w:r>
      <w:r>
        <w:rPr>
          <w:spacing w:val="-2"/>
        </w:rPr>
        <w:t>日召开的第七届董事会第十三次会议、</w:t>
      </w:r>
      <w:r>
        <w:rPr>
          <w:rFonts w:ascii="Times New Roman" w:hAnsi="Times New Roman" w:cs="Times New Roman" w:eastAsia="Times New Roman" w:hint="default"/>
          <w:spacing w:val="-2"/>
        </w:rPr>
        <w:t>2018</w:t>
      </w:r>
      <w:r>
        <w:rPr>
          <w:rFonts w:ascii="Times New Roman" w:hAnsi="Times New Roman" w:cs="Times New Roman" w:eastAsia="Times New Roman" w:hint="default"/>
        </w:rPr>
        <w:t> </w:t>
      </w:r>
      <w:r>
        <w:rPr>
          <w:rFonts w:ascii="Times New Roman" w:hAnsi="Times New Roman" w:cs="Times New Roman" w:eastAsia="Times New Roman" w:hint="default"/>
          <w:spacing w:val="22"/>
        </w:rPr>
        <w:t> </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23</w:t>
      </w:r>
      <w:r>
        <w:rPr>
          <w:spacing w:val="-1"/>
        </w:rPr>
        <w:t>日召开的</w:t>
      </w:r>
      <w:r>
        <w:rPr>
          <w:rFonts w:ascii="Times New Roman" w:hAnsi="Times New Roman" w:cs="Times New Roman" w:eastAsia="Times New Roman" w:hint="default"/>
          <w:spacing w:val="-1"/>
        </w:rPr>
        <w:t>2018</w:t>
      </w:r>
      <w:r>
        <w:rPr>
          <w:spacing w:val="-1"/>
        </w:rPr>
        <w:t>年第一次</w:t>
      </w:r>
    </w:p>
    <w:p>
      <w:pPr>
        <w:pStyle w:val="BodyText"/>
        <w:spacing w:line="302" w:lineRule="auto" w:before="0"/>
        <w:ind w:right="1114"/>
        <w:jc w:val="left"/>
      </w:pPr>
      <w:r>
        <w:rPr>
          <w:spacing w:val="-2"/>
        </w:rPr>
        <w:t>临时股东大会审议通过了《关于以集中竞价交易方式回购公司股份的议案》等议案，同意公司使用自有资金以集中竞价交易</w:t>
      </w:r>
      <w:r>
        <w:rPr>
          <w:spacing w:val="-66"/>
        </w:rPr>
        <w:t> </w:t>
      </w:r>
      <w:r>
        <w:rPr>
          <w:spacing w:val="-66"/>
        </w:rPr>
      </w:r>
      <w:r>
        <w:rPr/>
        <w:t>的方式回购公司股份，直接用作注销并减少注册资本，回购资金总额不低于人民币</w:t>
      </w:r>
      <w:r>
        <w:rPr>
          <w:rFonts w:ascii="Times New Roman" w:hAnsi="Times New Roman" w:cs="Times New Roman" w:eastAsia="Times New Roman" w:hint="default"/>
        </w:rPr>
        <w:t>9000</w:t>
      </w:r>
      <w:r>
        <w:rPr/>
        <w:t>万元、不超过人民币</w:t>
      </w:r>
      <w:r>
        <w:rPr>
          <w:rFonts w:ascii="Times New Roman" w:hAnsi="Times New Roman" w:cs="Times New Roman" w:eastAsia="Times New Roman" w:hint="default"/>
        </w:rPr>
        <w:t>1</w:t>
      </w:r>
      <w:r>
        <w:rPr/>
        <w:t>亿元，回购价 格不超过人民币</w:t>
      </w:r>
      <w:r>
        <w:rPr>
          <w:rFonts w:ascii="Times New Roman" w:hAnsi="Times New Roman" w:cs="Times New Roman" w:eastAsia="Times New Roman" w:hint="default"/>
        </w:rPr>
        <w:t>10</w:t>
      </w:r>
      <w:r>
        <w:rPr/>
        <w:t>元</w:t>
      </w:r>
      <w:r>
        <w:rPr>
          <w:rFonts w:ascii="Times New Roman" w:hAnsi="Times New Roman" w:cs="Times New Roman" w:eastAsia="Times New Roman" w:hint="default"/>
        </w:rPr>
        <w:t>/</w:t>
      </w:r>
      <w:r>
        <w:rPr/>
        <w:t>股，回购股 份的实施期限为自股东大会审议通过回购股份方案之日起不超过六个月（即本次回购</w:t>
      </w:r>
      <w:r>
        <w:rPr>
          <w:spacing w:val="-35"/>
        </w:rPr>
        <w:t> </w:t>
      </w:r>
      <w:r>
        <w:rPr/>
        <w:t>股</w:t>
      </w:r>
      <w:r>
        <w:rPr/>
        <w:t> 份的实施期限为：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 </w:t>
      </w:r>
      <w:r>
        <w:rPr>
          <w:rFonts w:ascii="Times New Roman" w:hAnsi="Times New Roman" w:cs="Times New Roman" w:eastAsia="Times New Roman" w:hint="default"/>
        </w:rPr>
        <w:t>24</w:t>
      </w:r>
      <w:r>
        <w:rPr>
          <w:rFonts w:ascii="Times New Roman" w:hAnsi="Times New Roman" w:cs="Times New Roman" w:eastAsia="Times New Roman" w:hint="default"/>
          <w:spacing w:val="8"/>
        </w:rPr>
        <w:t> </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23</w:t>
      </w:r>
      <w:r>
        <w:rPr/>
        <w:t>日。截止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14</w:t>
      </w:r>
      <w:r>
        <w:rPr/>
        <w:t>日，公司股份回购已实施完毕。经中国证券登记结 算有限责任公司深圳分公司审核确认，公司本次回购股份注销事宜已于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9</w:t>
      </w:r>
      <w:r>
        <w:rPr/>
        <w:t>日办理完成。截止本报告披露日，公司 已经完成了工商变更相关手续，公司注册资本由</w:t>
      </w:r>
      <w:r>
        <w:rPr>
          <w:rFonts w:ascii="Times New Roman" w:hAnsi="Times New Roman" w:cs="Times New Roman" w:eastAsia="Times New Roman" w:hint="default"/>
        </w:rPr>
        <w:t>703,960,660</w:t>
      </w:r>
      <w:r>
        <w:rPr/>
        <w:t>元减少至</w:t>
      </w:r>
      <w:r>
        <w:rPr>
          <w:rFonts w:ascii="Times New Roman" w:hAnsi="Times New Roman" w:cs="Times New Roman" w:eastAsia="Times New Roman" w:hint="default"/>
        </w:rPr>
        <w:t>691,505,915</w:t>
      </w:r>
      <w:r>
        <w:rPr/>
        <w:t>元。 </w:t>
      </w:r>
      <w:r>
        <w:rPr>
          <w:rFonts w:ascii="Times New Roman" w:hAnsi="Times New Roman" w:cs="Times New Roman" w:eastAsia="Times New Roman" w:hint="default"/>
        </w:rPr>
        <w:t>2</w:t>
      </w:r>
      <w:r>
        <w:rPr/>
        <w:t>、公司于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6</w:t>
      </w:r>
      <w:r>
        <w:rPr/>
        <w:t>日召开</w:t>
      </w:r>
      <w:r>
        <w:rPr>
          <w:rFonts w:ascii="Times New Roman" w:hAnsi="Times New Roman" w:cs="Times New Roman" w:eastAsia="Times New Roman" w:hint="default"/>
        </w:rPr>
        <w:t>2018</w:t>
      </w:r>
      <w:r>
        <w:rPr/>
        <w:t>年第四次临</w:t>
      </w:r>
      <w:r>
        <w:rPr>
          <w:spacing w:val="-19"/>
        </w:rPr>
        <w:t> </w:t>
      </w:r>
      <w:r>
        <w:rPr/>
        <w:t>时股东大会，审议通过了《关于以集中竞价方式回购股份的议案》等相关议</w:t>
      </w:r>
      <w:r>
        <w:rPr/>
        <w:t> </w:t>
      </w:r>
      <w:r>
        <w:rPr>
          <w:spacing w:val="-2"/>
        </w:rPr>
        <w:t>案，同意公司以集中竞价交易的方式使用自有资金回购公司股份，回购价格为不超过</w:t>
      </w:r>
      <w:r>
        <w:rPr>
          <w:rFonts w:ascii="Times New Roman" w:hAnsi="Times New Roman" w:cs="Times New Roman" w:eastAsia="Times New Roman" w:hint="default"/>
          <w:spacing w:val="-2"/>
        </w:rPr>
        <w:t>9.00</w:t>
      </w:r>
      <w:r>
        <w:rPr>
          <w:spacing w:val="-2"/>
        </w:rPr>
        <w:t>元</w:t>
      </w:r>
      <w:r>
        <w:rPr>
          <w:rFonts w:ascii="Times New Roman" w:hAnsi="Times New Roman" w:cs="Times New Roman" w:eastAsia="Times New Roman" w:hint="default"/>
          <w:spacing w:val="-2"/>
        </w:rPr>
        <w:t>/</w:t>
      </w:r>
      <w:r>
        <w:rPr>
          <w:spacing w:val="-2"/>
        </w:rPr>
        <w:t>股。回购的资金总额预计为不低</w:t>
      </w:r>
      <w:r>
        <w:rPr>
          <w:spacing w:val="-65"/>
        </w:rPr>
        <w:t> </w:t>
      </w:r>
      <w:r>
        <w:rPr>
          <w:spacing w:val="-65"/>
        </w:rPr>
      </w:r>
      <w:r>
        <w:rPr/>
        <w:t>于人民币</w:t>
      </w:r>
      <w:r>
        <w:rPr>
          <w:rFonts w:ascii="Times New Roman" w:hAnsi="Times New Roman" w:cs="Times New Roman" w:eastAsia="Times New Roman" w:hint="default"/>
        </w:rPr>
        <w:t>1.5</w:t>
      </w:r>
      <w:r>
        <w:rPr/>
        <w:t>亿元，不超过人民币</w:t>
      </w:r>
      <w:r>
        <w:rPr>
          <w:rFonts w:ascii="Times New Roman" w:hAnsi="Times New Roman" w:cs="Times New Roman" w:eastAsia="Times New Roman" w:hint="default"/>
        </w:rPr>
        <w:t>3</w:t>
      </w:r>
      <w:r>
        <w:rPr/>
        <w:t>亿元。回购股份</w:t>
      </w:r>
      <w:r>
        <w:rPr>
          <w:spacing w:val="-37"/>
        </w:rPr>
        <w:t> </w:t>
      </w:r>
      <w:r>
        <w:rPr/>
        <w:t>期限为自股东大会审议通过回购股份方案之日起不超过</w:t>
      </w:r>
      <w:r>
        <w:rPr>
          <w:rFonts w:ascii="Times New Roman" w:hAnsi="Times New Roman" w:cs="Times New Roman" w:eastAsia="Times New Roman" w:hint="default"/>
        </w:rPr>
        <w:t>6</w:t>
      </w:r>
      <w:r>
        <w:rPr/>
        <w:t>个月（即本次回 购股份的实 施期限为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7</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6</w:t>
      </w:r>
      <w:r>
        <w:rPr/>
        <w:t>日）。截止</w:t>
      </w:r>
      <w:r>
        <w:rPr>
          <w:rFonts w:ascii="Times New Roman" w:hAnsi="Times New Roman" w:cs="Times New Roman" w:eastAsia="Times New Roman" w:hint="default"/>
        </w:rPr>
        <w:t>2018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5</w:t>
      </w:r>
      <w:r>
        <w:rPr>
          <w:rFonts w:ascii="Times New Roman" w:hAnsi="Times New Roman" w:cs="Times New Roman" w:eastAsia="Times New Roman" w:hint="default"/>
          <w:spacing w:val="-11"/>
        </w:rPr>
        <w:t> </w:t>
      </w:r>
      <w:r>
        <w:rPr/>
        <w:t>日，公司累计通过股票回购专用证券账户以集 中竞价交易方式回购股份数量 </w:t>
      </w:r>
      <w:r>
        <w:rPr>
          <w:rFonts w:ascii="Times New Roman" w:hAnsi="Times New Roman" w:cs="Times New Roman" w:eastAsia="Times New Roman" w:hint="default"/>
        </w:rPr>
        <w:t>22,782,295 </w:t>
      </w:r>
      <w:r>
        <w:rPr/>
        <w:t>股，占公司总股本的</w:t>
      </w:r>
      <w:r>
        <w:rPr>
          <w:rFonts w:ascii="Times New Roman" w:hAnsi="Times New Roman" w:cs="Times New Roman" w:eastAsia="Times New Roman" w:hint="default"/>
        </w:rPr>
        <w:t>3.29%</w:t>
      </w:r>
      <w:r>
        <w:rPr/>
        <w:t>，最高成交价为</w:t>
      </w:r>
      <w:r>
        <w:rPr>
          <w:spacing w:val="-60"/>
        </w:rPr>
        <w:t> </w:t>
      </w:r>
      <w:r>
        <w:rPr>
          <w:rFonts w:ascii="Times New Roman" w:hAnsi="Times New Roman" w:cs="Times New Roman" w:eastAsia="Times New Roman" w:hint="default"/>
        </w:rPr>
        <w:t>7.00</w:t>
      </w:r>
      <w:r>
        <w:rPr/>
        <w:t>元</w:t>
      </w:r>
      <w:r>
        <w:rPr>
          <w:rFonts w:ascii="Times New Roman" w:hAnsi="Times New Roman" w:cs="Times New Roman" w:eastAsia="Times New Roman" w:hint="default"/>
        </w:rPr>
        <w:t>/</w:t>
      </w:r>
      <w:r>
        <w:rPr/>
        <w:t>股，最低成交价为</w:t>
      </w:r>
      <w:r>
        <w:rPr>
          <w:rFonts w:ascii="Times New Roman" w:hAnsi="Times New Roman" w:cs="Times New Roman" w:eastAsia="Times New Roman" w:hint="default"/>
        </w:rPr>
        <w:t>6.19</w:t>
      </w:r>
      <w:r>
        <w:rPr/>
        <w:t>元</w:t>
      </w:r>
      <w:r>
        <w:rPr>
          <w:rFonts w:ascii="Times New Roman" w:hAnsi="Times New Roman" w:cs="Times New Roman" w:eastAsia="Times New Roman" w:hint="default"/>
        </w:rPr>
        <w:t>/</w:t>
      </w:r>
      <w:r>
        <w:rPr/>
        <w:t>股， 回购总金额为</w:t>
      </w:r>
      <w:r>
        <w:rPr>
          <w:rFonts w:ascii="Times New Roman" w:hAnsi="Times New Roman" w:cs="Times New Roman" w:eastAsia="Times New Roman" w:hint="default"/>
        </w:rPr>
        <w:t>150,033,637.57</w:t>
      </w:r>
      <w:r>
        <w:rPr/>
        <w:t>元（不含交易费用），本次回购股份事项已实施完毕。</w:t>
      </w:r>
    </w:p>
    <w:p>
      <w:pPr>
        <w:pStyle w:val="BodyText"/>
        <w:spacing w:line="240" w:lineRule="auto" w:before="52"/>
        <w:ind w:right="0"/>
        <w:jc w:val="left"/>
      </w:pPr>
      <w:r>
        <w:rPr/>
        <w:t>采用集中竞价方式减持回购股份的实施进展情况</w:t>
      </w:r>
    </w:p>
    <w:p>
      <w:pPr>
        <w:pStyle w:val="BodyText"/>
        <w:spacing w:line="319" w:lineRule="auto" w:before="116"/>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rPr>
        <w:t>1</w:t>
      </w:r>
      <w:r>
        <w:rPr/>
        <w:t>、根据《深圳证券交易所上市公司以集中竞价方式回购股份业务指引》、《关于上市公司以集中竞价交易方式回购股份的 </w:t>
      </w:r>
      <w:r>
        <w:rPr>
          <w:spacing w:val="-2"/>
        </w:rPr>
        <w:t>补充规定》等相关规定，公司分别于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5</w:t>
      </w:r>
      <w:r>
        <w:rPr>
          <w:spacing w:val="-2"/>
        </w:rPr>
        <w:t>日召开的第七届董事会第十三次会议、</w:t>
      </w:r>
      <w:r>
        <w:rPr>
          <w:rFonts w:ascii="Times New Roman" w:hAnsi="Times New Roman" w:cs="Times New Roman" w:eastAsia="Times New Roman" w:hint="default"/>
          <w:spacing w:val="-2"/>
        </w:rPr>
        <w:t>2018</w:t>
      </w:r>
      <w:r>
        <w:rPr>
          <w:rFonts w:ascii="Times New Roman" w:hAnsi="Times New Roman" w:cs="Times New Roman" w:eastAsia="Times New Roman" w:hint="default"/>
        </w:rPr>
        <w:t> </w:t>
      </w:r>
      <w:r>
        <w:rPr>
          <w:rFonts w:ascii="Times New Roman" w:hAnsi="Times New Roman" w:cs="Times New Roman" w:eastAsia="Times New Roman" w:hint="default"/>
          <w:spacing w:val="22"/>
        </w:rPr>
        <w:t> </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23</w:t>
      </w:r>
      <w:r>
        <w:rPr>
          <w:spacing w:val="-1"/>
        </w:rPr>
        <w:t>日召开的</w:t>
      </w:r>
      <w:r>
        <w:rPr>
          <w:rFonts w:ascii="Times New Roman" w:hAnsi="Times New Roman" w:cs="Times New Roman" w:eastAsia="Times New Roman" w:hint="default"/>
          <w:spacing w:val="-1"/>
        </w:rPr>
        <w:t>2018</w:t>
      </w:r>
      <w:r>
        <w:rPr>
          <w:spacing w:val="-1"/>
        </w:rPr>
        <w:t>年第一次</w:t>
      </w:r>
    </w:p>
    <w:p>
      <w:pPr>
        <w:pStyle w:val="BodyText"/>
        <w:spacing w:line="302" w:lineRule="auto" w:before="0"/>
        <w:ind w:right="1035"/>
        <w:jc w:val="left"/>
      </w:pPr>
      <w:r>
        <w:rPr>
          <w:spacing w:val="-2"/>
        </w:rPr>
        <w:t>临时股东大会审议通过了《关于以集中竞价交易方式回购公司股份的议案》等议案，同意公司使用自有资金以集中竞价交易</w:t>
      </w:r>
      <w:r>
        <w:rPr>
          <w:spacing w:val="-66"/>
        </w:rPr>
        <w:t> </w:t>
      </w:r>
      <w:r>
        <w:rPr>
          <w:spacing w:val="-66"/>
        </w:rPr>
      </w:r>
      <w:r>
        <w:rPr/>
        <w:t>的方式回购公司股份，直接用作注销并减少注册资本，回购资金总额不低于人民币</w:t>
      </w:r>
      <w:r>
        <w:rPr>
          <w:rFonts w:ascii="Times New Roman" w:hAnsi="Times New Roman" w:cs="Times New Roman" w:eastAsia="Times New Roman" w:hint="default"/>
        </w:rPr>
        <w:t>9000</w:t>
      </w:r>
      <w:r>
        <w:rPr/>
        <w:t>万元、不超过人民币</w:t>
      </w:r>
      <w:r>
        <w:rPr>
          <w:rFonts w:ascii="Times New Roman" w:hAnsi="Times New Roman" w:cs="Times New Roman" w:eastAsia="Times New Roman" w:hint="default"/>
        </w:rPr>
        <w:t>1</w:t>
      </w:r>
      <w:r>
        <w:rPr/>
        <w:t>亿元，回购价 格不超过人民币</w:t>
      </w:r>
      <w:r>
        <w:rPr>
          <w:rFonts w:ascii="Times New Roman" w:hAnsi="Times New Roman" w:cs="Times New Roman" w:eastAsia="Times New Roman" w:hint="default"/>
        </w:rPr>
        <w:t>10</w:t>
      </w:r>
      <w:r>
        <w:rPr/>
        <w:t>元</w:t>
      </w:r>
      <w:r>
        <w:rPr>
          <w:rFonts w:ascii="Times New Roman" w:hAnsi="Times New Roman" w:cs="Times New Roman" w:eastAsia="Times New Roman" w:hint="default"/>
        </w:rPr>
        <w:t>/</w:t>
      </w:r>
      <w:r>
        <w:rPr/>
        <w:t>股，回购股份的实施期限为自股东大会审议通过回购股份方案之日起不超过六个月（即本次回购</w:t>
      </w:r>
      <w:r>
        <w:rPr>
          <w:spacing w:val="-29"/>
        </w:rPr>
        <w:t> </w:t>
      </w:r>
      <w:r>
        <w:rPr/>
        <w:t>股份</w:t>
      </w:r>
      <w:r>
        <w:rPr/>
        <w:t> 的实施期限为：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 </w:t>
      </w:r>
      <w:r>
        <w:rPr>
          <w:rFonts w:ascii="Times New Roman" w:hAnsi="Times New Roman" w:cs="Times New Roman" w:eastAsia="Times New Roman" w:hint="default"/>
        </w:rPr>
        <w:t>24</w:t>
      </w:r>
      <w:r>
        <w:rPr>
          <w:rFonts w:ascii="Times New Roman" w:hAnsi="Times New Roman" w:cs="Times New Roman" w:eastAsia="Times New Roman" w:hint="default"/>
          <w:spacing w:val="9"/>
        </w:rPr>
        <w:t> </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23</w:t>
      </w:r>
      <w:r>
        <w:rPr/>
        <w:t>日。截止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14</w:t>
      </w:r>
      <w:r>
        <w:rPr/>
        <w:t>日，公司股份回购已实施完毕。经中国证券登记结算 有限责任公司深圳分公司审核确认，公司本次回购股份注销事宜已于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9</w:t>
      </w:r>
      <w:r>
        <w:rPr/>
        <w:t>日办理完成，公司总股本由</w:t>
      </w:r>
      <w:r>
        <w:rPr>
          <w:rFonts w:ascii="Times New Roman" w:hAnsi="Times New Roman" w:cs="Times New Roman" w:eastAsia="Times New Roman" w:hint="default"/>
        </w:rPr>
        <w:t>703,960,660</w:t>
      </w:r>
      <w:r>
        <w:rPr/>
        <w:t>股 减少至</w:t>
      </w:r>
      <w:r>
        <w:rPr>
          <w:rFonts w:ascii="Times New Roman" w:hAnsi="Times New Roman" w:cs="Times New Roman" w:eastAsia="Times New Roman" w:hint="default"/>
        </w:rPr>
        <w:t>691,505,915</w:t>
      </w:r>
      <w:r>
        <w:rPr/>
        <w:t>股。 </w:t>
      </w:r>
      <w:r>
        <w:rPr>
          <w:rFonts w:ascii="Times New Roman" w:hAnsi="Times New Roman" w:cs="Times New Roman" w:eastAsia="Times New Roman" w:hint="default"/>
          <w:spacing w:val="-3"/>
        </w:rPr>
        <w:t>2</w:t>
      </w:r>
      <w:r>
        <w:rPr>
          <w:spacing w:val="-3"/>
        </w:rPr>
        <w:t>、公司于</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6</w:t>
      </w:r>
      <w:r>
        <w:rPr>
          <w:spacing w:val="-3"/>
        </w:rPr>
        <w:t>日召开</w:t>
      </w:r>
      <w:r>
        <w:rPr>
          <w:rFonts w:ascii="Times New Roman" w:hAnsi="Times New Roman" w:cs="Times New Roman" w:eastAsia="Times New Roman" w:hint="default"/>
          <w:spacing w:val="-3"/>
        </w:rPr>
        <w:t>2018</w:t>
      </w:r>
      <w:r>
        <w:rPr>
          <w:spacing w:val="-3"/>
        </w:rPr>
        <w:t>年第四次临时股东大会，审议通过了《关于以集中竞价方式回购股份的议案》等相关议案，</w:t>
      </w:r>
      <w:r>
        <w:rPr>
          <w:spacing w:val="-83"/>
        </w:rPr>
        <w:t> </w:t>
      </w:r>
      <w:r>
        <w:rPr>
          <w:spacing w:val="-83"/>
        </w:rPr>
      </w:r>
      <w:r>
        <w:rPr>
          <w:spacing w:val="-2"/>
        </w:rPr>
        <w:t>同意公司以集中竞价交易的方式使用自有资金回购公司股份，回购价格为不超过</w:t>
      </w:r>
      <w:r>
        <w:rPr>
          <w:rFonts w:ascii="Times New Roman" w:hAnsi="Times New Roman" w:cs="Times New Roman" w:eastAsia="Times New Roman" w:hint="default"/>
          <w:spacing w:val="-2"/>
        </w:rPr>
        <w:t>9.00</w:t>
      </w:r>
      <w:r>
        <w:rPr>
          <w:spacing w:val="-2"/>
        </w:rPr>
        <w:t>元</w:t>
      </w:r>
      <w:r>
        <w:rPr>
          <w:rFonts w:ascii="Times New Roman" w:hAnsi="Times New Roman" w:cs="Times New Roman" w:eastAsia="Times New Roman" w:hint="default"/>
          <w:spacing w:val="-2"/>
        </w:rPr>
        <w:t>/</w:t>
      </w:r>
      <w:r>
        <w:rPr>
          <w:spacing w:val="-2"/>
        </w:rPr>
        <w:t>股。回购的资金总额预计为不低于人</w:t>
      </w:r>
      <w:r>
        <w:rPr>
          <w:spacing w:val="-68"/>
        </w:rPr>
        <w:t> </w:t>
      </w:r>
      <w:r>
        <w:rPr>
          <w:spacing w:val="-68"/>
        </w:rPr>
      </w:r>
      <w:r>
        <w:rPr/>
        <w:t>民币</w:t>
      </w:r>
      <w:r>
        <w:rPr>
          <w:rFonts w:ascii="Times New Roman" w:hAnsi="Times New Roman" w:cs="Times New Roman" w:eastAsia="Times New Roman" w:hint="default"/>
        </w:rPr>
        <w:t>1.5</w:t>
      </w:r>
      <w:r>
        <w:rPr/>
        <w:t>亿元，不超过人民币</w:t>
      </w:r>
      <w:r>
        <w:rPr>
          <w:rFonts w:ascii="Times New Roman" w:hAnsi="Times New Roman" w:cs="Times New Roman" w:eastAsia="Times New Roman" w:hint="default"/>
        </w:rPr>
        <w:t>3</w:t>
      </w:r>
      <w:r>
        <w:rPr/>
        <w:t>亿元。回购股份期限为自股东大会审议通过回购股份方案之日起不超过</w:t>
      </w:r>
      <w:r>
        <w:rPr>
          <w:rFonts w:ascii="Times New Roman" w:hAnsi="Times New Roman" w:cs="Times New Roman" w:eastAsia="Times New Roman" w:hint="default"/>
        </w:rPr>
        <w:t>6</w:t>
      </w:r>
      <w:r>
        <w:rPr/>
        <w:t>个月（即本次回购股 份的实 施期限为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7</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6</w:t>
      </w:r>
      <w:r>
        <w:rPr/>
        <w:t>日）。截止</w:t>
      </w:r>
      <w:r>
        <w:rPr>
          <w:rFonts w:ascii="Times New Roman" w:hAnsi="Times New Roman" w:cs="Times New Roman" w:eastAsia="Times New Roman" w:hint="default"/>
        </w:rPr>
        <w:t>2018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5</w:t>
      </w:r>
      <w:r>
        <w:rPr>
          <w:rFonts w:ascii="Times New Roman" w:hAnsi="Times New Roman" w:cs="Times New Roman" w:eastAsia="Times New Roman" w:hint="default"/>
          <w:spacing w:val="-10"/>
        </w:rPr>
        <w:t> </w:t>
      </w:r>
      <w:r>
        <w:rPr/>
        <w:t>日，公司累计通过股票回购专用证券账户以集中竞 价交 易方式回购股份数量 </w:t>
      </w:r>
      <w:r>
        <w:rPr>
          <w:rFonts w:ascii="Times New Roman" w:hAnsi="Times New Roman" w:cs="Times New Roman" w:eastAsia="Times New Roman" w:hint="default"/>
        </w:rPr>
        <w:t>22,782,295 </w:t>
      </w:r>
      <w:r>
        <w:rPr/>
        <w:t>股，占公司总股本的</w:t>
      </w:r>
      <w:r>
        <w:rPr>
          <w:rFonts w:ascii="Times New Roman" w:hAnsi="Times New Roman" w:cs="Times New Roman" w:eastAsia="Times New Roman" w:hint="default"/>
        </w:rPr>
        <w:t>3.29%</w:t>
      </w:r>
      <w:r>
        <w:rPr/>
        <w:t>，最高成交价为</w:t>
      </w:r>
      <w:r>
        <w:rPr>
          <w:spacing w:val="-61"/>
        </w:rPr>
        <w:t> </w:t>
      </w:r>
      <w:r>
        <w:rPr>
          <w:rFonts w:ascii="Times New Roman" w:hAnsi="Times New Roman" w:cs="Times New Roman" w:eastAsia="Times New Roman" w:hint="default"/>
        </w:rPr>
        <w:t>7.00</w:t>
      </w:r>
      <w:r>
        <w:rPr/>
        <w:t>元</w:t>
      </w:r>
      <w:r>
        <w:rPr>
          <w:rFonts w:ascii="Times New Roman" w:hAnsi="Times New Roman" w:cs="Times New Roman" w:eastAsia="Times New Roman" w:hint="default"/>
        </w:rPr>
        <w:t>/</w:t>
      </w:r>
      <w:r>
        <w:rPr/>
        <w:t>股，最低成交价为</w:t>
      </w:r>
      <w:r>
        <w:rPr>
          <w:rFonts w:ascii="Times New Roman" w:hAnsi="Times New Roman" w:cs="Times New Roman" w:eastAsia="Times New Roman" w:hint="default"/>
        </w:rPr>
        <w:t>6.19</w:t>
      </w:r>
      <w:r>
        <w:rPr/>
        <w:t>元</w:t>
      </w:r>
      <w:r>
        <w:rPr>
          <w:rFonts w:ascii="Times New Roman" w:hAnsi="Times New Roman" w:cs="Times New Roman" w:eastAsia="Times New Roman" w:hint="default"/>
        </w:rPr>
        <w:t>/</w:t>
      </w:r>
      <w:r>
        <w:rPr/>
        <w:t>股，回购 总金额为</w:t>
      </w:r>
      <w:r>
        <w:rPr>
          <w:rFonts w:ascii="Times New Roman" w:hAnsi="Times New Roman" w:cs="Times New Roman" w:eastAsia="Times New Roman" w:hint="default"/>
        </w:rPr>
        <w:t>150,033,637.57</w:t>
      </w:r>
      <w:r>
        <w:rPr/>
        <w:t>元（不含交易费用），本次回购股份事项已实施完毕。</w:t>
      </w:r>
    </w:p>
    <w:p>
      <w:pPr>
        <w:pStyle w:val="BodyText"/>
        <w:spacing w:line="240" w:lineRule="auto" w:before="52"/>
        <w:ind w:right="0"/>
        <w:jc w:val="left"/>
      </w:pPr>
      <w:r>
        <w:rPr/>
        <w:t>股份变动对最近一年和最近一期基本每股收益和稀释每股收益、归属于公司普通股股东的每股净资产等财务指标的影响</w:t>
      </w:r>
    </w:p>
    <w:p>
      <w:pPr>
        <w:pStyle w:val="BodyText"/>
        <w:spacing w:line="348" w:lineRule="auto" w:before="116"/>
        <w:ind w:right="44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本报告对基本每股收益、稀释每股收益等财务指标已按行权后的股本计算调整。 公司认为必要或证券监管机构要求披露的其他内容</w:t>
      </w:r>
    </w:p>
    <w:p>
      <w:pPr>
        <w:pStyle w:val="BodyText"/>
        <w:spacing w:line="240" w:lineRule="auto" w:before="3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2、限售股份变动情况" w:id="113"/>
      <w:bookmarkEnd w:id="113"/>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7524" w:right="1130"/>
        <w:jc w:val="right"/>
      </w:pPr>
      <w:r>
        <w:rPr/>
        <w:t>单位：股</w:t>
      </w:r>
    </w:p>
    <w:p>
      <w:pPr>
        <w:spacing w:after="0" w:line="240" w:lineRule="auto"/>
        <w:jc w:val="right"/>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group style="position:absolute;margin-left:56.459999pt;margin-top:71.759979pt;width:479.1pt;height:696.75pt;mso-position-horizontal-relative:page;mso-position-vertical-relative:page;z-index:-1195984" coordorigin="1129,1435" coordsize="9582,13935">
            <v:group style="position:absolute;left:1139;top:1450;width:1360;height:156" coordorigin="1139,1450" coordsize="1360,156">
              <v:shape style="position:absolute;left:1139;top:1450;width:1360;height:156" coordorigin="1139,1450" coordsize="1360,156" path="m1139,1606l2499,1606,2499,1450,1139,1450,1139,1606xe" filled="true" fillcolor="#d2d2d2" stroked="false">
                <v:path arrowok="t"/>
                <v:fill type="solid"/>
              </v:shape>
            </v:group>
            <v:group style="position:absolute;left:1150;top:1606;width:2;height:393" coordorigin="1150,1606" coordsize="2,393">
              <v:shape style="position:absolute;left:1150;top:1606;width:2;height:393" coordorigin="1150,1606" coordsize="0,393" path="m1150,1606l1150,1998e" filled="false" stroked="true" strokeweight="1.140pt" strokecolor="#d2d2d2">
                <v:path arrowok="t"/>
              </v:shape>
            </v:group>
            <v:group style="position:absolute;left:2487;top:1606;width:2;height:393" coordorigin="2487,1606" coordsize="2,393">
              <v:shape style="position:absolute;left:2487;top:1606;width:2;height:393" coordorigin="2487,1606" coordsize="0,393" path="m2487,1606l2487,1998e" filled="false" stroked="true" strokeweight="1.2pt" strokecolor="#d2d2d2">
                <v:path arrowok="t"/>
              </v:shape>
            </v:group>
            <v:group style="position:absolute;left:1139;top:1998;width:1360;height:156" coordorigin="1139,1998" coordsize="1360,156">
              <v:shape style="position:absolute;left:1139;top:1998;width:1360;height:156" coordorigin="1139,1998" coordsize="1360,156" path="m1139,2154l2499,2154,2499,1998,1139,1998,1139,2154xe" filled="true" fillcolor="#d2d2d2" stroked="false">
                <v:path arrowok="t"/>
                <v:fill type="solid"/>
              </v:shape>
            </v:group>
            <v:group style="position:absolute;left:1162;top:1606;width:1314;height:393" coordorigin="1162,1606" coordsize="1314,393">
              <v:shape style="position:absolute;left:1162;top:1606;width:1314;height:393" coordorigin="1162,1606" coordsize="1314,393" path="m1162,1998l2475,1998,2475,1606,1162,1606,1162,1998xe" filled="true" fillcolor="#d2d2d2" stroked="false">
                <v:path arrowok="t"/>
                <v:fill type="solid"/>
              </v:shape>
            </v:group>
            <v:group style="position:absolute;left:2508;top:1450;width:1358;height:156" coordorigin="2508,1450" coordsize="1358,156">
              <v:shape style="position:absolute;left:2508;top:1450;width:1358;height:156" coordorigin="2508,1450" coordsize="1358,156" path="m2508,1606l3866,1606,3866,1450,2508,1450,2508,1606xe" filled="true" fillcolor="#d2d2d2" stroked="false">
                <v:path arrowok="t"/>
                <v:fill type="solid"/>
              </v:shape>
            </v:group>
            <v:group style="position:absolute;left:2520;top:1606;width:2;height:393" coordorigin="2520,1606" coordsize="2,393">
              <v:shape style="position:absolute;left:2520;top:1606;width:2;height:393" coordorigin="2520,1606" coordsize="0,393" path="m2520,1606l2520,1998e" filled="false" stroked="true" strokeweight="1.140pt" strokecolor="#d2d2d2">
                <v:path arrowok="t"/>
              </v:shape>
            </v:group>
            <v:group style="position:absolute;left:3854;top:1606;width:2;height:393" coordorigin="3854,1606" coordsize="2,393">
              <v:shape style="position:absolute;left:3854;top:1606;width:2;height:393" coordorigin="3854,1606" coordsize="0,393" path="m3854,1606l3854,1998e" filled="false" stroked="true" strokeweight="1.140pt" strokecolor="#d2d2d2">
                <v:path arrowok="t"/>
              </v:shape>
            </v:group>
            <v:group style="position:absolute;left:2508;top:1998;width:1358;height:156" coordorigin="2508,1998" coordsize="1358,156">
              <v:shape style="position:absolute;left:2508;top:1998;width:1358;height:156" coordorigin="2508,1998" coordsize="1358,156" path="m2508,2154l3866,2154,3866,1998,2508,1998,2508,2154xe" filled="true" fillcolor="#d2d2d2" stroked="false">
                <v:path arrowok="t"/>
                <v:fill type="solid"/>
              </v:shape>
            </v:group>
            <v:group style="position:absolute;left:2531;top:1606;width:1312;height:393" coordorigin="2531,1606" coordsize="1312,393">
              <v:shape style="position:absolute;left:2531;top:1606;width:1312;height:393" coordorigin="2531,1606" coordsize="1312,393" path="m2531,1998l3843,1998,3843,1606,2531,1606,2531,1998xe" filled="true" fillcolor="#d2d2d2" stroked="false">
                <v:path arrowok="t"/>
                <v:fill type="solid"/>
              </v:shape>
            </v:group>
            <v:group style="position:absolute;left:3887;top:1450;width:2;height:705" coordorigin="3887,1450" coordsize="2,705">
              <v:shape style="position:absolute;left:3887;top:1450;width:2;height:705" coordorigin="3887,1450" coordsize="0,705" path="m3887,1450l3887,2154e" filled="false" stroked="true" strokeweight="1.140pt" strokecolor="#d2d2d2">
                <v:path arrowok="t"/>
              </v:shape>
            </v:group>
            <v:group style="position:absolute;left:5221;top:1450;width:2;height:705" coordorigin="5221,1450" coordsize="2,705">
              <v:shape style="position:absolute;left:5221;top:1450;width:2;height:705" coordorigin="5221,1450" coordsize="0,705" path="m5221,1450l5221,2154e" filled="false" stroked="true" strokeweight="1.140pt" strokecolor="#d2d2d2">
                <v:path arrowok="t"/>
              </v:shape>
            </v:group>
            <v:group style="position:absolute;left:3898;top:1450;width:1312;height:353" coordorigin="3898,1450" coordsize="1312,353">
              <v:shape style="position:absolute;left:3898;top:1450;width:1312;height:353" coordorigin="3898,1450" coordsize="1312,353" path="m3898,1802l5210,1802,5210,1450,3898,1450,3898,1802xe" filled="true" fillcolor="#d2d2d2" stroked="false">
                <v:path arrowok="t"/>
                <v:fill type="solid"/>
              </v:shape>
            </v:group>
            <v:group style="position:absolute;left:3898;top:1802;width:1312;height:352" coordorigin="3898,1802" coordsize="1312,352">
              <v:shape style="position:absolute;left:3898;top:1802;width:1312;height:352" coordorigin="3898,1802" coordsize="1312,352" path="m3898,2154l5210,2154,5210,1802,3898,1802,3898,2154xe" filled="true" fillcolor="#d2d2d2" stroked="false">
                <v:path arrowok="t"/>
                <v:fill type="solid"/>
              </v:shape>
            </v:group>
            <v:group style="position:absolute;left:5254;top:1450;width:2;height:705" coordorigin="5254,1450" coordsize="2,705">
              <v:shape style="position:absolute;left:5254;top:1450;width:2;height:705" coordorigin="5254,1450" coordsize="0,705" path="m5254,1450l5254,2154e" filled="false" stroked="true" strokeweight="1.140pt" strokecolor="#d2d2d2">
                <v:path arrowok="t"/>
              </v:shape>
            </v:group>
            <v:group style="position:absolute;left:6588;top:1450;width:2;height:705" coordorigin="6588,1450" coordsize="2,705">
              <v:shape style="position:absolute;left:6588;top:1450;width:2;height:705" coordorigin="6588,1450" coordsize="0,705" path="m6588,1450l6588,2154e" filled="false" stroked="true" strokeweight="1.140pt" strokecolor="#d2d2d2">
                <v:path arrowok="t"/>
              </v:shape>
            </v:group>
            <v:group style="position:absolute;left:5265;top:1450;width:1312;height:353" coordorigin="5265,1450" coordsize="1312,353">
              <v:shape style="position:absolute;left:5265;top:1450;width:1312;height:353" coordorigin="5265,1450" coordsize="1312,353" path="m5265,1802l6577,1802,6577,1450,5265,1450,5265,1802xe" filled="true" fillcolor="#d2d2d2" stroked="false">
                <v:path arrowok="t"/>
                <v:fill type="solid"/>
              </v:shape>
            </v:group>
            <v:group style="position:absolute;left:5265;top:1802;width:1312;height:352" coordorigin="5265,1802" coordsize="1312,352">
              <v:shape style="position:absolute;left:5265;top:1802;width:1312;height:352" coordorigin="5265,1802" coordsize="1312,352" path="m5265,2154l6577,2154,6577,1802,5265,1802,5265,2154xe" filled="true" fillcolor="#d2d2d2" stroked="false">
                <v:path arrowok="t"/>
                <v:fill type="solid"/>
              </v:shape>
            </v:group>
            <v:group style="position:absolute;left:6609;top:1450;width:1358;height:156" coordorigin="6609,1450" coordsize="1358,156">
              <v:shape style="position:absolute;left:6609;top:1450;width:1358;height:156" coordorigin="6609,1450" coordsize="1358,156" path="m6609,1606l7966,1606,7966,1450,6609,1450,6609,1606xe" filled="true" fillcolor="#d2d2d2" stroked="false">
                <v:path arrowok="t"/>
                <v:fill type="solid"/>
              </v:shape>
            </v:group>
            <v:group style="position:absolute;left:6621;top:1606;width:2;height:393" coordorigin="6621,1606" coordsize="2,393">
              <v:shape style="position:absolute;left:6621;top:1606;width:2;height:393" coordorigin="6621,1606" coordsize="0,393" path="m6621,1606l6621,1998e" filled="false" stroked="true" strokeweight="1.2pt" strokecolor="#d2d2d2">
                <v:path arrowok="t"/>
              </v:shape>
            </v:group>
            <v:group style="position:absolute;left:7955;top:1606;width:2;height:393" coordorigin="7955,1606" coordsize="2,393">
              <v:shape style="position:absolute;left:7955;top:1606;width:2;height:393" coordorigin="7955,1606" coordsize="0,393" path="m7955,1606l7955,1998e" filled="false" stroked="true" strokeweight="1.140pt" strokecolor="#d2d2d2">
                <v:path arrowok="t"/>
              </v:shape>
            </v:group>
            <v:group style="position:absolute;left:6609;top:1998;width:1358;height:156" coordorigin="6609,1998" coordsize="1358,156">
              <v:shape style="position:absolute;left:6609;top:1998;width:1358;height:156" coordorigin="6609,1998" coordsize="1358,156" path="m6609,2154l7966,2154,7966,1998,6609,1998,6609,2154xe" filled="true" fillcolor="#d2d2d2" stroked="false">
                <v:path arrowok="t"/>
                <v:fill type="solid"/>
              </v:shape>
            </v:group>
            <v:group style="position:absolute;left:6633;top:1606;width:1311;height:393" coordorigin="6633,1606" coordsize="1311,393">
              <v:shape style="position:absolute;left:6633;top:1606;width:1311;height:393" coordorigin="6633,1606" coordsize="1311,393" path="m6633,1998l7944,1998,7944,1606,6633,1606,6633,1998xe" filled="true" fillcolor="#d2d2d2" stroked="false">
                <v:path arrowok="t"/>
                <v:fill type="solid"/>
              </v:shape>
            </v:group>
            <v:group style="position:absolute;left:7977;top:1450;width:1358;height:156" coordorigin="7977,1450" coordsize="1358,156">
              <v:shape style="position:absolute;left:7977;top:1450;width:1358;height:156" coordorigin="7977,1450" coordsize="1358,156" path="m7977,1606l9335,1606,9335,1450,7977,1450,7977,1606xe" filled="true" fillcolor="#d2d2d2" stroked="false">
                <v:path arrowok="t"/>
                <v:fill type="solid"/>
              </v:shape>
            </v:group>
            <v:group style="position:absolute;left:7989;top:1606;width:2;height:393" coordorigin="7989,1606" coordsize="2,393">
              <v:shape style="position:absolute;left:7989;top:1606;width:2;height:393" coordorigin="7989,1606" coordsize="0,393" path="m7989,1606l7989,1998e" filled="false" stroked="true" strokeweight="1.140pt" strokecolor="#d2d2d2">
                <v:path arrowok="t"/>
              </v:shape>
            </v:group>
            <v:group style="position:absolute;left:9323;top:1606;width:2;height:393" coordorigin="9323,1606" coordsize="2,393">
              <v:shape style="position:absolute;left:9323;top:1606;width:2;height:393" coordorigin="9323,1606" coordsize="0,393" path="m9323,1606l9323,1998e" filled="false" stroked="true" strokeweight="1.2pt" strokecolor="#d2d2d2">
                <v:path arrowok="t"/>
              </v:shape>
            </v:group>
            <v:group style="position:absolute;left:7977;top:1998;width:1358;height:156" coordorigin="7977,1998" coordsize="1358,156">
              <v:shape style="position:absolute;left:7977;top:1998;width:1358;height:156" coordorigin="7977,1998" coordsize="1358,156" path="m7977,2154l9335,2154,9335,1998,7977,1998,7977,2154xe" filled="true" fillcolor="#d2d2d2" stroked="false">
                <v:path arrowok="t"/>
                <v:fill type="solid"/>
              </v:shape>
            </v:group>
            <v:group style="position:absolute;left:8000;top:1606;width:1311;height:393" coordorigin="8000,1606" coordsize="1311,393">
              <v:shape style="position:absolute;left:8000;top:1606;width:1311;height:393" coordorigin="8000,1606" coordsize="1311,393" path="m8000,1998l9311,1998,9311,1606,8000,1606,8000,1998xe" filled="true" fillcolor="#d2d2d2" stroked="false">
                <v:path arrowok="t"/>
                <v:fill type="solid"/>
              </v:shape>
            </v:group>
            <v:group style="position:absolute;left:9344;top:1450;width:1358;height:156" coordorigin="9344,1450" coordsize="1358,156">
              <v:shape style="position:absolute;left:9344;top:1450;width:1358;height:156" coordorigin="9344,1450" coordsize="1358,156" path="m9344,1606l10702,1606,10702,1450,9344,1450,9344,1606xe" filled="true" fillcolor="#d2d2d2" stroked="false">
                <v:path arrowok="t"/>
                <v:fill type="solid"/>
              </v:shape>
            </v:group>
            <v:group style="position:absolute;left:9356;top:1606;width:2;height:393" coordorigin="9356,1606" coordsize="2,393">
              <v:shape style="position:absolute;left:9356;top:1606;width:2;height:393" coordorigin="9356,1606" coordsize="0,393" path="m9356,1606l9356,1998e" filled="false" stroked="true" strokeweight="1.140pt" strokecolor="#d2d2d2">
                <v:path arrowok="t"/>
              </v:shape>
            </v:group>
            <v:group style="position:absolute;left:10690;top:1606;width:2;height:393" coordorigin="10690,1606" coordsize="2,393">
              <v:shape style="position:absolute;left:10690;top:1606;width:2;height:393" coordorigin="10690,1606" coordsize="0,393" path="m10690,1606l10690,1998e" filled="false" stroked="true" strokeweight="1.2pt" strokecolor="#d2d2d2">
                <v:path arrowok="t"/>
              </v:shape>
            </v:group>
            <v:group style="position:absolute;left:9344;top:1998;width:1358;height:156" coordorigin="9344,1998" coordsize="1358,156">
              <v:shape style="position:absolute;left:9344;top:1998;width:1358;height:156" coordorigin="9344,1998" coordsize="1358,156" path="m9344,2154l10702,2154,10702,1998,9344,1998,9344,2154xe" filled="true" fillcolor="#d2d2d2" stroked="false">
                <v:path arrowok="t"/>
                <v:fill type="solid"/>
              </v:shape>
            </v:group>
            <v:group style="position:absolute;left:9367;top:1606;width:1311;height:393" coordorigin="9367,1606" coordsize="1311,393">
              <v:shape style="position:absolute;left:9367;top:1606;width:1311;height:393" coordorigin="9367,1606" coordsize="1311,393" path="m9367,1998l10678,1998,10678,1606,9367,1606,9367,1998xe" filled="true" fillcolor="#d2d2d2" stroked="false">
                <v:path arrowok="t"/>
                <v:fill type="solid"/>
              </v:shape>
            </v:group>
            <v:group style="position:absolute;left:1139;top:1445;width:1360;height:2" coordorigin="1139,1445" coordsize="1360,2">
              <v:shape style="position:absolute;left:1139;top:1445;width:1360;height:2" coordorigin="1139,1445" coordsize="1360,0" path="m1139,1445l2499,1445e" filled="false" stroked="true" strokeweight=".48pt" strokecolor="#000000">
                <v:path arrowok="t"/>
              </v:shape>
            </v:group>
            <v:group style="position:absolute;left:2508;top:1445;width:1358;height:2" coordorigin="2508,1445" coordsize="1358,2">
              <v:shape style="position:absolute;left:2508;top:1445;width:1358;height:2" coordorigin="2508,1445" coordsize="1358,0" path="m2508,1445l3866,1445e" filled="false" stroked="true" strokeweight=".48pt" strokecolor="#000000">
                <v:path arrowok="t"/>
              </v:shape>
            </v:group>
            <v:group style="position:absolute;left:3875;top:1445;width:1358;height:2" coordorigin="3875,1445" coordsize="1358,2">
              <v:shape style="position:absolute;left:3875;top:1445;width:1358;height:2" coordorigin="3875,1445" coordsize="1358,0" path="m3875,1445l5233,1445e" filled="false" stroked="true" strokeweight=".48pt" strokecolor="#000000">
                <v:path arrowok="t"/>
              </v:shape>
            </v:group>
            <v:group style="position:absolute;left:5242;top:1445;width:1358;height:2" coordorigin="5242,1445" coordsize="1358,2">
              <v:shape style="position:absolute;left:5242;top:1445;width:1358;height:2" coordorigin="5242,1445" coordsize="1358,0" path="m5242,1445l6600,1445e" filled="false" stroked="true" strokeweight=".48pt" strokecolor="#000000">
                <v:path arrowok="t"/>
              </v:shape>
            </v:group>
            <v:group style="position:absolute;left:6609;top:1445;width:1359;height:2" coordorigin="6609,1445" coordsize="1359,2">
              <v:shape style="position:absolute;left:6609;top:1445;width:1359;height:2" coordorigin="6609,1445" coordsize="1359,0" path="m6609,1445l7968,1445e" filled="false" stroked="true" strokeweight=".48pt" strokecolor="#000000">
                <v:path arrowok="t"/>
              </v:shape>
            </v:group>
            <v:group style="position:absolute;left:7977;top:1445;width:1358;height:2" coordorigin="7977,1445" coordsize="1358,2">
              <v:shape style="position:absolute;left:7977;top:1445;width:1358;height:2" coordorigin="7977,1445" coordsize="1358,0" path="m7977,1445l9335,1445e" filled="false" stroked="true" strokeweight=".48pt" strokecolor="#000000">
                <v:path arrowok="t"/>
              </v:shape>
            </v:group>
            <v:group style="position:absolute;left:9344;top:1445;width:1358;height:2" coordorigin="9344,1445" coordsize="1358,2">
              <v:shape style="position:absolute;left:9344;top:1445;width:1358;height:2" coordorigin="9344,1445" coordsize="1358,0" path="m9344,1445l10702,1445e" filled="false" stroked="true" strokeweight=".48pt" strokecolor="#000000">
                <v:path arrowok="t"/>
              </v:shape>
            </v:group>
            <v:group style="position:absolute;left:1139;top:2159;width:1360;height:2" coordorigin="1139,2159" coordsize="1360,2">
              <v:shape style="position:absolute;left:1139;top:2159;width:1360;height:2" coordorigin="1139,2159" coordsize="1360,0" path="m1139,2159l2499,2159e" filled="false" stroked="true" strokeweight=".48pt" strokecolor="#000000">
                <v:path arrowok="t"/>
              </v:shape>
            </v:group>
            <v:group style="position:absolute;left:2508;top:2159;width:1358;height:2" coordorigin="2508,2159" coordsize="1358,2">
              <v:shape style="position:absolute;left:2508;top:2159;width:1358;height:2" coordorigin="2508,2159" coordsize="1358,0" path="m2508,2159l3866,2159e" filled="false" stroked="true" strokeweight=".48pt" strokecolor="#000000">
                <v:path arrowok="t"/>
              </v:shape>
            </v:group>
            <v:group style="position:absolute;left:3875;top:2159;width:1358;height:2" coordorigin="3875,2159" coordsize="1358,2">
              <v:shape style="position:absolute;left:3875;top:2159;width:1358;height:2" coordorigin="3875,2159" coordsize="1358,0" path="m3875,2159l5233,2159e" filled="false" stroked="true" strokeweight=".48pt" strokecolor="#000000">
                <v:path arrowok="t"/>
              </v:shape>
            </v:group>
            <v:group style="position:absolute;left:5242;top:2159;width:1358;height:2" coordorigin="5242,2159" coordsize="1358,2">
              <v:shape style="position:absolute;left:5242;top:2159;width:1358;height:2" coordorigin="5242,2159" coordsize="1358,0" path="m5242,2159l6600,2159e" filled="false" stroked="true" strokeweight=".48pt" strokecolor="#000000">
                <v:path arrowok="t"/>
              </v:shape>
            </v:group>
            <v:group style="position:absolute;left:6609;top:2159;width:1359;height:2" coordorigin="6609,2159" coordsize="1359,2">
              <v:shape style="position:absolute;left:6609;top:2159;width:1359;height:2" coordorigin="6609,2159" coordsize="1359,0" path="m6609,2159l7968,2159e" filled="false" stroked="true" strokeweight=".48pt" strokecolor="#000000">
                <v:path arrowok="t"/>
              </v:shape>
            </v:group>
            <v:group style="position:absolute;left:7977;top:2159;width:1358;height:2" coordorigin="7977,2159" coordsize="1358,2">
              <v:shape style="position:absolute;left:7977;top:2159;width:1358;height:2" coordorigin="7977,2159" coordsize="1358,0" path="m7977,2159l9335,2159e" filled="false" stroked="true" strokeweight=".48pt" strokecolor="#000000">
                <v:path arrowok="t"/>
              </v:shape>
            </v:group>
            <v:group style="position:absolute;left:9344;top:2159;width:1358;height:2" coordorigin="9344,2159" coordsize="1358,2">
              <v:shape style="position:absolute;left:9344;top:2159;width:1358;height:2" coordorigin="9344,2159" coordsize="1358,0" path="m9344,2159l10702,2159e" filled="false" stroked="true" strokeweight=".48pt" strokecolor="#000000">
                <v:path arrowok="t"/>
              </v:shape>
            </v:group>
            <v:group style="position:absolute;left:1139;top:2873;width:1360;height:2" coordorigin="1139,2873" coordsize="1360,2">
              <v:shape style="position:absolute;left:1139;top:2873;width:1360;height:2" coordorigin="1139,2873" coordsize="1360,0" path="m1139,2873l2499,2873e" filled="false" stroked="true" strokeweight=".48pt" strokecolor="#000000">
                <v:path arrowok="t"/>
              </v:shape>
            </v:group>
            <v:group style="position:absolute;left:2508;top:2873;width:1358;height:2" coordorigin="2508,2873" coordsize="1358,2">
              <v:shape style="position:absolute;left:2508;top:2873;width:1358;height:2" coordorigin="2508,2873" coordsize="1358,0" path="m2508,2873l3866,2873e" filled="false" stroked="true" strokeweight=".48pt" strokecolor="#000000">
                <v:path arrowok="t"/>
              </v:shape>
            </v:group>
            <v:group style="position:absolute;left:3875;top:2873;width:1358;height:2" coordorigin="3875,2873" coordsize="1358,2">
              <v:shape style="position:absolute;left:3875;top:2873;width:1358;height:2" coordorigin="3875,2873" coordsize="1358,0" path="m3875,2873l5233,2873e" filled="false" stroked="true" strokeweight=".48pt" strokecolor="#000000">
                <v:path arrowok="t"/>
              </v:shape>
            </v:group>
            <v:group style="position:absolute;left:5242;top:2873;width:1358;height:2" coordorigin="5242,2873" coordsize="1358,2">
              <v:shape style="position:absolute;left:5242;top:2873;width:1358;height:2" coordorigin="5242,2873" coordsize="1358,0" path="m5242,2873l6600,2873e" filled="false" stroked="true" strokeweight=".48pt" strokecolor="#000000">
                <v:path arrowok="t"/>
              </v:shape>
            </v:group>
            <v:group style="position:absolute;left:6609;top:2873;width:1359;height:2" coordorigin="6609,2873" coordsize="1359,2">
              <v:shape style="position:absolute;left:6609;top:2873;width:1359;height:2" coordorigin="6609,2873" coordsize="1359,0" path="m6609,2873l7968,2873e" filled="false" stroked="true" strokeweight=".48pt" strokecolor="#000000">
                <v:path arrowok="t"/>
              </v:shape>
            </v:group>
            <v:group style="position:absolute;left:7977;top:2873;width:1358;height:2" coordorigin="7977,2873" coordsize="1358,2">
              <v:shape style="position:absolute;left:7977;top:2873;width:1358;height:2" coordorigin="7977,2873" coordsize="1358,0" path="m7977,2873l9335,2873e" filled="false" stroked="true" strokeweight=".48pt" strokecolor="#000000">
                <v:path arrowok="t"/>
              </v:shape>
            </v:group>
            <v:group style="position:absolute;left:9344;top:2873;width:1358;height:2" coordorigin="9344,2873" coordsize="1358,2">
              <v:shape style="position:absolute;left:9344;top:2873;width:1358;height:2" coordorigin="9344,2873" coordsize="1358,0" path="m9344,2873l10702,2873e" filled="false" stroked="true" strokeweight=".48pt" strokecolor="#000000">
                <v:path arrowok="t"/>
              </v:shape>
            </v:group>
            <v:group style="position:absolute;left:1139;top:3587;width:1360;height:2" coordorigin="1139,3587" coordsize="1360,2">
              <v:shape style="position:absolute;left:1139;top:3587;width:1360;height:2" coordorigin="1139,3587" coordsize="1360,0" path="m1139,3587l2499,3587e" filled="false" stroked="true" strokeweight=".48pt" strokecolor="#000000">
                <v:path arrowok="t"/>
              </v:shape>
            </v:group>
            <v:group style="position:absolute;left:2508;top:3587;width:1358;height:2" coordorigin="2508,3587" coordsize="1358,2">
              <v:shape style="position:absolute;left:2508;top:3587;width:1358;height:2" coordorigin="2508,3587" coordsize="1358,0" path="m2508,3587l3866,3587e" filled="false" stroked="true" strokeweight=".48pt" strokecolor="#000000">
                <v:path arrowok="t"/>
              </v:shape>
            </v:group>
            <v:group style="position:absolute;left:3875;top:3587;width:1358;height:2" coordorigin="3875,3587" coordsize="1358,2">
              <v:shape style="position:absolute;left:3875;top:3587;width:1358;height:2" coordorigin="3875,3587" coordsize="1358,0" path="m3875,3587l5233,3587e" filled="false" stroked="true" strokeweight=".48pt" strokecolor="#000000">
                <v:path arrowok="t"/>
              </v:shape>
            </v:group>
            <v:group style="position:absolute;left:5242;top:3587;width:1358;height:2" coordorigin="5242,3587" coordsize="1358,2">
              <v:shape style="position:absolute;left:5242;top:3587;width:1358;height:2" coordorigin="5242,3587" coordsize="1358,0" path="m5242,3587l6600,3587e" filled="false" stroked="true" strokeweight=".48pt" strokecolor="#000000">
                <v:path arrowok="t"/>
              </v:shape>
            </v:group>
            <v:group style="position:absolute;left:6609;top:3587;width:1359;height:2" coordorigin="6609,3587" coordsize="1359,2">
              <v:shape style="position:absolute;left:6609;top:3587;width:1359;height:2" coordorigin="6609,3587" coordsize="1359,0" path="m6609,3587l7968,3587e" filled="false" stroked="true" strokeweight=".48pt" strokecolor="#000000">
                <v:path arrowok="t"/>
              </v:shape>
            </v:group>
            <v:group style="position:absolute;left:7977;top:3587;width:1358;height:2" coordorigin="7977,3587" coordsize="1358,2">
              <v:shape style="position:absolute;left:7977;top:3587;width:1358;height:2" coordorigin="7977,3587" coordsize="1358,0" path="m7977,3587l9335,3587e" filled="false" stroked="true" strokeweight=".48pt" strokecolor="#000000">
                <v:path arrowok="t"/>
              </v:shape>
            </v:group>
            <v:group style="position:absolute;left:9344;top:3587;width:1358;height:2" coordorigin="9344,3587" coordsize="1358,2">
              <v:shape style="position:absolute;left:9344;top:3587;width:1358;height:2" coordorigin="9344,3587" coordsize="1358,0" path="m9344,3587l10702,3587e" filled="false" stroked="true" strokeweight=".48pt" strokecolor="#000000">
                <v:path arrowok="t"/>
              </v:shape>
            </v:group>
            <v:group style="position:absolute;left:1139;top:5861;width:1360;height:2" coordorigin="1139,5861" coordsize="1360,2">
              <v:shape style="position:absolute;left:1139;top:5861;width:1360;height:2" coordorigin="1139,5861" coordsize="1360,0" path="m1139,5861l2499,5861e" filled="false" stroked="true" strokeweight=".47998pt" strokecolor="#000000">
                <v:path arrowok="t"/>
              </v:shape>
            </v:group>
            <v:group style="position:absolute;left:2508;top:5861;width:1358;height:2" coordorigin="2508,5861" coordsize="1358,2">
              <v:shape style="position:absolute;left:2508;top:5861;width:1358;height:2" coordorigin="2508,5861" coordsize="1358,0" path="m2508,5861l3866,5861e" filled="false" stroked="true" strokeweight=".47998pt" strokecolor="#000000">
                <v:path arrowok="t"/>
              </v:shape>
            </v:group>
            <v:group style="position:absolute;left:3875;top:5861;width:1358;height:2" coordorigin="3875,5861" coordsize="1358,2">
              <v:shape style="position:absolute;left:3875;top:5861;width:1358;height:2" coordorigin="3875,5861" coordsize="1358,0" path="m3875,5861l5233,5861e" filled="false" stroked="true" strokeweight=".47998pt" strokecolor="#000000">
                <v:path arrowok="t"/>
              </v:shape>
            </v:group>
            <v:group style="position:absolute;left:5242;top:5861;width:1358;height:2" coordorigin="5242,5861" coordsize="1358,2">
              <v:shape style="position:absolute;left:5242;top:5861;width:1358;height:2" coordorigin="5242,5861" coordsize="1358,0" path="m5242,5861l6600,5861e" filled="false" stroked="true" strokeweight=".47998pt" strokecolor="#000000">
                <v:path arrowok="t"/>
              </v:shape>
            </v:group>
            <v:group style="position:absolute;left:6609;top:5861;width:1359;height:2" coordorigin="6609,5861" coordsize="1359,2">
              <v:shape style="position:absolute;left:6609;top:5861;width:1359;height:2" coordorigin="6609,5861" coordsize="1359,0" path="m6609,5861l7968,5861e" filled="false" stroked="true" strokeweight=".47998pt" strokecolor="#000000">
                <v:path arrowok="t"/>
              </v:shape>
            </v:group>
            <v:group style="position:absolute;left:7977;top:5861;width:1358;height:2" coordorigin="7977,5861" coordsize="1358,2">
              <v:shape style="position:absolute;left:7977;top:5861;width:1358;height:2" coordorigin="7977,5861" coordsize="1358,0" path="m7977,5861l9335,5861e" filled="false" stroked="true" strokeweight=".47998pt" strokecolor="#000000">
                <v:path arrowok="t"/>
              </v:shape>
            </v:group>
            <v:group style="position:absolute;left:9344;top:5861;width:1358;height:2" coordorigin="9344,5861" coordsize="1358,2">
              <v:shape style="position:absolute;left:9344;top:5861;width:1358;height:2" coordorigin="9344,5861" coordsize="1358,0" path="m9344,5861l10702,5861e" filled="false" stroked="true" strokeweight=".47998pt" strokecolor="#000000">
                <v:path arrowok="t"/>
              </v:shape>
            </v:group>
            <v:group style="position:absolute;left:1139;top:8135;width:1360;height:2" coordorigin="1139,8135" coordsize="1360,2">
              <v:shape style="position:absolute;left:1139;top:8135;width:1360;height:2" coordorigin="1139,8135" coordsize="1360,0" path="m1139,8135l2499,8135e" filled="false" stroked="true" strokeweight=".48001pt" strokecolor="#000000">
                <v:path arrowok="t"/>
              </v:shape>
            </v:group>
            <v:group style="position:absolute;left:2508;top:8135;width:1358;height:2" coordorigin="2508,8135" coordsize="1358,2">
              <v:shape style="position:absolute;left:2508;top:8135;width:1358;height:2" coordorigin="2508,8135" coordsize="1358,0" path="m2508,8135l3866,8135e" filled="false" stroked="true" strokeweight=".48001pt" strokecolor="#000000">
                <v:path arrowok="t"/>
              </v:shape>
            </v:group>
            <v:group style="position:absolute;left:3875;top:8135;width:1358;height:2" coordorigin="3875,8135" coordsize="1358,2">
              <v:shape style="position:absolute;left:3875;top:8135;width:1358;height:2" coordorigin="3875,8135" coordsize="1358,0" path="m3875,8135l5233,8135e" filled="false" stroked="true" strokeweight=".48001pt" strokecolor="#000000">
                <v:path arrowok="t"/>
              </v:shape>
            </v:group>
            <v:group style="position:absolute;left:5242;top:8135;width:1358;height:2" coordorigin="5242,8135" coordsize="1358,2">
              <v:shape style="position:absolute;left:5242;top:8135;width:1358;height:2" coordorigin="5242,8135" coordsize="1358,0" path="m5242,8135l6600,8135e" filled="false" stroked="true" strokeweight=".48001pt" strokecolor="#000000">
                <v:path arrowok="t"/>
              </v:shape>
            </v:group>
            <v:group style="position:absolute;left:6609;top:8135;width:1359;height:2" coordorigin="6609,8135" coordsize="1359,2">
              <v:shape style="position:absolute;left:6609;top:8135;width:1359;height:2" coordorigin="6609,8135" coordsize="1359,0" path="m6609,8135l7968,8135e" filled="false" stroked="true" strokeweight=".48001pt" strokecolor="#000000">
                <v:path arrowok="t"/>
              </v:shape>
            </v:group>
            <v:group style="position:absolute;left:7977;top:8135;width:1358;height:2" coordorigin="7977,8135" coordsize="1358,2">
              <v:shape style="position:absolute;left:7977;top:8135;width:1358;height:2" coordorigin="7977,8135" coordsize="1358,0" path="m7977,8135l9335,8135e" filled="false" stroked="true" strokeweight=".48001pt" strokecolor="#000000">
                <v:path arrowok="t"/>
              </v:shape>
            </v:group>
            <v:group style="position:absolute;left:9344;top:8135;width:1358;height:2" coordorigin="9344,8135" coordsize="1358,2">
              <v:shape style="position:absolute;left:9344;top:8135;width:1358;height:2" coordorigin="9344,8135" coordsize="1358,0" path="m9344,8135l10702,8135e" filled="false" stroked="true" strokeweight=".48001pt" strokecolor="#000000">
                <v:path arrowok="t"/>
              </v:shape>
            </v:group>
            <v:group style="position:absolute;left:1139;top:10410;width:1360;height:2" coordorigin="1139,10410" coordsize="1360,2">
              <v:shape style="position:absolute;left:1139;top:10410;width:1360;height:2" coordorigin="1139,10410" coordsize="1360,0" path="m1139,10410l2499,10410e" filled="false" stroked="true" strokeweight=".47998pt" strokecolor="#000000">
                <v:path arrowok="t"/>
              </v:shape>
            </v:group>
            <v:group style="position:absolute;left:2508;top:10410;width:1358;height:2" coordorigin="2508,10410" coordsize="1358,2">
              <v:shape style="position:absolute;left:2508;top:10410;width:1358;height:2" coordorigin="2508,10410" coordsize="1358,0" path="m2508,10410l3866,10410e" filled="false" stroked="true" strokeweight=".47998pt" strokecolor="#000000">
                <v:path arrowok="t"/>
              </v:shape>
            </v:group>
            <v:group style="position:absolute;left:3875;top:10410;width:1358;height:2" coordorigin="3875,10410" coordsize="1358,2">
              <v:shape style="position:absolute;left:3875;top:10410;width:1358;height:2" coordorigin="3875,10410" coordsize="1358,0" path="m3875,10410l5233,10410e" filled="false" stroked="true" strokeweight=".47998pt" strokecolor="#000000">
                <v:path arrowok="t"/>
              </v:shape>
            </v:group>
            <v:group style="position:absolute;left:5242;top:10410;width:1358;height:2" coordorigin="5242,10410" coordsize="1358,2">
              <v:shape style="position:absolute;left:5242;top:10410;width:1358;height:2" coordorigin="5242,10410" coordsize="1358,0" path="m5242,10410l6600,10410e" filled="false" stroked="true" strokeweight=".47998pt" strokecolor="#000000">
                <v:path arrowok="t"/>
              </v:shape>
            </v:group>
            <v:group style="position:absolute;left:6609;top:10410;width:1359;height:2" coordorigin="6609,10410" coordsize="1359,2">
              <v:shape style="position:absolute;left:6609;top:10410;width:1359;height:2" coordorigin="6609,10410" coordsize="1359,0" path="m6609,10410l7968,10410e" filled="false" stroked="true" strokeweight=".47998pt" strokecolor="#000000">
                <v:path arrowok="t"/>
              </v:shape>
            </v:group>
            <v:group style="position:absolute;left:7977;top:10410;width:1358;height:2" coordorigin="7977,10410" coordsize="1358,2">
              <v:shape style="position:absolute;left:7977;top:10410;width:1358;height:2" coordorigin="7977,10410" coordsize="1358,0" path="m7977,10410l9335,10410e" filled="false" stroked="true" strokeweight=".47998pt" strokecolor="#000000">
                <v:path arrowok="t"/>
              </v:shape>
            </v:group>
            <v:group style="position:absolute;left:9344;top:10410;width:1358;height:2" coordorigin="9344,10410" coordsize="1358,2">
              <v:shape style="position:absolute;left:9344;top:10410;width:1358;height:2" coordorigin="9344,10410" coordsize="1358,0" path="m9344,10410l10702,10410e" filled="false" stroked="true" strokeweight=".47998pt" strokecolor="#000000">
                <v:path arrowok="t"/>
              </v:shape>
            </v:group>
            <v:group style="position:absolute;left:1139;top:12684;width:1360;height:2" coordorigin="1139,12684" coordsize="1360,2">
              <v:shape style="position:absolute;left:1139;top:12684;width:1360;height:2" coordorigin="1139,12684" coordsize="1360,0" path="m1139,12684l2499,12684e" filled="false" stroked="true" strokeweight=".47998pt" strokecolor="#000000">
                <v:path arrowok="t"/>
              </v:shape>
            </v:group>
            <v:group style="position:absolute;left:2508;top:12684;width:1358;height:2" coordorigin="2508,12684" coordsize="1358,2">
              <v:shape style="position:absolute;left:2508;top:12684;width:1358;height:2" coordorigin="2508,12684" coordsize="1358,0" path="m2508,12684l3866,12684e" filled="false" stroked="true" strokeweight=".47998pt" strokecolor="#000000">
                <v:path arrowok="t"/>
              </v:shape>
            </v:group>
            <v:group style="position:absolute;left:3875;top:12684;width:1358;height:2" coordorigin="3875,12684" coordsize="1358,2">
              <v:shape style="position:absolute;left:3875;top:12684;width:1358;height:2" coordorigin="3875,12684" coordsize="1358,0" path="m3875,12684l5233,12684e" filled="false" stroked="true" strokeweight=".47998pt" strokecolor="#000000">
                <v:path arrowok="t"/>
              </v:shape>
            </v:group>
            <v:group style="position:absolute;left:5242;top:12684;width:1358;height:2" coordorigin="5242,12684" coordsize="1358,2">
              <v:shape style="position:absolute;left:5242;top:12684;width:1358;height:2" coordorigin="5242,12684" coordsize="1358,0" path="m5242,12684l6600,12684e" filled="false" stroked="true" strokeweight=".47998pt" strokecolor="#000000">
                <v:path arrowok="t"/>
              </v:shape>
            </v:group>
            <v:group style="position:absolute;left:6609;top:12684;width:1359;height:2" coordorigin="6609,12684" coordsize="1359,2">
              <v:shape style="position:absolute;left:6609;top:12684;width:1359;height:2" coordorigin="6609,12684" coordsize="1359,0" path="m6609,12684l7968,12684e" filled="false" stroked="true" strokeweight=".47998pt" strokecolor="#000000">
                <v:path arrowok="t"/>
              </v:shape>
            </v:group>
            <v:group style="position:absolute;left:7977;top:12684;width:1358;height:2" coordorigin="7977,12684" coordsize="1358,2">
              <v:shape style="position:absolute;left:7977;top:12684;width:1358;height:2" coordorigin="7977,12684" coordsize="1358,0" path="m7977,12684l9335,12684e" filled="false" stroked="true" strokeweight=".47998pt" strokecolor="#000000">
                <v:path arrowok="t"/>
              </v:shape>
            </v:group>
            <v:group style="position:absolute;left:9344;top:12684;width:1358;height:2" coordorigin="9344,12684" coordsize="1358,2">
              <v:shape style="position:absolute;left:9344;top:12684;width:1358;height:2" coordorigin="9344,12684" coordsize="1358,0" path="m9344,12684l10702,12684e" filled="false" stroked="true" strokeweight=".47998pt" strokecolor="#000000">
                <v:path arrowok="t"/>
              </v:shape>
            </v:group>
            <v:group style="position:absolute;left:1139;top:14958;width:1360;height:2" coordorigin="1139,14958" coordsize="1360,2">
              <v:shape style="position:absolute;left:1139;top:14958;width:1360;height:2" coordorigin="1139,14958" coordsize="1360,0" path="m1139,14958l2499,14958e" filled="false" stroked="true" strokeweight=".47998pt" strokecolor="#000000">
                <v:path arrowok="t"/>
              </v:shape>
            </v:group>
            <v:group style="position:absolute;left:2508;top:14958;width:1358;height:2" coordorigin="2508,14958" coordsize="1358,2">
              <v:shape style="position:absolute;left:2508;top:14958;width:1358;height:2" coordorigin="2508,14958" coordsize="1358,0" path="m2508,14958l3866,14958e" filled="false" stroked="true" strokeweight=".47998pt" strokecolor="#000000">
                <v:path arrowok="t"/>
              </v:shape>
            </v:group>
            <v:group style="position:absolute;left:3875;top:14958;width:1358;height:2" coordorigin="3875,14958" coordsize="1358,2">
              <v:shape style="position:absolute;left:3875;top:14958;width:1358;height:2" coordorigin="3875,14958" coordsize="1358,0" path="m3875,14958l5233,14958e" filled="false" stroked="true" strokeweight=".47998pt" strokecolor="#000000">
                <v:path arrowok="t"/>
              </v:shape>
            </v:group>
            <v:group style="position:absolute;left:5242;top:14958;width:1358;height:2" coordorigin="5242,14958" coordsize="1358,2">
              <v:shape style="position:absolute;left:5242;top:14958;width:1358;height:2" coordorigin="5242,14958" coordsize="1358,0" path="m5242,14958l6600,14958e" filled="false" stroked="true" strokeweight=".47998pt" strokecolor="#000000">
                <v:path arrowok="t"/>
              </v:shape>
            </v:group>
            <v:group style="position:absolute;left:6609;top:14958;width:1359;height:2" coordorigin="6609,14958" coordsize="1359,2">
              <v:shape style="position:absolute;left:6609;top:14958;width:1359;height:2" coordorigin="6609,14958" coordsize="1359,0" path="m6609,14958l7968,14958e" filled="false" stroked="true" strokeweight=".47998pt" strokecolor="#000000">
                <v:path arrowok="t"/>
              </v:shape>
            </v:group>
            <v:group style="position:absolute;left:7977;top:14958;width:1358;height:2" coordorigin="7977,14958" coordsize="1358,2">
              <v:shape style="position:absolute;left:7977;top:14958;width:1358;height:2" coordorigin="7977,14958" coordsize="1358,0" path="m7977,14958l9335,14958e" filled="false" stroked="true" strokeweight=".47998pt" strokecolor="#000000">
                <v:path arrowok="t"/>
              </v:shape>
            </v:group>
            <v:group style="position:absolute;left:9344;top:14958;width:1358;height:2" coordorigin="9344,14958" coordsize="1358,2">
              <v:shape style="position:absolute;left:9344;top:14958;width:1358;height:2" coordorigin="9344,14958" coordsize="1358,0" path="m9344,14958l10702,14958e" filled="false" stroked="true" strokeweight=".47998pt" strokecolor="#000000">
                <v:path arrowok="t"/>
              </v:shape>
            </v:group>
            <v:group style="position:absolute;left:1134;top:1440;width:2;height:13925" coordorigin="1134,1440" coordsize="2,13925">
              <v:shape style="position:absolute;left:1134;top:1440;width:2;height:13925" coordorigin="1134,1440" coordsize="0,13925" path="m1134,1440l1134,15365e" filled="false" stroked="true" strokeweight=".48pt" strokecolor="#000000">
                <v:path arrowok="t"/>
              </v:shape>
            </v:group>
            <v:group style="position:absolute;left:1139;top:15360;width:1360;height:2" coordorigin="1139,15360" coordsize="1360,2">
              <v:shape style="position:absolute;left:1139;top:15360;width:1360;height:2" coordorigin="1139,15360" coordsize="1360,0" path="m1139,15360l2499,15360e" filled="false" stroked="true" strokeweight=".47998pt" strokecolor="#000000">
                <v:path arrowok="t"/>
              </v:shape>
            </v:group>
            <v:group style="position:absolute;left:2508;top:15360;width:1358;height:2" coordorigin="2508,15360" coordsize="1358,2">
              <v:shape style="position:absolute;left:2508;top:15360;width:1358;height:2" coordorigin="2508,15360" coordsize="1358,0" path="m2508,15360l3866,15360e" filled="false" stroked="true" strokeweight=".47998pt" strokecolor="#000000">
                <v:path arrowok="t"/>
              </v:shape>
            </v:group>
            <v:group style="position:absolute;left:3875;top:15360;width:1358;height:2" coordorigin="3875,15360" coordsize="1358,2">
              <v:shape style="position:absolute;left:3875;top:15360;width:1358;height:2" coordorigin="3875,15360" coordsize="1358,0" path="m3875,15360l5233,15360e" filled="false" stroked="true" strokeweight=".47998pt" strokecolor="#000000">
                <v:path arrowok="t"/>
              </v:shape>
            </v:group>
            <v:group style="position:absolute;left:5242;top:15360;width:1358;height:2" coordorigin="5242,15360" coordsize="1358,2">
              <v:shape style="position:absolute;left:5242;top:15360;width:1358;height:2" coordorigin="5242,15360" coordsize="1358,0" path="m5242,15360l6600,15360e" filled="false" stroked="true" strokeweight=".47998pt" strokecolor="#000000">
                <v:path arrowok="t"/>
              </v:shape>
            </v:group>
            <v:group style="position:absolute;left:6609;top:15360;width:1359;height:2" coordorigin="6609,15360" coordsize="1359,2">
              <v:shape style="position:absolute;left:6609;top:15360;width:1359;height:2" coordorigin="6609,15360" coordsize="1359,0" path="m6609,15360l7968,15360e" filled="false" stroked="true" strokeweight=".47998pt" strokecolor="#000000">
                <v:path arrowok="t"/>
              </v:shape>
            </v:group>
            <v:group style="position:absolute;left:7972;top:1440;width:2;height:13925" coordorigin="7972,1440" coordsize="2,13925">
              <v:shape style="position:absolute;left:7972;top:1440;width:2;height:13925" coordorigin="7972,1440" coordsize="0,13925" path="m7972,1440l7972,15365e" filled="false" stroked="true" strokeweight=".47998pt" strokecolor="#000000">
                <v:path arrowok="t"/>
              </v:shape>
            </v:group>
            <v:group style="position:absolute;left:7977;top:15360;width:1358;height:2" coordorigin="7977,15360" coordsize="1358,2">
              <v:shape style="position:absolute;left:7977;top:15360;width:1358;height:2" coordorigin="7977,15360" coordsize="1358,0" path="m7977,15360l9335,15360e" filled="false" stroked="true" strokeweight=".47998pt" strokecolor="#000000">
                <v:path arrowok="t"/>
              </v:shape>
            </v:group>
            <v:group style="position:absolute;left:9344;top:15360;width:1358;height:2" coordorigin="9344,15360" coordsize="1358,2">
              <v:shape style="position:absolute;left:9344;top:15360;width:1358;height:2" coordorigin="9344,15360" coordsize="1358,0" path="m9344,15360l10702,15360e" filled="false" stroked="true" strokeweight=".47998pt" strokecolor="#000000">
                <v:path arrowok="t"/>
              </v:shape>
            </v:group>
            <v:group style="position:absolute;left:10706;top:1440;width:2;height:13925" coordorigin="10706,1440" coordsize="2,13925">
              <v:shape style="position:absolute;left:10706;top:1440;width:2;height:13925" coordorigin="10706,1440" coordsize="0,13925" path="m10706,1440l10706,15365e" filled="false" stroked="true" strokeweight=".47998pt" strokecolor="#000000">
                <v:path arrowok="t"/>
              </v:shape>
            </v:group>
            <w10:wrap type="none"/>
          </v:group>
        </w:pict>
      </w:r>
      <w:r>
        <w:rPr/>
        <w:pict>
          <v:shape style="position:absolute;margin-left:56.700001pt;margin-top:72.239983pt;width:410.55pt;height:695.8pt;mso-position-horizontal-relative:page;mso-position-vertical-relative:page;z-index:1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70"/>
                    <w:gridCol w:w="1367"/>
                    <w:gridCol w:w="1367"/>
                    <w:gridCol w:w="1367"/>
                    <w:gridCol w:w="2735"/>
                  </w:tblGrid>
                  <w:tr>
                    <w:trPr>
                      <w:trHeight w:val="714" w:hRule="exact"/>
                    </w:trPr>
                    <w:tc>
                      <w:tcPr>
                        <w:tcW w:w="1370" w:type="dxa"/>
                        <w:tcBorders>
                          <w:top w:val="nil" w:sz="6" w:space="0" w:color="auto"/>
                          <w:left w:val="nil" w:sz="6" w:space="0" w:color="auto"/>
                          <w:bottom w:val="nil" w:sz="6" w:space="0" w:color="auto"/>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2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6"/>
                          <w:ind w:left="588" w:right="47"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6"/>
                          <w:ind w:left="587" w:right="47"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2735"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tabs>
                            <w:tab w:pos="1686" w:val="left" w:leader="none"/>
                          </w:tabs>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tab/>
                          <w:t>限售原因</w:t>
                        </w:r>
                      </w:p>
                    </w:tc>
                  </w:tr>
                  <w:tr>
                    <w:trPr>
                      <w:trHeight w:val="714" w:hRule="exact"/>
                    </w:trPr>
                    <w:tc>
                      <w:tcPr>
                        <w:tcW w:w="1370" w:type="dxa"/>
                        <w:tcBorders>
                          <w:top w:val="nil" w:sz="6" w:space="0" w:color="auto"/>
                          <w:left w:val="nil" w:sz="6" w:space="0" w:color="auto"/>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瞿洪桂</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95,545,743</w:t>
                        </w: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2735"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95,545,743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高管锁定股</w:t>
                        </w:r>
                      </w:p>
                    </w:tc>
                  </w:tr>
                  <w:tr>
                    <w:trPr>
                      <w:trHeight w:val="714" w:hRule="exact"/>
                    </w:trPr>
                    <w:tc>
                      <w:tcPr>
                        <w:tcW w:w="1370" w:type="dxa"/>
                        <w:tcBorders>
                          <w:top w:val="nil" w:sz="6" w:space="0" w:color="auto"/>
                          <w:left w:val="nil" w:sz="6" w:space="0" w:color="auto"/>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束龙胜</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77,031,544</w:t>
                        </w: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2735"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77,031,544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高管锁定股</w:t>
                        </w:r>
                      </w:p>
                    </w:tc>
                  </w:tr>
                  <w:tr>
                    <w:trPr>
                      <w:trHeight w:val="2274" w:hRule="exact"/>
                    </w:trPr>
                    <w:tc>
                      <w:tcPr>
                        <w:tcW w:w="1370" w:type="dxa"/>
                        <w:tcBorders>
                          <w:top w:val="nil" w:sz="6" w:space="0" w:color="auto"/>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张桂芹</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880,664</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880,664</w:t>
                        </w:r>
                      </w:p>
                    </w:tc>
                    <w:tc>
                      <w:tcPr>
                        <w:tcW w:w="1367" w:type="dxa"/>
                        <w:tcBorders>
                          <w:top w:val="nil" w:sz="6" w:space="0" w:color="auto"/>
                          <w:left w:val="single" w:sz="4" w:space="0" w:color="000000"/>
                          <w:bottom w:val="nil" w:sz="6" w:space="0" w:color="auto"/>
                          <w:right w:val="single" w:sz="4" w:space="0" w:color="000000"/>
                        </w:tcBorders>
                      </w:tcPr>
                      <w:p>
                        <w:pPr/>
                      </w:p>
                    </w:tc>
                    <w:tc>
                      <w:tcPr>
                        <w:tcW w:w="273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7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重组</w:t>
                        </w:r>
                      </w:p>
                    </w:tc>
                  </w:tr>
                  <w:tr>
                    <w:trPr>
                      <w:trHeight w:val="2274" w:hRule="exact"/>
                    </w:trPr>
                    <w:tc>
                      <w:tcPr>
                        <w:tcW w:w="1370" w:type="dxa"/>
                        <w:tcBorders>
                          <w:top w:val="nil" w:sz="6" w:space="0" w:color="auto"/>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周超</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278,164</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278,164</w:t>
                        </w:r>
                      </w:p>
                    </w:tc>
                    <w:tc>
                      <w:tcPr>
                        <w:tcW w:w="1367" w:type="dxa"/>
                        <w:tcBorders>
                          <w:top w:val="nil" w:sz="6" w:space="0" w:color="auto"/>
                          <w:left w:val="single" w:sz="4" w:space="0" w:color="000000"/>
                          <w:bottom w:val="nil" w:sz="6" w:space="0" w:color="auto"/>
                          <w:right w:val="single" w:sz="4" w:space="0" w:color="000000"/>
                        </w:tcBorders>
                      </w:tcPr>
                      <w:p>
                        <w:pPr/>
                      </w:p>
                    </w:tc>
                    <w:tc>
                      <w:tcPr>
                        <w:tcW w:w="273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7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重组</w:t>
                        </w:r>
                      </w:p>
                    </w:tc>
                  </w:tr>
                  <w:tr>
                    <w:trPr>
                      <w:trHeight w:val="2274" w:hRule="exact"/>
                    </w:trPr>
                    <w:tc>
                      <w:tcPr>
                        <w:tcW w:w="1370" w:type="dxa"/>
                        <w:tcBorders>
                          <w:top w:val="nil" w:sz="6" w:space="0" w:color="auto"/>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何利</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139,080</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139,080</w:t>
                        </w:r>
                      </w:p>
                    </w:tc>
                    <w:tc>
                      <w:tcPr>
                        <w:tcW w:w="1367" w:type="dxa"/>
                        <w:tcBorders>
                          <w:top w:val="nil" w:sz="6" w:space="0" w:color="auto"/>
                          <w:left w:val="single" w:sz="4" w:space="0" w:color="000000"/>
                          <w:bottom w:val="nil" w:sz="6" w:space="0" w:color="auto"/>
                          <w:right w:val="single" w:sz="4" w:space="0" w:color="000000"/>
                        </w:tcBorders>
                      </w:tcPr>
                      <w:p>
                        <w:pPr/>
                      </w:p>
                    </w:tc>
                    <w:tc>
                      <w:tcPr>
                        <w:tcW w:w="273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7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重组</w:t>
                        </w:r>
                      </w:p>
                    </w:tc>
                  </w:tr>
                  <w:tr>
                    <w:trPr>
                      <w:trHeight w:val="2274" w:hRule="exact"/>
                    </w:trPr>
                    <w:tc>
                      <w:tcPr>
                        <w:tcW w:w="1370" w:type="dxa"/>
                        <w:tcBorders>
                          <w:top w:val="nil" w:sz="6" w:space="0" w:color="auto"/>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郭晨</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486,782</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486,782</w:t>
                        </w:r>
                      </w:p>
                    </w:tc>
                    <w:tc>
                      <w:tcPr>
                        <w:tcW w:w="1367" w:type="dxa"/>
                        <w:tcBorders>
                          <w:top w:val="nil" w:sz="6" w:space="0" w:color="auto"/>
                          <w:left w:val="single" w:sz="4" w:space="0" w:color="000000"/>
                          <w:bottom w:val="nil" w:sz="6" w:space="0" w:color="auto"/>
                          <w:right w:val="single" w:sz="4" w:space="0" w:color="000000"/>
                        </w:tcBorders>
                      </w:tcPr>
                      <w:p>
                        <w:pPr/>
                      </w:p>
                    </w:tc>
                    <w:tc>
                      <w:tcPr>
                        <w:tcW w:w="273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7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重组</w:t>
                        </w:r>
                      </w:p>
                    </w:tc>
                  </w:tr>
                  <w:tr>
                    <w:trPr>
                      <w:trHeight w:val="2274" w:hRule="exact"/>
                    </w:trPr>
                    <w:tc>
                      <w:tcPr>
                        <w:tcW w:w="1370" w:type="dxa"/>
                        <w:tcBorders>
                          <w:top w:val="nil" w:sz="6" w:space="0" w:color="auto"/>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吴小岭</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305,980</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305,980</w:t>
                        </w:r>
                      </w:p>
                    </w:tc>
                    <w:tc>
                      <w:tcPr>
                        <w:tcW w:w="1367" w:type="dxa"/>
                        <w:tcBorders>
                          <w:top w:val="nil" w:sz="6" w:space="0" w:color="auto"/>
                          <w:left w:val="single" w:sz="4" w:space="0" w:color="000000"/>
                          <w:bottom w:val="nil" w:sz="6" w:space="0" w:color="auto"/>
                          <w:right w:val="single" w:sz="4" w:space="0" w:color="000000"/>
                        </w:tcBorders>
                      </w:tcPr>
                      <w:p>
                        <w:pPr/>
                      </w:p>
                    </w:tc>
                    <w:tc>
                      <w:tcPr>
                        <w:tcW w:w="273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7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重组</w:t>
                        </w:r>
                      </w:p>
                    </w:tc>
                  </w:tr>
                  <w:tr>
                    <w:trPr>
                      <w:trHeight w:val="402" w:hRule="exact"/>
                    </w:trPr>
                    <w:tc>
                      <w:tcPr>
                        <w:tcW w:w="1370" w:type="dxa"/>
                        <w:tcBorders>
                          <w:top w:val="nil" w:sz="6" w:space="0" w:color="auto"/>
                          <w:left w:val="nil" w:sz="6" w:space="0" w:color="auto"/>
                          <w:bottom w:val="nil" w:sz="6" w:space="0" w:color="auto"/>
                          <w:right w:val="single" w:sz="4" w:space="0" w:color="000000"/>
                        </w:tcBorders>
                      </w:tcPr>
                      <w:p>
                        <w:pPr>
                          <w:pStyle w:val="TableParagraph"/>
                          <w:spacing w:line="240" w:lineRule="auto" w:before="56"/>
                          <w:ind w:left="27" w:right="0"/>
                          <w:jc w:val="left"/>
                          <w:rPr>
                            <w:rFonts w:ascii="宋体" w:hAnsi="宋体" w:cs="宋体" w:eastAsia="宋体" w:hint="default"/>
                            <w:sz w:val="18"/>
                            <w:szCs w:val="18"/>
                          </w:rPr>
                        </w:pPr>
                        <w:r>
                          <w:rPr>
                            <w:rFonts w:ascii="宋体" w:hAnsi="宋体" w:cs="宋体" w:eastAsia="宋体" w:hint="default"/>
                            <w:sz w:val="18"/>
                            <w:szCs w:val="18"/>
                          </w:rPr>
                          <w:t>孟涛</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695,407</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695,407</w:t>
                        </w:r>
                      </w:p>
                    </w:tc>
                    <w:tc>
                      <w:tcPr>
                        <w:tcW w:w="1367" w:type="dxa"/>
                        <w:tcBorders>
                          <w:top w:val="nil" w:sz="6" w:space="0" w:color="auto"/>
                          <w:left w:val="single" w:sz="4" w:space="0" w:color="000000"/>
                          <w:bottom w:val="nil" w:sz="6" w:space="0" w:color="auto"/>
                          <w:right w:val="single" w:sz="4" w:space="0" w:color="000000"/>
                        </w:tcBorders>
                      </w:tcPr>
                      <w:p>
                        <w:pPr/>
                      </w:p>
                    </w:tc>
                    <w:tc>
                      <w:tcPr>
                        <w:tcW w:w="2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left="27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重组</w:t>
                        </w:r>
                      </w:p>
                    </w:tc>
                  </w:tr>
                </w:tbl>
                <w:p>
                  <w:pPr/>
                </w:p>
              </w:txbxContent>
            </v:textbox>
            <w10:wrap type="none"/>
          </v:shape>
        </w:pict>
      </w:r>
    </w:p>
    <w:p>
      <w:pPr>
        <w:spacing w:line="240" w:lineRule="auto" w:before="9"/>
        <w:rPr>
          <w:rFonts w:ascii="宋体" w:hAnsi="宋体" w:cs="宋体" w:eastAsia="宋体" w:hint="default"/>
          <w:sz w:val="21"/>
          <w:szCs w:val="21"/>
        </w:rPr>
      </w:pPr>
    </w:p>
    <w:p>
      <w:pPr>
        <w:pStyle w:val="BodyText"/>
        <w:spacing w:line="240" w:lineRule="auto"/>
        <w:ind w:left="7524" w:right="1342"/>
        <w:jc w:val="right"/>
      </w:pPr>
      <w:r>
        <w:rPr/>
        <w:t>解除限售日期</w:t>
      </w:r>
    </w:p>
    <w:p>
      <w:pPr>
        <w:spacing w:line="240" w:lineRule="auto" w:before="3"/>
        <w:rPr>
          <w:rFonts w:ascii="宋体" w:hAnsi="宋体" w:cs="宋体" w:eastAsia="宋体" w:hint="default"/>
          <w:sz w:val="21"/>
          <w:szCs w:val="21"/>
        </w:rPr>
      </w:pPr>
    </w:p>
    <w:p>
      <w:pPr>
        <w:pStyle w:val="BodyText"/>
        <w:spacing w:line="319" w:lineRule="auto"/>
        <w:ind w:left="7524" w:right="1262"/>
        <w:jc w:val="right"/>
        <w:rPr>
          <w:rFonts w:ascii="Times New Roman" w:hAnsi="Times New Roman" w:cs="Times New Roman" w:eastAsia="Times New Roman" w:hint="default"/>
        </w:rPr>
      </w:pPr>
      <w:r>
        <w:rPr/>
        <w:t>高管任职期间每 年年初解禁</w:t>
      </w:r>
      <w:r>
        <w:rPr>
          <w:spacing w:val="-46"/>
        </w:rPr>
        <w:t> </w:t>
      </w:r>
      <w:r>
        <w:rPr>
          <w:rFonts w:ascii="Times New Roman" w:hAnsi="Times New Roman" w:cs="Times New Roman" w:eastAsia="Times New Roman" w:hint="default"/>
        </w:rPr>
        <w:t>25%</w:t>
      </w:r>
    </w:p>
    <w:p>
      <w:pPr>
        <w:pStyle w:val="BodyText"/>
        <w:spacing w:line="319" w:lineRule="auto" w:before="86"/>
        <w:ind w:left="7524" w:right="1262"/>
        <w:jc w:val="right"/>
        <w:rPr>
          <w:rFonts w:ascii="Times New Roman" w:hAnsi="Times New Roman" w:cs="Times New Roman" w:eastAsia="Times New Roman" w:hint="default"/>
        </w:rPr>
      </w:pPr>
      <w:r>
        <w:rPr/>
        <w:t>高管任职期间每 年年初解禁</w:t>
      </w:r>
      <w:r>
        <w:rPr>
          <w:spacing w:val="-46"/>
        </w:rPr>
        <w:t> </w:t>
      </w:r>
      <w:r>
        <w:rPr>
          <w:rFonts w:ascii="Times New Roman" w:hAnsi="Times New Roman" w:cs="Times New Roman" w:eastAsia="Times New Roman" w:hint="default"/>
        </w:rPr>
        <w:t>25%</w:t>
      </w:r>
    </w:p>
    <w:p>
      <w:pPr>
        <w:pStyle w:val="BodyText"/>
        <w:spacing w:line="240" w:lineRule="auto" w:before="86"/>
        <w:ind w:left="7524" w:right="1324"/>
        <w:jc w:val="righ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p>
    <w:p>
      <w:pPr>
        <w:pStyle w:val="BodyText"/>
        <w:spacing w:line="240" w:lineRule="auto" w:before="63"/>
        <w:ind w:left="7524" w:right="1136"/>
        <w:jc w:val="right"/>
      </w:pPr>
      <w:r>
        <w:rPr>
          <w:rFonts w:ascii="Times New Roman" w:hAnsi="Times New Roman" w:cs="Times New Roman" w:eastAsia="Times New Roman" w:hint="default"/>
        </w:rPr>
        <w:t>28</w:t>
      </w:r>
      <w:r>
        <w:rPr>
          <w:rFonts w:ascii="Times New Roman" w:hAnsi="Times New Roman" w:cs="Times New Roman" w:eastAsia="Times New Roman" w:hint="default"/>
          <w:spacing w:val="-5"/>
        </w:rPr>
        <w:t> </w:t>
      </w:r>
      <w:r>
        <w:rPr/>
        <w:t>日</w:t>
      </w:r>
      <w:r>
        <w:rPr>
          <w:spacing w:val="-90"/>
        </w:rPr>
        <w:t>，</w:t>
      </w:r>
      <w:r>
        <w:rPr/>
        <w:t>解锁</w:t>
      </w:r>
      <w:r>
        <w:rPr>
          <w:spacing w:val="-50"/>
        </w:rPr>
        <w:t> </w:t>
      </w:r>
      <w:r>
        <w:rPr>
          <w:rFonts w:ascii="Times New Roman" w:hAnsi="Times New Roman" w:cs="Times New Roman" w:eastAsia="Times New Roman" w:hint="default"/>
        </w:rPr>
        <w:t>24</w:t>
      </w:r>
      <w:r>
        <w:rPr>
          <w:rFonts w:ascii="Times New Roman" w:hAnsi="Times New Roman" w:cs="Times New Roman" w:eastAsia="Times New Roman" w:hint="default"/>
          <w:spacing w:val="-2"/>
        </w:rPr>
        <w:t>%</w:t>
      </w:r>
      <w:r>
        <w:rPr/>
        <w:t>；</w:t>
      </w:r>
    </w:p>
    <w:p>
      <w:pPr>
        <w:pStyle w:val="BodyText"/>
        <w:spacing w:line="240" w:lineRule="auto" w:before="63"/>
        <w:ind w:left="7524" w:right="1324"/>
        <w:jc w:val="righ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p>
    <w:p>
      <w:pPr>
        <w:pStyle w:val="BodyText"/>
        <w:spacing w:line="240" w:lineRule="auto" w:before="63"/>
        <w:ind w:left="7524" w:right="1136"/>
        <w:jc w:val="right"/>
      </w:pPr>
      <w:r>
        <w:rPr>
          <w:rFonts w:ascii="Times New Roman" w:hAnsi="Times New Roman" w:cs="Times New Roman" w:eastAsia="Times New Roman" w:hint="default"/>
        </w:rPr>
        <w:t>28</w:t>
      </w:r>
      <w:r>
        <w:rPr>
          <w:rFonts w:ascii="Times New Roman" w:hAnsi="Times New Roman" w:cs="Times New Roman" w:eastAsia="Times New Roman" w:hint="default"/>
          <w:spacing w:val="-5"/>
        </w:rPr>
        <w:t> </w:t>
      </w:r>
      <w:r>
        <w:rPr/>
        <w:t>日</w:t>
      </w:r>
      <w:r>
        <w:rPr>
          <w:spacing w:val="-90"/>
        </w:rPr>
        <w:t>，</w:t>
      </w:r>
      <w:r>
        <w:rPr/>
        <w:t>解锁</w:t>
      </w:r>
      <w:r>
        <w:rPr>
          <w:spacing w:val="-50"/>
        </w:rPr>
        <w:t> </w:t>
      </w:r>
      <w:r>
        <w:rPr>
          <w:rFonts w:ascii="Times New Roman" w:hAnsi="Times New Roman" w:cs="Times New Roman" w:eastAsia="Times New Roman" w:hint="default"/>
        </w:rPr>
        <w:t>35</w:t>
      </w:r>
      <w:r>
        <w:rPr>
          <w:rFonts w:ascii="Times New Roman" w:hAnsi="Times New Roman" w:cs="Times New Roman" w:eastAsia="Times New Roman" w:hint="default"/>
          <w:spacing w:val="-2"/>
        </w:rPr>
        <w:t>%</w:t>
      </w:r>
      <w:r>
        <w:rPr/>
        <w:t>；</w:t>
      </w:r>
    </w:p>
    <w:p>
      <w:pPr>
        <w:pStyle w:val="BodyText"/>
        <w:spacing w:line="240" w:lineRule="auto" w:before="63"/>
        <w:ind w:left="7524" w:right="1324"/>
        <w:jc w:val="righ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p>
    <w:p>
      <w:pPr>
        <w:pStyle w:val="BodyText"/>
        <w:spacing w:line="240" w:lineRule="auto" w:before="63"/>
        <w:ind w:left="7524" w:right="1592"/>
        <w:jc w:val="right"/>
      </w:pP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日，解锁</w:t>
      </w:r>
    </w:p>
    <w:p>
      <w:pPr>
        <w:pStyle w:val="BodyText"/>
        <w:spacing w:line="240" w:lineRule="auto" w:before="64"/>
        <w:ind w:left="7524" w:right="1937"/>
        <w:jc w:val="right"/>
      </w:pPr>
      <w:r>
        <w:rPr>
          <w:rFonts w:ascii="Times New Roman" w:hAnsi="Times New Roman" w:cs="Times New Roman" w:eastAsia="Times New Roman" w:hint="default"/>
        </w:rPr>
        <w:t>100%</w:t>
      </w:r>
      <w:r>
        <w:rPr/>
        <w:t>。</w:t>
      </w:r>
    </w:p>
    <w:p>
      <w:pPr>
        <w:spacing w:line="240" w:lineRule="auto" w:before="2"/>
        <w:rPr>
          <w:rFonts w:ascii="宋体" w:hAnsi="宋体" w:cs="宋体" w:eastAsia="宋体" w:hint="default"/>
          <w:sz w:val="8"/>
          <w:szCs w:val="8"/>
        </w:rPr>
      </w:pPr>
    </w:p>
    <w:p>
      <w:pPr>
        <w:pStyle w:val="BodyText"/>
        <w:spacing w:line="240" w:lineRule="auto"/>
        <w:ind w:left="7524" w:right="1324"/>
        <w:jc w:val="righ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p>
    <w:p>
      <w:pPr>
        <w:pStyle w:val="BodyText"/>
        <w:spacing w:line="240" w:lineRule="auto" w:before="63"/>
        <w:ind w:left="7524" w:right="1136"/>
        <w:jc w:val="right"/>
      </w:pPr>
      <w:r>
        <w:rPr>
          <w:rFonts w:ascii="Times New Roman" w:hAnsi="Times New Roman" w:cs="Times New Roman" w:eastAsia="Times New Roman" w:hint="default"/>
        </w:rPr>
        <w:t>28</w:t>
      </w:r>
      <w:r>
        <w:rPr>
          <w:rFonts w:ascii="Times New Roman" w:hAnsi="Times New Roman" w:cs="Times New Roman" w:eastAsia="Times New Roman" w:hint="default"/>
          <w:spacing w:val="-5"/>
        </w:rPr>
        <w:t> </w:t>
      </w:r>
      <w:r>
        <w:rPr/>
        <w:t>日</w:t>
      </w:r>
      <w:r>
        <w:rPr>
          <w:spacing w:val="-90"/>
        </w:rPr>
        <w:t>，</w:t>
      </w:r>
      <w:r>
        <w:rPr/>
        <w:t>解锁</w:t>
      </w:r>
      <w:r>
        <w:rPr>
          <w:spacing w:val="-50"/>
        </w:rPr>
        <w:t> </w:t>
      </w:r>
      <w:r>
        <w:rPr>
          <w:rFonts w:ascii="Times New Roman" w:hAnsi="Times New Roman" w:cs="Times New Roman" w:eastAsia="Times New Roman" w:hint="default"/>
        </w:rPr>
        <w:t>24</w:t>
      </w:r>
      <w:r>
        <w:rPr>
          <w:rFonts w:ascii="Times New Roman" w:hAnsi="Times New Roman" w:cs="Times New Roman" w:eastAsia="Times New Roman" w:hint="default"/>
          <w:spacing w:val="-2"/>
        </w:rPr>
        <w:t>%</w:t>
      </w:r>
      <w:r>
        <w:rPr/>
        <w:t>；</w:t>
      </w:r>
    </w:p>
    <w:p>
      <w:pPr>
        <w:pStyle w:val="BodyText"/>
        <w:spacing w:line="240" w:lineRule="auto" w:before="63"/>
        <w:ind w:left="7524" w:right="1324"/>
        <w:jc w:val="righ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p>
    <w:p>
      <w:pPr>
        <w:pStyle w:val="BodyText"/>
        <w:spacing w:line="240" w:lineRule="auto" w:before="63"/>
        <w:ind w:left="7524" w:right="1136"/>
        <w:jc w:val="right"/>
      </w:pPr>
      <w:r>
        <w:rPr>
          <w:rFonts w:ascii="Times New Roman" w:hAnsi="Times New Roman" w:cs="Times New Roman" w:eastAsia="Times New Roman" w:hint="default"/>
        </w:rPr>
        <w:t>28</w:t>
      </w:r>
      <w:r>
        <w:rPr>
          <w:rFonts w:ascii="Times New Roman" w:hAnsi="Times New Roman" w:cs="Times New Roman" w:eastAsia="Times New Roman" w:hint="default"/>
          <w:spacing w:val="-5"/>
        </w:rPr>
        <w:t> </w:t>
      </w:r>
      <w:r>
        <w:rPr/>
        <w:t>日</w:t>
      </w:r>
      <w:r>
        <w:rPr>
          <w:spacing w:val="-90"/>
        </w:rPr>
        <w:t>，</w:t>
      </w:r>
      <w:r>
        <w:rPr/>
        <w:t>解锁</w:t>
      </w:r>
      <w:r>
        <w:rPr>
          <w:spacing w:val="-50"/>
        </w:rPr>
        <w:t> </w:t>
      </w:r>
      <w:r>
        <w:rPr>
          <w:rFonts w:ascii="Times New Roman" w:hAnsi="Times New Roman" w:cs="Times New Roman" w:eastAsia="Times New Roman" w:hint="default"/>
        </w:rPr>
        <w:t>35</w:t>
      </w:r>
      <w:r>
        <w:rPr>
          <w:rFonts w:ascii="Times New Roman" w:hAnsi="Times New Roman" w:cs="Times New Roman" w:eastAsia="Times New Roman" w:hint="default"/>
          <w:spacing w:val="-2"/>
        </w:rPr>
        <w:t>%</w:t>
      </w:r>
      <w:r>
        <w:rPr/>
        <w:t>；</w:t>
      </w:r>
    </w:p>
    <w:p>
      <w:pPr>
        <w:pStyle w:val="BodyText"/>
        <w:spacing w:line="240" w:lineRule="auto" w:before="63"/>
        <w:ind w:left="7524" w:right="1324"/>
        <w:jc w:val="righ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p>
    <w:p>
      <w:pPr>
        <w:pStyle w:val="BodyText"/>
        <w:spacing w:line="240" w:lineRule="auto" w:before="63"/>
        <w:ind w:left="7524" w:right="1592"/>
        <w:jc w:val="right"/>
      </w:pP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日，解锁</w:t>
      </w:r>
    </w:p>
    <w:p>
      <w:pPr>
        <w:pStyle w:val="BodyText"/>
        <w:spacing w:line="240" w:lineRule="auto" w:before="64"/>
        <w:ind w:left="7524" w:right="1937"/>
        <w:jc w:val="right"/>
      </w:pPr>
      <w:r>
        <w:rPr>
          <w:rFonts w:ascii="Times New Roman" w:hAnsi="Times New Roman" w:cs="Times New Roman" w:eastAsia="Times New Roman" w:hint="default"/>
        </w:rPr>
        <w:t>100%</w:t>
      </w:r>
      <w:r>
        <w:rPr/>
        <w:t>。</w:t>
      </w:r>
    </w:p>
    <w:p>
      <w:pPr>
        <w:spacing w:line="240" w:lineRule="auto" w:before="2"/>
        <w:rPr>
          <w:rFonts w:ascii="宋体" w:hAnsi="宋体" w:cs="宋体" w:eastAsia="宋体" w:hint="default"/>
          <w:sz w:val="8"/>
          <w:szCs w:val="8"/>
        </w:rPr>
      </w:pPr>
    </w:p>
    <w:p>
      <w:pPr>
        <w:pStyle w:val="BodyText"/>
        <w:spacing w:line="240" w:lineRule="auto"/>
        <w:ind w:left="7524" w:right="1324"/>
        <w:jc w:val="righ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p>
    <w:p>
      <w:pPr>
        <w:pStyle w:val="BodyText"/>
        <w:spacing w:line="240" w:lineRule="auto" w:before="63"/>
        <w:ind w:left="7524" w:right="1136"/>
        <w:jc w:val="right"/>
      </w:pPr>
      <w:r>
        <w:rPr>
          <w:rFonts w:ascii="Times New Roman" w:hAnsi="Times New Roman" w:cs="Times New Roman" w:eastAsia="Times New Roman" w:hint="default"/>
        </w:rPr>
        <w:t>28</w:t>
      </w:r>
      <w:r>
        <w:rPr>
          <w:rFonts w:ascii="Times New Roman" w:hAnsi="Times New Roman" w:cs="Times New Roman" w:eastAsia="Times New Roman" w:hint="default"/>
          <w:spacing w:val="-5"/>
        </w:rPr>
        <w:t> </w:t>
      </w:r>
      <w:r>
        <w:rPr/>
        <w:t>日</w:t>
      </w:r>
      <w:r>
        <w:rPr>
          <w:spacing w:val="-90"/>
        </w:rPr>
        <w:t>，</w:t>
      </w:r>
      <w:r>
        <w:rPr/>
        <w:t>解锁</w:t>
      </w:r>
      <w:r>
        <w:rPr>
          <w:spacing w:val="-50"/>
        </w:rPr>
        <w:t> </w:t>
      </w:r>
      <w:r>
        <w:rPr>
          <w:rFonts w:ascii="Times New Roman" w:hAnsi="Times New Roman" w:cs="Times New Roman" w:eastAsia="Times New Roman" w:hint="default"/>
        </w:rPr>
        <w:t>24</w:t>
      </w:r>
      <w:r>
        <w:rPr>
          <w:rFonts w:ascii="Times New Roman" w:hAnsi="Times New Roman" w:cs="Times New Roman" w:eastAsia="Times New Roman" w:hint="default"/>
          <w:spacing w:val="-2"/>
        </w:rPr>
        <w:t>%</w:t>
      </w:r>
      <w:r>
        <w:rPr/>
        <w:t>；</w:t>
      </w:r>
    </w:p>
    <w:p>
      <w:pPr>
        <w:pStyle w:val="BodyText"/>
        <w:spacing w:line="240" w:lineRule="auto" w:before="63"/>
        <w:ind w:left="7524" w:right="1324"/>
        <w:jc w:val="righ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p>
    <w:p>
      <w:pPr>
        <w:pStyle w:val="BodyText"/>
        <w:spacing w:line="240" w:lineRule="auto" w:before="63"/>
        <w:ind w:left="7524" w:right="1136"/>
        <w:jc w:val="right"/>
      </w:pPr>
      <w:r>
        <w:rPr>
          <w:rFonts w:ascii="Times New Roman" w:hAnsi="Times New Roman" w:cs="Times New Roman" w:eastAsia="Times New Roman" w:hint="default"/>
        </w:rPr>
        <w:t>28</w:t>
      </w:r>
      <w:r>
        <w:rPr>
          <w:rFonts w:ascii="Times New Roman" w:hAnsi="Times New Roman" w:cs="Times New Roman" w:eastAsia="Times New Roman" w:hint="default"/>
          <w:spacing w:val="-5"/>
        </w:rPr>
        <w:t> </w:t>
      </w:r>
      <w:r>
        <w:rPr/>
        <w:t>日</w:t>
      </w:r>
      <w:r>
        <w:rPr>
          <w:spacing w:val="-90"/>
        </w:rPr>
        <w:t>，</w:t>
      </w:r>
      <w:r>
        <w:rPr/>
        <w:t>解锁</w:t>
      </w:r>
      <w:r>
        <w:rPr>
          <w:spacing w:val="-50"/>
        </w:rPr>
        <w:t> </w:t>
      </w:r>
      <w:r>
        <w:rPr>
          <w:rFonts w:ascii="Times New Roman" w:hAnsi="Times New Roman" w:cs="Times New Roman" w:eastAsia="Times New Roman" w:hint="default"/>
        </w:rPr>
        <w:t>35</w:t>
      </w:r>
      <w:r>
        <w:rPr>
          <w:rFonts w:ascii="Times New Roman" w:hAnsi="Times New Roman" w:cs="Times New Roman" w:eastAsia="Times New Roman" w:hint="default"/>
          <w:spacing w:val="-2"/>
        </w:rPr>
        <w:t>%</w:t>
      </w:r>
      <w:r>
        <w:rPr/>
        <w:t>；</w:t>
      </w:r>
    </w:p>
    <w:p>
      <w:pPr>
        <w:pStyle w:val="BodyText"/>
        <w:spacing w:line="240" w:lineRule="auto" w:before="63"/>
        <w:ind w:left="7524" w:right="1324"/>
        <w:jc w:val="righ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p>
    <w:p>
      <w:pPr>
        <w:pStyle w:val="BodyText"/>
        <w:spacing w:line="240" w:lineRule="auto" w:before="63"/>
        <w:ind w:left="7524" w:right="1592"/>
        <w:jc w:val="right"/>
      </w:pP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日，解锁</w:t>
      </w:r>
    </w:p>
    <w:p>
      <w:pPr>
        <w:pStyle w:val="BodyText"/>
        <w:spacing w:line="240" w:lineRule="auto" w:before="64"/>
        <w:ind w:left="7524" w:right="1937"/>
        <w:jc w:val="right"/>
      </w:pPr>
      <w:r>
        <w:rPr>
          <w:rFonts w:ascii="Times New Roman" w:hAnsi="Times New Roman" w:cs="Times New Roman" w:eastAsia="Times New Roman" w:hint="default"/>
        </w:rPr>
        <w:t>100%</w:t>
      </w:r>
      <w:r>
        <w:rPr/>
        <w:t>。</w:t>
      </w:r>
    </w:p>
    <w:p>
      <w:pPr>
        <w:spacing w:line="240" w:lineRule="auto" w:before="2"/>
        <w:rPr>
          <w:rFonts w:ascii="宋体" w:hAnsi="宋体" w:cs="宋体" w:eastAsia="宋体" w:hint="default"/>
          <w:sz w:val="8"/>
          <w:szCs w:val="8"/>
        </w:rPr>
      </w:pPr>
    </w:p>
    <w:p>
      <w:pPr>
        <w:pStyle w:val="BodyText"/>
        <w:spacing w:line="240" w:lineRule="auto"/>
        <w:ind w:left="7524" w:right="1324"/>
        <w:jc w:val="righ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p>
    <w:p>
      <w:pPr>
        <w:pStyle w:val="BodyText"/>
        <w:spacing w:line="240" w:lineRule="auto" w:before="63"/>
        <w:ind w:left="7524" w:right="1136"/>
        <w:jc w:val="right"/>
      </w:pPr>
      <w:r>
        <w:rPr>
          <w:rFonts w:ascii="Times New Roman" w:hAnsi="Times New Roman" w:cs="Times New Roman" w:eastAsia="Times New Roman" w:hint="default"/>
        </w:rPr>
        <w:t>28</w:t>
      </w:r>
      <w:r>
        <w:rPr>
          <w:rFonts w:ascii="Times New Roman" w:hAnsi="Times New Roman" w:cs="Times New Roman" w:eastAsia="Times New Roman" w:hint="default"/>
          <w:spacing w:val="-5"/>
        </w:rPr>
        <w:t> </w:t>
      </w:r>
      <w:r>
        <w:rPr/>
        <w:t>日</w:t>
      </w:r>
      <w:r>
        <w:rPr>
          <w:spacing w:val="-90"/>
        </w:rPr>
        <w:t>，</w:t>
      </w:r>
      <w:r>
        <w:rPr/>
        <w:t>解锁</w:t>
      </w:r>
      <w:r>
        <w:rPr>
          <w:spacing w:val="-50"/>
        </w:rPr>
        <w:t> </w:t>
      </w:r>
      <w:r>
        <w:rPr>
          <w:rFonts w:ascii="Times New Roman" w:hAnsi="Times New Roman" w:cs="Times New Roman" w:eastAsia="Times New Roman" w:hint="default"/>
        </w:rPr>
        <w:t>24</w:t>
      </w:r>
      <w:r>
        <w:rPr>
          <w:rFonts w:ascii="Times New Roman" w:hAnsi="Times New Roman" w:cs="Times New Roman" w:eastAsia="Times New Roman" w:hint="default"/>
          <w:spacing w:val="-2"/>
        </w:rPr>
        <w:t>%</w:t>
      </w:r>
      <w:r>
        <w:rPr/>
        <w:t>；</w:t>
      </w:r>
    </w:p>
    <w:p>
      <w:pPr>
        <w:pStyle w:val="BodyText"/>
        <w:spacing w:line="240" w:lineRule="auto" w:before="63"/>
        <w:ind w:left="7524" w:right="1324"/>
        <w:jc w:val="righ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p>
    <w:p>
      <w:pPr>
        <w:pStyle w:val="BodyText"/>
        <w:spacing w:line="240" w:lineRule="auto" w:before="63"/>
        <w:ind w:left="7524" w:right="1136"/>
        <w:jc w:val="right"/>
      </w:pPr>
      <w:r>
        <w:rPr>
          <w:rFonts w:ascii="Times New Roman" w:hAnsi="Times New Roman" w:cs="Times New Roman" w:eastAsia="Times New Roman" w:hint="default"/>
        </w:rPr>
        <w:t>28</w:t>
      </w:r>
      <w:r>
        <w:rPr>
          <w:rFonts w:ascii="Times New Roman" w:hAnsi="Times New Roman" w:cs="Times New Roman" w:eastAsia="Times New Roman" w:hint="default"/>
          <w:spacing w:val="-5"/>
        </w:rPr>
        <w:t> </w:t>
      </w:r>
      <w:r>
        <w:rPr/>
        <w:t>日</w:t>
      </w:r>
      <w:r>
        <w:rPr>
          <w:spacing w:val="-90"/>
        </w:rPr>
        <w:t>，</w:t>
      </w:r>
      <w:r>
        <w:rPr/>
        <w:t>解锁</w:t>
      </w:r>
      <w:r>
        <w:rPr>
          <w:spacing w:val="-50"/>
        </w:rPr>
        <w:t> </w:t>
      </w:r>
      <w:r>
        <w:rPr>
          <w:rFonts w:ascii="Times New Roman" w:hAnsi="Times New Roman" w:cs="Times New Roman" w:eastAsia="Times New Roman" w:hint="default"/>
        </w:rPr>
        <w:t>35</w:t>
      </w:r>
      <w:r>
        <w:rPr>
          <w:rFonts w:ascii="Times New Roman" w:hAnsi="Times New Roman" w:cs="Times New Roman" w:eastAsia="Times New Roman" w:hint="default"/>
          <w:spacing w:val="-2"/>
        </w:rPr>
        <w:t>%</w:t>
      </w:r>
      <w:r>
        <w:rPr/>
        <w:t>；</w:t>
      </w:r>
    </w:p>
    <w:p>
      <w:pPr>
        <w:pStyle w:val="BodyText"/>
        <w:spacing w:line="240" w:lineRule="auto" w:before="63"/>
        <w:ind w:left="7524" w:right="1324"/>
        <w:jc w:val="righ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p>
    <w:p>
      <w:pPr>
        <w:pStyle w:val="BodyText"/>
        <w:spacing w:line="240" w:lineRule="auto" w:before="63"/>
        <w:ind w:left="7524" w:right="1592"/>
        <w:jc w:val="right"/>
      </w:pP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日，解锁</w:t>
      </w:r>
    </w:p>
    <w:p>
      <w:pPr>
        <w:pStyle w:val="BodyText"/>
        <w:spacing w:line="240" w:lineRule="auto" w:before="64"/>
        <w:ind w:left="7524" w:right="1937"/>
        <w:jc w:val="right"/>
      </w:pPr>
      <w:r>
        <w:rPr>
          <w:rFonts w:ascii="Times New Roman" w:hAnsi="Times New Roman" w:cs="Times New Roman" w:eastAsia="Times New Roman" w:hint="default"/>
        </w:rPr>
        <w:t>100%</w:t>
      </w:r>
      <w:r>
        <w:rPr/>
        <w:t>。</w:t>
      </w:r>
    </w:p>
    <w:p>
      <w:pPr>
        <w:spacing w:line="240" w:lineRule="auto" w:before="2"/>
        <w:rPr>
          <w:rFonts w:ascii="宋体" w:hAnsi="宋体" w:cs="宋体" w:eastAsia="宋体" w:hint="default"/>
          <w:sz w:val="8"/>
          <w:szCs w:val="8"/>
        </w:rPr>
      </w:pPr>
    </w:p>
    <w:p>
      <w:pPr>
        <w:pStyle w:val="BodyText"/>
        <w:spacing w:line="240" w:lineRule="auto"/>
        <w:ind w:left="7524" w:right="1324"/>
        <w:jc w:val="righ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p>
    <w:p>
      <w:pPr>
        <w:pStyle w:val="BodyText"/>
        <w:spacing w:line="240" w:lineRule="auto" w:before="63"/>
        <w:ind w:left="7524" w:right="1136"/>
        <w:jc w:val="right"/>
      </w:pPr>
      <w:r>
        <w:rPr>
          <w:rFonts w:ascii="Times New Roman" w:hAnsi="Times New Roman" w:cs="Times New Roman" w:eastAsia="Times New Roman" w:hint="default"/>
        </w:rPr>
        <w:t>28</w:t>
      </w:r>
      <w:r>
        <w:rPr>
          <w:rFonts w:ascii="Times New Roman" w:hAnsi="Times New Roman" w:cs="Times New Roman" w:eastAsia="Times New Roman" w:hint="default"/>
          <w:spacing w:val="-5"/>
        </w:rPr>
        <w:t> </w:t>
      </w:r>
      <w:r>
        <w:rPr/>
        <w:t>日</w:t>
      </w:r>
      <w:r>
        <w:rPr>
          <w:spacing w:val="-90"/>
        </w:rPr>
        <w:t>，</w:t>
      </w:r>
      <w:r>
        <w:rPr/>
        <w:t>解锁</w:t>
      </w:r>
      <w:r>
        <w:rPr>
          <w:spacing w:val="-50"/>
        </w:rPr>
        <w:t> </w:t>
      </w:r>
      <w:r>
        <w:rPr>
          <w:rFonts w:ascii="Times New Roman" w:hAnsi="Times New Roman" w:cs="Times New Roman" w:eastAsia="Times New Roman" w:hint="default"/>
        </w:rPr>
        <w:t>24</w:t>
      </w:r>
      <w:r>
        <w:rPr>
          <w:rFonts w:ascii="Times New Roman" w:hAnsi="Times New Roman" w:cs="Times New Roman" w:eastAsia="Times New Roman" w:hint="default"/>
          <w:spacing w:val="-2"/>
        </w:rPr>
        <w:t>%</w:t>
      </w:r>
      <w:r>
        <w:rPr/>
        <w:t>；</w:t>
      </w:r>
    </w:p>
    <w:p>
      <w:pPr>
        <w:pStyle w:val="BodyText"/>
        <w:spacing w:line="240" w:lineRule="auto" w:before="63"/>
        <w:ind w:left="7524" w:right="1324"/>
        <w:jc w:val="righ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p>
    <w:p>
      <w:pPr>
        <w:pStyle w:val="BodyText"/>
        <w:spacing w:line="240" w:lineRule="auto" w:before="63"/>
        <w:ind w:left="7524" w:right="1136"/>
        <w:jc w:val="right"/>
      </w:pPr>
      <w:r>
        <w:rPr>
          <w:rFonts w:ascii="Times New Roman" w:hAnsi="Times New Roman" w:cs="Times New Roman" w:eastAsia="Times New Roman" w:hint="default"/>
        </w:rPr>
        <w:t>28</w:t>
      </w:r>
      <w:r>
        <w:rPr>
          <w:rFonts w:ascii="Times New Roman" w:hAnsi="Times New Roman" w:cs="Times New Roman" w:eastAsia="Times New Roman" w:hint="default"/>
          <w:spacing w:val="-5"/>
        </w:rPr>
        <w:t> </w:t>
      </w:r>
      <w:r>
        <w:rPr/>
        <w:t>日</w:t>
      </w:r>
      <w:r>
        <w:rPr>
          <w:spacing w:val="-90"/>
        </w:rPr>
        <w:t>，</w:t>
      </w:r>
      <w:r>
        <w:rPr/>
        <w:t>解锁</w:t>
      </w:r>
      <w:r>
        <w:rPr>
          <w:spacing w:val="-50"/>
        </w:rPr>
        <w:t> </w:t>
      </w:r>
      <w:r>
        <w:rPr>
          <w:rFonts w:ascii="Times New Roman" w:hAnsi="Times New Roman" w:cs="Times New Roman" w:eastAsia="Times New Roman" w:hint="default"/>
        </w:rPr>
        <w:t>35</w:t>
      </w:r>
      <w:r>
        <w:rPr>
          <w:rFonts w:ascii="Times New Roman" w:hAnsi="Times New Roman" w:cs="Times New Roman" w:eastAsia="Times New Roman" w:hint="default"/>
          <w:spacing w:val="-2"/>
        </w:rPr>
        <w:t>%</w:t>
      </w:r>
      <w:r>
        <w:rPr/>
        <w:t>；</w:t>
      </w:r>
    </w:p>
    <w:p>
      <w:pPr>
        <w:pStyle w:val="BodyText"/>
        <w:spacing w:line="240" w:lineRule="auto" w:before="63"/>
        <w:ind w:left="7524" w:right="1324"/>
        <w:jc w:val="righ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p>
    <w:p>
      <w:pPr>
        <w:pStyle w:val="BodyText"/>
        <w:spacing w:line="240" w:lineRule="auto" w:before="63"/>
        <w:ind w:left="7524" w:right="1592"/>
        <w:jc w:val="right"/>
      </w:pP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日，解锁</w:t>
      </w:r>
    </w:p>
    <w:p>
      <w:pPr>
        <w:pStyle w:val="BodyText"/>
        <w:spacing w:line="240" w:lineRule="auto" w:before="64"/>
        <w:ind w:left="7524" w:right="1937"/>
        <w:jc w:val="right"/>
      </w:pPr>
      <w:r>
        <w:rPr>
          <w:rFonts w:ascii="Times New Roman" w:hAnsi="Times New Roman" w:cs="Times New Roman" w:eastAsia="Times New Roman" w:hint="default"/>
        </w:rPr>
        <w:t>100%</w:t>
      </w:r>
      <w:r>
        <w:rPr/>
        <w:t>。</w:t>
      </w:r>
    </w:p>
    <w:p>
      <w:pPr>
        <w:spacing w:line="240" w:lineRule="auto" w:before="2"/>
        <w:rPr>
          <w:rFonts w:ascii="宋体" w:hAnsi="宋体" w:cs="宋体" w:eastAsia="宋体" w:hint="default"/>
          <w:sz w:val="8"/>
          <w:szCs w:val="8"/>
        </w:rPr>
      </w:pPr>
    </w:p>
    <w:p>
      <w:pPr>
        <w:pStyle w:val="BodyText"/>
        <w:spacing w:line="240" w:lineRule="auto" w:before="65"/>
        <w:ind w:left="7524" w:right="1324"/>
        <w:jc w:val="righ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p>
    <w:p>
      <w:pPr>
        <w:spacing w:after="0" w:line="240" w:lineRule="auto"/>
        <w:jc w:val="right"/>
        <w:sectPr>
          <w:pgSz w:w="11910" w:h="16840"/>
          <w:pgMar w:header="747" w:footer="979" w:top="1060" w:bottom="1160" w:left="980" w:right="0"/>
        </w:sectPr>
      </w:pPr>
    </w:p>
    <w:p>
      <w:pPr>
        <w:spacing w:line="240" w:lineRule="auto" w:before="8"/>
        <w:rPr>
          <w:rFonts w:ascii="宋体" w:hAnsi="宋体" w:cs="宋体" w:eastAsia="宋体" w:hint="default"/>
          <w:sz w:val="26"/>
          <w:szCs w:val="26"/>
        </w:rPr>
      </w:pPr>
    </w:p>
    <w:p>
      <w:pPr>
        <w:pStyle w:val="BodyText"/>
        <w:spacing w:line="240" w:lineRule="auto"/>
        <w:ind w:left="7524" w:right="1136"/>
        <w:jc w:val="right"/>
      </w:pPr>
      <w:r>
        <w:rPr/>
        <w:pict>
          <v:shape style="position:absolute;margin-left:56.459999pt;margin-top:1.191743pt;width:479.35pt;height:469.25pt;mso-position-horizontal-relative:page;mso-position-vertical-relative:paragraph;z-index:16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1923" w:hRule="exact"/>
                    </w:trPr>
                    <w:tc>
                      <w:tcPr>
                        <w:tcW w:w="137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r>
                          <w:rPr>
                            <w:rFonts w:ascii="宋体" w:hAnsi="宋体" w:cs="宋体" w:eastAsia="宋体" w:hint="default"/>
                            <w:spacing w:val="-90"/>
                            <w:sz w:val="18"/>
                            <w:szCs w:val="18"/>
                          </w:rPr>
                          <w:t>，</w:t>
                        </w:r>
                        <w:r>
                          <w:rPr>
                            <w:rFonts w:ascii="宋体" w:hAnsi="宋体" w:cs="宋体" w:eastAsia="宋体" w:hint="default"/>
                            <w:sz w:val="18"/>
                            <w:szCs w:val="18"/>
                          </w:rPr>
                          <w:t>解锁</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r>
                          <w:rPr>
                            <w:rFonts w:ascii="宋体" w:hAnsi="宋体" w:cs="宋体" w:eastAsia="宋体" w:hint="default"/>
                            <w:spacing w:val="-90"/>
                            <w:sz w:val="18"/>
                            <w:szCs w:val="18"/>
                          </w:rPr>
                          <w:t>，</w:t>
                        </w:r>
                        <w:r>
                          <w:rPr>
                            <w:rFonts w:ascii="宋体" w:hAnsi="宋体" w:cs="宋体" w:eastAsia="宋体" w:hint="default"/>
                            <w:sz w:val="18"/>
                            <w:szCs w:val="18"/>
                          </w:rPr>
                          <w:t>解锁</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35%</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日，解锁</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宋体" w:hAnsi="宋体" w:cs="宋体" w:eastAsia="宋体" w:hint="default"/>
                            <w:sz w:val="18"/>
                            <w:szCs w:val="18"/>
                          </w:rPr>
                          <w:t>。</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乐源财富管理有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6,631,299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6,631,299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both"/>
                          <w:rPr>
                            <w:rFonts w:ascii="宋体" w:hAnsi="宋体" w:cs="宋体" w:eastAsia="宋体" w:hint="default"/>
                            <w:sz w:val="18"/>
                            <w:szCs w:val="18"/>
                          </w:rPr>
                        </w:pPr>
                        <w:r>
                          <w:rPr>
                            <w:rFonts w:ascii="宋体" w:hAnsi="宋体" w:cs="宋体" w:eastAsia="宋体" w:hint="default"/>
                            <w:sz w:val="18"/>
                            <w:szCs w:val="18"/>
                          </w:rPr>
                          <w:t>青岛金石泓信投 资中心（有限合 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20,319,665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20,319,665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重组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both"/>
                          <w:rPr>
                            <w:rFonts w:ascii="宋体" w:hAnsi="宋体" w:cs="宋体" w:eastAsia="宋体" w:hint="default"/>
                            <w:sz w:val="18"/>
                            <w:szCs w:val="18"/>
                          </w:rPr>
                        </w:pPr>
                        <w:r>
                          <w:rPr>
                            <w:rFonts w:ascii="宋体" w:hAnsi="宋体" w:cs="宋体" w:eastAsia="宋体" w:hint="default"/>
                            <w:sz w:val="18"/>
                            <w:szCs w:val="18"/>
                          </w:rPr>
                          <w:t>上海理鼎投资管 理中心（有限合 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19,893,899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19,893,899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重组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汪宇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202,500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202,500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8"/>
                          <w:jc w:val="left"/>
                          <w:rPr>
                            <w:rFonts w:ascii="Times New Roman" w:hAnsi="Times New Roman" w:cs="Times New Roman" w:eastAsia="Times New Roman" w:hint="default"/>
                            <w:sz w:val="18"/>
                            <w:szCs w:val="18"/>
                          </w:rPr>
                        </w:pPr>
                        <w:r>
                          <w:rPr>
                            <w:rFonts w:ascii="宋体" w:hAnsi="宋体" w:cs="宋体" w:eastAsia="宋体" w:hint="default"/>
                            <w:sz w:val="18"/>
                            <w:szCs w:val="18"/>
                          </w:rPr>
                          <w:t>高管任职期间每 年年初解禁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闫涛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76,875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76,875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8"/>
                          <w:jc w:val="left"/>
                          <w:rPr>
                            <w:rFonts w:ascii="Times New Roman" w:hAnsi="Times New Roman" w:cs="Times New Roman" w:eastAsia="Times New Roman" w:hint="default"/>
                            <w:sz w:val="18"/>
                            <w:szCs w:val="18"/>
                          </w:rPr>
                        </w:pPr>
                        <w:r>
                          <w:rPr>
                            <w:rFonts w:ascii="宋体" w:hAnsi="宋体" w:cs="宋体" w:eastAsia="宋体" w:hint="default"/>
                            <w:sz w:val="18"/>
                            <w:szCs w:val="18"/>
                          </w:rPr>
                          <w:t>高管任职期间每 年年初解禁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李小庆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56,250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14,063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42,187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8"/>
                          <w:jc w:val="left"/>
                          <w:rPr>
                            <w:rFonts w:ascii="Times New Roman" w:hAnsi="Times New Roman" w:cs="Times New Roman" w:eastAsia="Times New Roman" w:hint="default"/>
                            <w:sz w:val="18"/>
                            <w:szCs w:val="18"/>
                          </w:rPr>
                        </w:pPr>
                        <w:r>
                          <w:rPr>
                            <w:rFonts w:ascii="宋体" w:hAnsi="宋体" w:cs="宋体" w:eastAsia="宋体" w:hint="default"/>
                            <w:sz w:val="18"/>
                            <w:szCs w:val="18"/>
                          </w:rPr>
                          <w:t>高管任职期间每 年年初解禁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陶黎明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8"/>
                          <w:jc w:val="left"/>
                          <w:rPr>
                            <w:rFonts w:ascii="Times New Roman" w:hAnsi="Times New Roman" w:cs="Times New Roman" w:eastAsia="Times New Roman" w:hint="default"/>
                            <w:sz w:val="18"/>
                            <w:szCs w:val="18"/>
                          </w:rPr>
                        </w:pPr>
                        <w:r>
                          <w:rPr>
                            <w:rFonts w:ascii="宋体" w:hAnsi="宋体" w:cs="宋体" w:eastAsia="宋体" w:hint="default"/>
                            <w:sz w:val="18"/>
                            <w:szCs w:val="18"/>
                          </w:rPr>
                          <w:t>高管任职期间每 年年初解禁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215,550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215,550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孙国财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135,000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135,000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222,984,402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50,010,553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172,973,849</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
              </w:txbxContent>
            </v:textbox>
            <w10:wrap type="none"/>
          </v:shape>
        </w:pict>
      </w:r>
      <w:r>
        <w:rPr/>
        <w:t>；</w:t>
      </w:r>
    </w:p>
    <w:p>
      <w:pPr>
        <w:spacing w:line="240" w:lineRule="auto" w:before="4"/>
        <w:rPr>
          <w:rFonts w:ascii="宋体" w:hAnsi="宋体" w:cs="宋体" w:eastAsia="宋体" w:hint="default"/>
          <w:sz w:val="26"/>
          <w:szCs w:val="26"/>
        </w:rPr>
      </w:pPr>
    </w:p>
    <w:p>
      <w:pPr>
        <w:pStyle w:val="BodyText"/>
        <w:spacing w:line="240" w:lineRule="auto"/>
        <w:ind w:left="7524" w:right="1136"/>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8"/>
          <w:szCs w:val="28"/>
        </w:rPr>
      </w:pPr>
    </w:p>
    <w:p>
      <w:pPr>
        <w:pStyle w:val="Heading2"/>
        <w:spacing w:line="240" w:lineRule="auto" w:before="26"/>
        <w:ind w:right="0"/>
        <w:jc w:val="both"/>
        <w:rPr>
          <w:b w:val="0"/>
          <w:bCs w:val="0"/>
        </w:rPr>
      </w:pPr>
      <w:bookmarkStart w:name="二、证券发行与上市情况" w:id="114"/>
      <w:bookmarkEnd w:id="114"/>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1、报告期内证券发行（不含优先股）情况" w:id="115"/>
      <w:bookmarkEnd w:id="115"/>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both"/>
        <w:rPr>
          <w:b w:val="0"/>
          <w:bCs w:val="0"/>
        </w:rPr>
      </w:pPr>
      <w:bookmarkStart w:name="2、公司股份总数及股东结构的变动、公司资产和负债结构的变动情况说明" w:id="116"/>
      <w:bookmarkEnd w:id="116"/>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left="444" w:right="1118" w:hanging="2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1"/>
        </w:rPr>
        <w:t>根据《深圳证券交易所上市公司以集中竞价方式回购股份业务指引》、《关于上市公司以集中竞价交易方式回购股份的</w:t>
      </w:r>
    </w:p>
    <w:p>
      <w:pPr>
        <w:pStyle w:val="BodyText"/>
        <w:spacing w:line="309" w:lineRule="auto" w:before="1"/>
        <w:ind w:right="1132"/>
        <w:jc w:val="both"/>
      </w:pPr>
      <w:r>
        <w:rPr>
          <w:spacing w:val="-2"/>
        </w:rPr>
        <w:t>补充规定》等相关规定，公司分别于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5</w:t>
      </w:r>
      <w:r>
        <w:rPr>
          <w:spacing w:val="-2"/>
        </w:rPr>
        <w:t>日召开的第七届董事会第十三次会议、</w:t>
      </w:r>
      <w:r>
        <w:rPr>
          <w:rFonts w:ascii="Times New Roman" w:hAnsi="Times New Roman" w:cs="Times New Roman" w:eastAsia="Times New Roman" w:hint="default"/>
          <w:spacing w:val="-2"/>
        </w:rPr>
        <w:t>2018</w:t>
      </w:r>
      <w:r>
        <w:rPr>
          <w:rFonts w:ascii="Times New Roman" w:hAnsi="Times New Roman" w:cs="Times New Roman" w:eastAsia="Times New Roman" w:hint="default"/>
          <w:spacing w:val="17"/>
        </w:rPr>
        <w:t> </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23</w:t>
      </w:r>
      <w:r>
        <w:rPr>
          <w:spacing w:val="-1"/>
        </w:rPr>
        <w:t>日召开的</w:t>
      </w:r>
      <w:r>
        <w:rPr>
          <w:rFonts w:ascii="Times New Roman" w:hAnsi="Times New Roman" w:cs="Times New Roman" w:eastAsia="Times New Roman" w:hint="default"/>
          <w:spacing w:val="-1"/>
        </w:rPr>
        <w:t>2018</w:t>
      </w:r>
      <w:r>
        <w:rPr>
          <w:spacing w:val="-1"/>
        </w:rPr>
        <w:t>年第一次</w:t>
      </w:r>
      <w:r>
        <w:rPr>
          <w:spacing w:val="-86"/>
        </w:rPr>
        <w:t> </w:t>
      </w:r>
      <w:r>
        <w:rPr>
          <w:spacing w:val="-2"/>
        </w:rPr>
        <w:t>临时股东大会审议通过了《关于以集中竞价交易方式回购公司股份的议案》等议案，同意公司使用自有资金以集中竞价交易</w:t>
      </w:r>
      <w:r>
        <w:rPr>
          <w:spacing w:val="-66"/>
        </w:rPr>
        <w:t> </w:t>
      </w:r>
      <w:r>
        <w:rPr>
          <w:spacing w:val="-66"/>
        </w:rPr>
      </w:r>
      <w:r>
        <w:rPr/>
        <w:t>的方式回购公司股份，直接用作注销并减少注册资本，回购资金总额不低于人民币</w:t>
      </w:r>
      <w:r>
        <w:rPr>
          <w:rFonts w:ascii="Times New Roman" w:hAnsi="Times New Roman" w:cs="Times New Roman" w:eastAsia="Times New Roman" w:hint="default"/>
        </w:rPr>
        <w:t>9000</w:t>
      </w:r>
      <w:r>
        <w:rPr/>
        <w:t>万元、不超过人民币</w:t>
      </w:r>
      <w:r>
        <w:rPr>
          <w:rFonts w:ascii="Times New Roman" w:hAnsi="Times New Roman" w:cs="Times New Roman" w:eastAsia="Times New Roman" w:hint="default"/>
        </w:rPr>
        <w:t>1</w:t>
      </w:r>
      <w:r>
        <w:rPr/>
        <w:t>亿元，回购价</w:t>
      </w:r>
    </w:p>
    <w:p>
      <w:pPr>
        <w:spacing w:after="0" w:line="309"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ind w:right="1131"/>
        <w:jc w:val="both"/>
      </w:pPr>
      <w:r>
        <w:rPr/>
        <w:t>格不超过人民币</w:t>
      </w:r>
      <w:r>
        <w:rPr>
          <w:rFonts w:ascii="Times New Roman" w:hAnsi="Times New Roman" w:cs="Times New Roman" w:eastAsia="Times New Roman" w:hint="default"/>
        </w:rPr>
        <w:t>10</w:t>
      </w:r>
      <w:r>
        <w:rPr/>
        <w:t>元</w:t>
      </w:r>
      <w:r>
        <w:rPr>
          <w:rFonts w:ascii="Times New Roman" w:hAnsi="Times New Roman" w:cs="Times New Roman" w:eastAsia="Times New Roman" w:hint="default"/>
        </w:rPr>
        <w:t>/</w:t>
      </w:r>
      <w:r>
        <w:rPr/>
        <w:t>股，回购股</w:t>
      </w:r>
      <w:r>
        <w:rPr>
          <w:spacing w:val="-42"/>
        </w:rPr>
        <w:t> </w:t>
      </w:r>
      <w:r>
        <w:rPr/>
        <w:t>份的实施期限为自股东大会审议通过回购股份方案之日起不超过六个月（即本次回购股份</w:t>
      </w:r>
      <w:r>
        <w:rPr/>
        <w:t> 的实施期限为：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 </w:t>
      </w:r>
      <w:r>
        <w:rPr>
          <w:rFonts w:ascii="Times New Roman" w:hAnsi="Times New Roman" w:cs="Times New Roman" w:eastAsia="Times New Roman" w:hint="default"/>
        </w:rPr>
        <w:t>24</w:t>
      </w:r>
      <w:r>
        <w:rPr>
          <w:rFonts w:ascii="Times New Roman" w:hAnsi="Times New Roman" w:cs="Times New Roman" w:eastAsia="Times New Roman" w:hint="default"/>
          <w:spacing w:val="8"/>
        </w:rPr>
        <w:t> </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23</w:t>
      </w:r>
      <w:r>
        <w:rPr/>
        <w:t>日。截止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14</w:t>
      </w:r>
      <w:r>
        <w:rPr/>
        <w:t>日，公司股份回购已实施完毕。经中国证券登记结算 有限责任公司深圳分公司审核确认，公司本次回购股份注销事宜已于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9</w:t>
      </w:r>
      <w:r>
        <w:rPr/>
        <w:t>日办理完成，公司总股本由</w:t>
      </w:r>
      <w:r>
        <w:rPr>
          <w:rFonts w:ascii="Times New Roman" w:hAnsi="Times New Roman" w:cs="Times New Roman" w:eastAsia="Times New Roman" w:hint="default"/>
        </w:rPr>
        <w:t>703,960,660</w:t>
      </w:r>
      <w:r>
        <w:rPr/>
        <w:t>股 减少至</w:t>
      </w:r>
      <w:r>
        <w:rPr>
          <w:rFonts w:ascii="Times New Roman" w:hAnsi="Times New Roman" w:cs="Times New Roman" w:eastAsia="Times New Roman" w:hint="default"/>
        </w:rPr>
        <w:t>691,505,915</w:t>
      </w:r>
      <w:r>
        <w:rPr/>
        <w:t>股。</w:t>
      </w:r>
    </w:p>
    <w:p>
      <w:pPr>
        <w:spacing w:line="240" w:lineRule="auto" w:before="1"/>
        <w:rPr>
          <w:rFonts w:ascii="宋体" w:hAnsi="宋体" w:cs="宋体" w:eastAsia="宋体" w:hint="default"/>
          <w:sz w:val="22"/>
          <w:szCs w:val="22"/>
        </w:rPr>
      </w:pPr>
    </w:p>
    <w:p>
      <w:pPr>
        <w:pStyle w:val="Heading4"/>
        <w:spacing w:line="240" w:lineRule="auto"/>
        <w:ind w:right="0"/>
        <w:jc w:val="both"/>
        <w:rPr>
          <w:b w:val="0"/>
          <w:bCs w:val="0"/>
        </w:rPr>
      </w:pPr>
      <w:bookmarkStart w:name="3、现存的内部职工股情况" w:id="117"/>
      <w:bookmarkEnd w:id="117"/>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bookmarkStart w:name="三、股东和实际控制人情况" w:id="118"/>
      <w:bookmarkEnd w:id="118"/>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both"/>
        <w:rPr>
          <w:b w:val="0"/>
          <w:bCs w:val="0"/>
        </w:rPr>
      </w:pPr>
      <w:bookmarkStart w:name="1、公司股东数量及持股情况" w:id="119"/>
      <w:bookmarkEnd w:id="119"/>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7524" w:right="1130"/>
        <w:jc w:val="right"/>
      </w:pPr>
      <w:r>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6"/>
        <w:gridCol w:w="274"/>
        <w:gridCol w:w="934"/>
        <w:gridCol w:w="478"/>
        <w:gridCol w:w="695"/>
        <w:gridCol w:w="93"/>
        <w:gridCol w:w="786"/>
        <w:gridCol w:w="339"/>
        <w:gridCol w:w="449"/>
        <w:gridCol w:w="755"/>
        <w:gridCol w:w="872"/>
        <w:gridCol w:w="317"/>
        <w:gridCol w:w="1033"/>
        <w:gridCol w:w="140"/>
        <w:gridCol w:w="1207"/>
      </w:tblGrid>
      <w:tr>
        <w:trPr>
          <w:trHeight w:val="161"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208" w:type="dxa"/>
            <w:gridSpan w:val="2"/>
            <w:vMerge w:val="restart"/>
            <w:tcBorders>
              <w:top w:val="single" w:sz="4" w:space="0" w:color="000000"/>
              <w:left w:val="single" w:sz="10"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61" w:right="0"/>
              <w:jc w:val="left"/>
              <w:rPr>
                <w:rFonts w:ascii="Times New Roman" w:hAnsi="Times New Roman" w:cs="Times New Roman" w:eastAsia="Times New Roman" w:hint="default"/>
                <w:sz w:val="18"/>
                <w:szCs w:val="18"/>
              </w:rPr>
            </w:pPr>
            <w:r>
              <w:rPr>
                <w:rFonts w:ascii="Times New Roman"/>
                <w:sz w:val="18"/>
              </w:rPr>
              <w:t>44,705</w:t>
            </w:r>
          </w:p>
        </w:tc>
        <w:tc>
          <w:tcPr>
            <w:tcW w:w="1174" w:type="dxa"/>
            <w:gridSpan w:val="2"/>
            <w:vMerge w:val="restart"/>
            <w:tcBorders>
              <w:top w:val="single" w:sz="4" w:space="0" w:color="000000"/>
              <w:left w:val="single" w:sz="4" w:space="0" w:color="000000"/>
              <w:right w:val="single" w:sz="4" w:space="0" w:color="000000"/>
            </w:tcBorders>
            <w:shd w:val="clear" w:color="auto" w:fill="D2D2D2"/>
          </w:tcPr>
          <w:p>
            <w:pPr/>
          </w:p>
        </w:tc>
        <w:tc>
          <w:tcPr>
            <w:tcW w:w="1218" w:type="dxa"/>
            <w:gridSpan w:val="3"/>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72" w:right="0"/>
              <w:jc w:val="left"/>
              <w:rPr>
                <w:rFonts w:ascii="Times New Roman" w:hAnsi="Times New Roman" w:cs="Times New Roman" w:eastAsia="Times New Roman" w:hint="default"/>
                <w:sz w:val="18"/>
                <w:szCs w:val="18"/>
              </w:rPr>
            </w:pPr>
            <w:r>
              <w:rPr>
                <w:rFonts w:ascii="Times New Roman"/>
                <w:sz w:val="18"/>
              </w:rPr>
              <w:t>47,442</w:t>
            </w:r>
          </w:p>
        </w:tc>
        <w:tc>
          <w:tcPr>
            <w:tcW w:w="120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88"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0</w:t>
            </w:r>
          </w:p>
        </w:tc>
        <w:tc>
          <w:tcPr>
            <w:tcW w:w="117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 w:right="8"/>
              <w:jc w:val="left"/>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18"/>
                <w:sz w:val="18"/>
                <w:szCs w:val="18"/>
              </w:rPr>
              <w:t>数（如有）（参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07" w:type="dxa"/>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bottom w:val="nil" w:sz="6" w:space="0" w:color="auto"/>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01"/>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p>
            <w:pPr>
              <w:pStyle w:val="TableParagraph"/>
              <w:spacing w:line="319" w:lineRule="auto" w:before="19"/>
              <w:ind w:left="11" w:right="41"/>
              <w:jc w:val="both"/>
              <w:rPr>
                <w:rFonts w:ascii="宋体" w:hAnsi="宋体" w:cs="宋体" w:eastAsia="宋体" w:hint="default"/>
                <w:sz w:val="18"/>
                <w:szCs w:val="18"/>
              </w:rPr>
            </w:pPr>
            <w:r>
              <w:rPr>
                <w:rFonts w:ascii="宋体" w:hAnsi="宋体" w:cs="宋体" w:eastAsia="宋体" w:hint="default"/>
                <w:spacing w:val="-18"/>
                <w:sz w:val="18"/>
                <w:szCs w:val="18"/>
              </w:rPr>
              <w:t>（如有）（参见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88"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312"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70"/>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8"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704" w:hRule="exact"/>
        </w:trPr>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8"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312"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bottom w:val="nil" w:sz="6" w:space="0" w:color="auto"/>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8"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val="restart"/>
            <w:tcBorders>
              <w:top w:val="nil" w:sz="6" w:space="0" w:color="auto"/>
              <w:left w:val="single" w:sz="4" w:space="0" w:color="000000"/>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bottom w:val="nil" w:sz="6" w:space="0" w:color="auto"/>
              <w:right w:val="single" w:sz="4" w:space="0" w:color="000000"/>
            </w:tcBorders>
            <w:shd w:val="clear" w:color="auto" w:fill="D2D2D2"/>
          </w:tcPr>
          <w:p>
            <w:pPr/>
          </w:p>
        </w:tc>
        <w:tc>
          <w:tcPr>
            <w:tcW w:w="1188"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166"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208" w:type="dxa"/>
            <w:gridSpan w:val="2"/>
            <w:vMerge/>
            <w:tcBorders>
              <w:left w:val="single" w:sz="10" w:space="0" w:color="D2D2D2"/>
              <w:bottom w:val="single" w:sz="4" w:space="0" w:color="000000"/>
              <w:right w:val="single" w:sz="9" w:space="0" w:color="D2D2D2"/>
            </w:tcBorders>
          </w:tcPr>
          <w:p>
            <w:pPr/>
          </w:p>
        </w:tc>
        <w:tc>
          <w:tcPr>
            <w:tcW w:w="1174" w:type="dxa"/>
            <w:gridSpan w:val="2"/>
            <w:vMerge/>
            <w:tcBorders>
              <w:left w:val="single" w:sz="4" w:space="0" w:color="000000"/>
              <w:bottom w:val="single" w:sz="4" w:space="0" w:color="000000"/>
              <w:right w:val="single" w:sz="4" w:space="0" w:color="000000"/>
            </w:tcBorders>
            <w:shd w:val="clear" w:color="auto" w:fill="D2D2D2"/>
          </w:tcPr>
          <w:p>
            <w:pPr/>
          </w:p>
        </w:tc>
        <w:tc>
          <w:tcPr>
            <w:tcW w:w="1218" w:type="dxa"/>
            <w:gridSpan w:val="3"/>
            <w:vMerge/>
            <w:tcBorders>
              <w:left w:val="single" w:sz="9" w:space="0" w:color="D2D2D2"/>
              <w:bottom w:val="single" w:sz="4" w:space="0" w:color="000000"/>
              <w:right w:val="single" w:sz="9" w:space="0" w:color="D2D2D2"/>
            </w:tcBorders>
          </w:tcPr>
          <w:p>
            <w:pPr/>
          </w:p>
        </w:tc>
        <w:tc>
          <w:tcPr>
            <w:tcW w:w="120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88" w:type="dxa"/>
            <w:gridSpan w:val="2"/>
            <w:vMerge/>
            <w:tcBorders>
              <w:left w:val="single" w:sz="9" w:space="0" w:color="D2D2D2"/>
              <w:bottom w:val="single" w:sz="4" w:space="0" w:color="000000"/>
              <w:right w:val="single" w:sz="9" w:space="0" w:color="D2D2D2"/>
            </w:tcBorders>
          </w:tcPr>
          <w:p>
            <w:pPr/>
          </w:p>
        </w:tc>
        <w:tc>
          <w:tcPr>
            <w:tcW w:w="1173" w:type="dxa"/>
            <w:gridSpan w:val="2"/>
            <w:vMerge/>
            <w:tcBorders>
              <w:left w:val="single" w:sz="4" w:space="0" w:color="000000"/>
              <w:bottom w:val="single" w:sz="4" w:space="0" w:color="000000"/>
              <w:right w:val="single" w:sz="4" w:space="0" w:color="000000"/>
            </w:tcBorders>
            <w:shd w:val="clear" w:color="auto" w:fill="D2D2D2"/>
          </w:tcPr>
          <w:p>
            <w:pPr/>
          </w:p>
        </w:tc>
        <w:tc>
          <w:tcPr>
            <w:tcW w:w="1207" w:type="dxa"/>
            <w:vMerge/>
            <w:tcBorders>
              <w:left w:val="single" w:sz="13" w:space="0" w:color="D2D2D2"/>
              <w:bottom w:val="single" w:sz="4" w:space="0" w:color="000000"/>
              <w:right w:val="single" w:sz="4" w:space="0" w:color="000000"/>
            </w:tcBorders>
          </w:tcPr>
          <w:p>
            <w:pPr/>
          </w:p>
        </w:tc>
      </w:tr>
      <w:tr>
        <w:trPr>
          <w:trHeight w:val="392" w:hRule="exact"/>
        </w:trPr>
        <w:tc>
          <w:tcPr>
            <w:tcW w:w="9569"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
        </w:tc>
        <w:tc>
          <w:tcPr>
            <w:tcW w:w="786" w:type="dxa"/>
            <w:tcBorders>
              <w:top w:val="single" w:sz="4" w:space="0" w:color="000000"/>
              <w:left w:val="single" w:sz="4" w:space="0" w:color="000000"/>
              <w:bottom w:val="nil" w:sz="6" w:space="0" w:color="auto"/>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75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27" w:right="-2"/>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7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85" w:right="54"/>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7"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13"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bottom w:val="nil" w:sz="6" w:space="0" w:color="auto"/>
              <w:right w:val="single" w:sz="4" w:space="0" w:color="000000"/>
            </w:tcBorders>
            <w:shd w:val="clear" w:color="auto" w:fill="D2D2D2"/>
          </w:tcPr>
          <w:p>
            <w:pPr/>
          </w:p>
        </w:tc>
        <w:tc>
          <w:tcPr>
            <w:tcW w:w="7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7" w:right="26"/>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2697" w:type="dxa"/>
            <w:gridSpan w:val="4"/>
            <w:vMerge/>
            <w:tcBorders>
              <w:left w:val="single" w:sz="4" w:space="0" w:color="000000"/>
              <w:right w:val="single" w:sz="4" w:space="0" w:color="000000"/>
            </w:tcBorders>
            <w:shd w:val="clear" w:color="auto" w:fill="D2D2D2"/>
          </w:tcPr>
          <w:p>
            <w:pPr/>
          </w:p>
        </w:tc>
      </w:tr>
      <w:tr>
        <w:trPr>
          <w:trHeight w:val="140"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8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786"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2697" w:type="dxa"/>
            <w:gridSpan w:val="4"/>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bottom w:val="nil" w:sz="6" w:space="0" w:color="auto"/>
              <w:right w:val="single" w:sz="4" w:space="0" w:color="000000"/>
            </w:tcBorders>
            <w:shd w:val="clear" w:color="auto" w:fill="D2D2D2"/>
          </w:tcPr>
          <w:p>
            <w:pPr/>
          </w:p>
        </w:tc>
        <w:tc>
          <w:tcPr>
            <w:tcW w:w="786"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left="30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12" w:type="dxa"/>
            <w:gridSpan w:val="2"/>
            <w:vMerge w:val="restart"/>
            <w:tcBorders>
              <w:top w:val="nil" w:sz="6" w:space="0" w:color="auto"/>
              <w:left w:val="single" w:sz="4" w:space="0" w:color="000000"/>
              <w:right w:val="single" w:sz="4" w:space="0" w:color="000000"/>
            </w:tcBorders>
            <w:shd w:val="clear" w:color="auto" w:fill="D2D2D2"/>
          </w:tcPr>
          <w:p>
            <w:pPr/>
          </w:p>
        </w:tc>
        <w:tc>
          <w:tcPr>
            <w:tcW w:w="788" w:type="dxa"/>
            <w:gridSpan w:val="2"/>
            <w:vMerge w:val="restart"/>
            <w:tcBorders>
              <w:top w:val="nil" w:sz="6" w:space="0" w:color="auto"/>
              <w:left w:val="single" w:sz="4" w:space="0" w:color="000000"/>
              <w:right w:val="single" w:sz="4" w:space="0" w:color="000000"/>
            </w:tcBorders>
            <w:shd w:val="clear" w:color="auto" w:fill="D2D2D2"/>
          </w:tcPr>
          <w:p>
            <w:pPr/>
          </w:p>
        </w:tc>
        <w:tc>
          <w:tcPr>
            <w:tcW w:w="786" w:type="dxa"/>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right w:val="single" w:sz="4" w:space="0" w:color="000000"/>
            </w:tcBorders>
            <w:shd w:val="clear" w:color="auto" w:fill="D2D2D2"/>
          </w:tcPr>
          <w:p>
            <w:pPr/>
          </w:p>
        </w:tc>
        <w:tc>
          <w:tcPr>
            <w:tcW w:w="1348" w:type="dxa"/>
            <w:gridSpan w:val="2"/>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786" w:type="dxa"/>
            <w:tcBorders>
              <w:top w:val="nil" w:sz="6" w:space="0" w:color="auto"/>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755" w:type="dxa"/>
            <w:vMerge/>
            <w:tcBorders>
              <w:left w:val="single" w:sz="4" w:space="0" w:color="000000"/>
              <w:bottom w:val="single" w:sz="4" w:space="0" w:color="000000"/>
              <w:right w:val="single" w:sz="4" w:space="0" w:color="000000"/>
            </w:tcBorders>
            <w:shd w:val="clear" w:color="auto" w:fill="D2D2D2"/>
          </w:tcPr>
          <w:p>
            <w:pPr/>
          </w:p>
        </w:tc>
        <w:tc>
          <w:tcPr>
            <w:tcW w:w="872" w:type="dxa"/>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48" w:type="dxa"/>
            <w:gridSpan w:val="2"/>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469" w:type="dxa"/>
            <w:gridSpan w:val="2"/>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瞿洪桂</w:t>
            </w:r>
          </w:p>
        </w:tc>
        <w:tc>
          <w:tcPr>
            <w:tcW w:w="1412" w:type="dxa"/>
            <w:gridSpan w:val="2"/>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200" w:right="0"/>
              <w:jc w:val="left"/>
              <w:rPr>
                <w:rFonts w:ascii="Times New Roman" w:hAnsi="Times New Roman" w:cs="Times New Roman" w:eastAsia="Times New Roman" w:hint="default"/>
                <w:sz w:val="18"/>
                <w:szCs w:val="18"/>
              </w:rPr>
            </w:pPr>
            <w:r>
              <w:rPr>
                <w:rFonts w:ascii="Times New Roman"/>
                <w:sz w:val="18"/>
              </w:rPr>
              <w:t>18.42%</w:t>
            </w:r>
          </w:p>
        </w:tc>
        <w:tc>
          <w:tcPr>
            <w:tcW w:w="786" w:type="dxa"/>
            <w:vMerge w:val="restart"/>
            <w:tcBorders>
              <w:top w:val="single" w:sz="4" w:space="0" w:color="000000"/>
              <w:left w:val="single" w:sz="4" w:space="0" w:color="000000"/>
              <w:right w:val="single" w:sz="4" w:space="0" w:color="000000"/>
            </w:tcBorders>
          </w:tcPr>
          <w:p>
            <w:pPr>
              <w:pStyle w:val="TableParagraph"/>
              <w:spacing w:line="240" w:lineRule="auto" w:before="135"/>
              <w:ind w:right="21"/>
              <w:jc w:val="right"/>
              <w:rPr>
                <w:rFonts w:ascii="Times New Roman" w:hAnsi="Times New Roman" w:cs="Times New Roman" w:eastAsia="Times New Roman" w:hint="default"/>
                <w:sz w:val="18"/>
                <w:szCs w:val="18"/>
              </w:rPr>
            </w:pPr>
            <w:r>
              <w:rPr>
                <w:rFonts w:ascii="Times New Roman"/>
                <w:sz w:val="18"/>
              </w:rPr>
              <w:t>127,394,3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24</w:t>
            </w:r>
          </w:p>
        </w:tc>
        <w:tc>
          <w:tcPr>
            <w:tcW w:w="788" w:type="dxa"/>
            <w:gridSpan w:val="2"/>
            <w:vMerge w:val="restart"/>
            <w:tcBorders>
              <w:top w:val="single" w:sz="4" w:space="0" w:color="000000"/>
              <w:left w:val="single" w:sz="4" w:space="0" w:color="000000"/>
              <w:right w:val="single" w:sz="4" w:space="0" w:color="000000"/>
            </w:tcBorders>
          </w:tcPr>
          <w:p>
            <w:pPr/>
          </w:p>
        </w:tc>
        <w:tc>
          <w:tcPr>
            <w:tcW w:w="755" w:type="dxa"/>
            <w:vMerge w:val="restart"/>
            <w:tcBorders>
              <w:top w:val="single" w:sz="4" w:space="0" w:color="000000"/>
              <w:left w:val="single" w:sz="4" w:space="0" w:color="000000"/>
              <w:right w:val="single" w:sz="4" w:space="0" w:color="000000"/>
            </w:tcBorders>
          </w:tcPr>
          <w:p>
            <w:pPr>
              <w:pStyle w:val="TableParagraph"/>
              <w:spacing w:line="240" w:lineRule="auto" w:before="135"/>
              <w:ind w:right="-9"/>
              <w:jc w:val="right"/>
              <w:rPr>
                <w:rFonts w:ascii="Times New Roman" w:hAnsi="Times New Roman" w:cs="Times New Roman" w:eastAsia="Times New Roman" w:hint="default"/>
                <w:sz w:val="18"/>
                <w:szCs w:val="18"/>
              </w:rPr>
            </w:pPr>
            <w:r>
              <w:rPr>
                <w:rFonts w:ascii="Times New Roman"/>
                <w:sz w:val="18"/>
              </w:rPr>
              <w:t>95,545,74</w:t>
            </w:r>
          </w:p>
          <w:p>
            <w:pPr>
              <w:pStyle w:val="TableParagraph"/>
              <w:spacing w:line="240" w:lineRule="auto" w:before="106"/>
              <w:ind w:right="-8"/>
              <w:jc w:val="right"/>
              <w:rPr>
                <w:rFonts w:ascii="Times New Roman" w:hAnsi="Times New Roman" w:cs="Times New Roman" w:eastAsia="Times New Roman" w:hint="default"/>
                <w:sz w:val="18"/>
                <w:szCs w:val="18"/>
              </w:rPr>
            </w:pPr>
            <w:r>
              <w:rPr>
                <w:rFonts w:ascii="Times New Roman"/>
                <w:sz w:val="18"/>
              </w:rPr>
              <w:t>3</w:t>
            </w:r>
          </w:p>
        </w:tc>
        <w:tc>
          <w:tcPr>
            <w:tcW w:w="872" w:type="dxa"/>
            <w:vMerge w:val="restart"/>
            <w:tcBorders>
              <w:top w:val="single" w:sz="4" w:space="0" w:color="000000"/>
              <w:left w:val="single" w:sz="4" w:space="0" w:color="000000"/>
              <w:right w:val="single" w:sz="4" w:space="0" w:color="000000"/>
            </w:tcBorders>
          </w:tcPr>
          <w:p>
            <w:pPr>
              <w:pStyle w:val="TableParagraph"/>
              <w:spacing w:line="240" w:lineRule="auto" w:before="135"/>
              <w:ind w:right="21"/>
              <w:jc w:val="right"/>
              <w:rPr>
                <w:rFonts w:ascii="Times New Roman" w:hAnsi="Times New Roman" w:cs="Times New Roman" w:eastAsia="Times New Roman" w:hint="default"/>
                <w:sz w:val="18"/>
                <w:szCs w:val="18"/>
              </w:rPr>
            </w:pPr>
            <w:r>
              <w:rPr>
                <w:rFonts w:ascii="Times New Roman"/>
                <w:sz w:val="18"/>
              </w:rPr>
              <w:t>31,848,58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1349" w:type="dxa"/>
            <w:gridSpan w:val="2"/>
            <w:tcBorders>
              <w:top w:val="single" w:sz="48" w:space="0" w:color="D2D2D2"/>
              <w:left w:val="single" w:sz="4" w:space="0" w:color="000000"/>
              <w:bottom w:val="single" w:sz="4" w:space="0" w:color="000000"/>
              <w:right w:val="single" w:sz="4" w:space="0" w:color="000000"/>
            </w:tcBorders>
          </w:tcPr>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8" w:space="0" w:color="D2D2D2"/>
              <w:left w:val="single" w:sz="4" w:space="0" w:color="000000"/>
              <w:bottom w:val="single" w:sz="4" w:space="0" w:color="000000"/>
              <w:right w:val="single" w:sz="4" w:space="0" w:color="000000"/>
            </w:tcBorders>
          </w:tcPr>
          <w:p>
            <w:pPr>
              <w:pStyle w:val="TableParagraph"/>
              <w:spacing w:line="240" w:lineRule="auto" w:before="35"/>
              <w:ind w:left="505" w:right="0"/>
              <w:jc w:val="left"/>
              <w:rPr>
                <w:rFonts w:ascii="Times New Roman" w:hAnsi="Times New Roman" w:cs="Times New Roman" w:eastAsia="Times New Roman" w:hint="default"/>
                <w:sz w:val="18"/>
                <w:szCs w:val="18"/>
              </w:rPr>
            </w:pPr>
            <w:r>
              <w:rPr>
                <w:rFonts w:ascii="Times New Roman"/>
                <w:sz w:val="18"/>
              </w:rPr>
              <w:t>74,375,198</w:t>
            </w:r>
          </w:p>
        </w:tc>
      </w:tr>
      <w:tr>
        <w:trPr>
          <w:trHeight w:val="402" w:hRule="exact"/>
        </w:trPr>
        <w:tc>
          <w:tcPr>
            <w:tcW w:w="1469" w:type="dxa"/>
            <w:gridSpan w:val="2"/>
            <w:vMerge/>
            <w:tcBorders>
              <w:left w:val="single" w:sz="4" w:space="0" w:color="000000"/>
              <w:bottom w:val="single" w:sz="4" w:space="0" w:color="000000"/>
              <w:right w:val="single" w:sz="4" w:space="0" w:color="000000"/>
            </w:tcBorders>
          </w:tcPr>
          <w:p>
            <w:pPr/>
          </w:p>
        </w:tc>
        <w:tc>
          <w:tcPr>
            <w:tcW w:w="1412" w:type="dxa"/>
            <w:gridSpan w:val="2"/>
            <w:vMerge/>
            <w:tcBorders>
              <w:left w:val="single" w:sz="4" w:space="0" w:color="000000"/>
              <w:bottom w:val="single" w:sz="4" w:space="0" w:color="000000"/>
              <w:right w:val="single" w:sz="4" w:space="0" w:color="000000"/>
            </w:tcBorders>
          </w:tcPr>
          <w:p>
            <w:pPr/>
          </w:p>
        </w:tc>
        <w:tc>
          <w:tcPr>
            <w:tcW w:w="788" w:type="dxa"/>
            <w:gridSpan w:val="2"/>
            <w:vMerge/>
            <w:tcBorders>
              <w:left w:val="single" w:sz="4" w:space="0" w:color="000000"/>
              <w:bottom w:val="single" w:sz="4" w:space="0" w:color="000000"/>
              <w:right w:val="single" w:sz="4" w:space="0" w:color="000000"/>
            </w:tcBorders>
          </w:tcPr>
          <w:p>
            <w:pPr/>
          </w:p>
        </w:tc>
        <w:tc>
          <w:tcPr>
            <w:tcW w:w="786" w:type="dxa"/>
            <w:vMerge/>
            <w:tcBorders>
              <w:left w:val="single" w:sz="4" w:space="0" w:color="000000"/>
              <w:bottom w:val="single" w:sz="4" w:space="0" w:color="000000"/>
              <w:right w:val="single" w:sz="4" w:space="0" w:color="000000"/>
            </w:tcBorders>
          </w:tcPr>
          <w:p>
            <w:pPr/>
          </w:p>
        </w:tc>
        <w:tc>
          <w:tcPr>
            <w:tcW w:w="788" w:type="dxa"/>
            <w:gridSpan w:val="2"/>
            <w:vMerge/>
            <w:tcBorders>
              <w:left w:val="single" w:sz="4" w:space="0" w:color="000000"/>
              <w:bottom w:val="single" w:sz="4" w:space="0" w:color="000000"/>
              <w:right w:val="single" w:sz="4" w:space="0" w:color="000000"/>
            </w:tcBorders>
          </w:tcPr>
          <w:p>
            <w:pPr/>
          </w:p>
        </w:tc>
        <w:tc>
          <w:tcPr>
            <w:tcW w:w="755" w:type="dxa"/>
            <w:vMerge/>
            <w:tcBorders>
              <w:left w:val="single" w:sz="4" w:space="0" w:color="000000"/>
              <w:bottom w:val="single" w:sz="4" w:space="0" w:color="000000"/>
              <w:right w:val="single" w:sz="4" w:space="0" w:color="000000"/>
            </w:tcBorders>
          </w:tcPr>
          <w:p>
            <w:pPr/>
          </w:p>
        </w:tc>
        <w:tc>
          <w:tcPr>
            <w:tcW w:w="872" w:type="dxa"/>
            <w:vMerge/>
            <w:tcBorders>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5" w:right="0"/>
              <w:jc w:val="left"/>
              <w:rPr>
                <w:rFonts w:ascii="Times New Roman" w:hAnsi="Times New Roman" w:cs="Times New Roman" w:eastAsia="Times New Roman" w:hint="default"/>
                <w:sz w:val="18"/>
                <w:szCs w:val="18"/>
              </w:rPr>
            </w:pPr>
            <w:r>
              <w:rPr>
                <w:rFonts w:ascii="Times New Roman"/>
                <w:sz w:val="18"/>
              </w:rPr>
              <w:t>17,700,000</w:t>
            </w:r>
          </w:p>
        </w:tc>
      </w:tr>
      <w:tr>
        <w:trPr>
          <w:trHeight w:val="402" w:hRule="exact"/>
        </w:trPr>
        <w:tc>
          <w:tcPr>
            <w:tcW w:w="1469" w:type="dxa"/>
            <w:gridSpan w:val="2"/>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束龙胜</w:t>
            </w:r>
          </w:p>
        </w:tc>
        <w:tc>
          <w:tcPr>
            <w:tcW w:w="1412" w:type="dxa"/>
            <w:gridSpan w:val="2"/>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00" w:right="0"/>
              <w:jc w:val="left"/>
              <w:rPr>
                <w:rFonts w:ascii="Times New Roman" w:hAnsi="Times New Roman" w:cs="Times New Roman" w:eastAsia="Times New Roman" w:hint="default"/>
                <w:sz w:val="18"/>
                <w:szCs w:val="18"/>
              </w:rPr>
            </w:pPr>
            <w:r>
              <w:rPr>
                <w:rFonts w:ascii="Times New Roman"/>
                <w:sz w:val="18"/>
              </w:rPr>
              <w:t>12.96%</w:t>
            </w:r>
          </w:p>
        </w:tc>
        <w:tc>
          <w:tcPr>
            <w:tcW w:w="786"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89,628,72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88" w:type="dxa"/>
            <w:gridSpan w:val="2"/>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-13,080,0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755"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77,031,54</w:t>
            </w:r>
          </w:p>
          <w:p>
            <w:pPr>
              <w:pStyle w:val="TableParagraph"/>
              <w:spacing w:line="240" w:lineRule="auto" w:before="105"/>
              <w:ind w:right="-8"/>
              <w:jc w:val="right"/>
              <w:rPr>
                <w:rFonts w:ascii="Times New Roman" w:hAnsi="Times New Roman" w:cs="Times New Roman" w:eastAsia="Times New Roman" w:hint="default"/>
                <w:sz w:val="18"/>
                <w:szCs w:val="18"/>
              </w:rPr>
            </w:pPr>
            <w:r>
              <w:rPr>
                <w:rFonts w:ascii="Times New Roman"/>
                <w:sz w:val="18"/>
              </w:rPr>
              <w:t>4</w:t>
            </w:r>
          </w:p>
        </w:tc>
        <w:tc>
          <w:tcPr>
            <w:tcW w:w="872"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12,597,18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5" w:right="0"/>
              <w:jc w:val="left"/>
              <w:rPr>
                <w:rFonts w:ascii="Times New Roman" w:hAnsi="Times New Roman" w:cs="Times New Roman" w:eastAsia="Times New Roman" w:hint="default"/>
                <w:sz w:val="18"/>
                <w:szCs w:val="18"/>
              </w:rPr>
            </w:pPr>
            <w:r>
              <w:rPr>
                <w:rFonts w:ascii="Times New Roman"/>
                <w:sz w:val="18"/>
              </w:rPr>
              <w:t>13,969,999</w:t>
            </w:r>
          </w:p>
        </w:tc>
      </w:tr>
      <w:tr>
        <w:trPr>
          <w:trHeight w:val="402" w:hRule="exact"/>
        </w:trPr>
        <w:tc>
          <w:tcPr>
            <w:tcW w:w="1469" w:type="dxa"/>
            <w:gridSpan w:val="2"/>
            <w:vMerge/>
            <w:tcBorders>
              <w:left w:val="single" w:sz="4" w:space="0" w:color="000000"/>
              <w:right w:val="single" w:sz="4" w:space="0" w:color="000000"/>
            </w:tcBorders>
          </w:tcPr>
          <w:p>
            <w:pPr/>
          </w:p>
        </w:tc>
        <w:tc>
          <w:tcPr>
            <w:tcW w:w="1412" w:type="dxa"/>
            <w:gridSpan w:val="2"/>
            <w:vMerge/>
            <w:tcBorders>
              <w:left w:val="single" w:sz="4" w:space="0" w:color="000000"/>
              <w:right w:val="single" w:sz="4" w:space="0" w:color="000000"/>
            </w:tcBorders>
          </w:tcPr>
          <w:p>
            <w:pPr/>
          </w:p>
        </w:tc>
        <w:tc>
          <w:tcPr>
            <w:tcW w:w="788" w:type="dxa"/>
            <w:gridSpan w:val="2"/>
            <w:vMerge/>
            <w:tcBorders>
              <w:left w:val="single" w:sz="4" w:space="0" w:color="000000"/>
              <w:right w:val="single" w:sz="4" w:space="0" w:color="000000"/>
            </w:tcBorders>
          </w:tcPr>
          <w:p>
            <w:pPr/>
          </w:p>
        </w:tc>
        <w:tc>
          <w:tcPr>
            <w:tcW w:w="786" w:type="dxa"/>
            <w:vMerge/>
            <w:tcBorders>
              <w:left w:val="single" w:sz="4" w:space="0" w:color="000000"/>
              <w:right w:val="single" w:sz="4" w:space="0" w:color="000000"/>
            </w:tcBorders>
          </w:tcPr>
          <w:p>
            <w:pPr/>
          </w:p>
        </w:tc>
        <w:tc>
          <w:tcPr>
            <w:tcW w:w="788" w:type="dxa"/>
            <w:gridSpan w:val="2"/>
            <w:vMerge/>
            <w:tcBorders>
              <w:left w:val="single" w:sz="4" w:space="0" w:color="000000"/>
              <w:right w:val="single" w:sz="4" w:space="0" w:color="000000"/>
            </w:tcBorders>
          </w:tcPr>
          <w:p>
            <w:pPr/>
          </w:p>
        </w:tc>
        <w:tc>
          <w:tcPr>
            <w:tcW w:w="755" w:type="dxa"/>
            <w:vMerge/>
            <w:tcBorders>
              <w:left w:val="single" w:sz="4" w:space="0" w:color="000000"/>
              <w:right w:val="single" w:sz="4" w:space="0" w:color="000000"/>
            </w:tcBorders>
          </w:tcPr>
          <w:p>
            <w:pPr/>
          </w:p>
        </w:tc>
        <w:tc>
          <w:tcPr>
            <w:tcW w:w="872" w:type="dxa"/>
            <w:vMerge/>
            <w:tcBorders>
              <w:left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5" w:right="0"/>
              <w:jc w:val="left"/>
              <w:rPr>
                <w:rFonts w:ascii="Times New Roman" w:hAnsi="Times New Roman" w:cs="Times New Roman" w:eastAsia="Times New Roman" w:hint="default"/>
                <w:sz w:val="18"/>
                <w:szCs w:val="18"/>
              </w:rPr>
            </w:pPr>
            <w:r>
              <w:rPr>
                <w:rFonts w:ascii="Times New Roman"/>
                <w:sz w:val="18"/>
              </w:rPr>
              <w:t>16,160,000</w:t>
            </w:r>
          </w:p>
        </w:tc>
      </w:tr>
      <w:tr>
        <w:trPr>
          <w:trHeight w:val="402" w:hRule="exact"/>
        </w:trPr>
        <w:tc>
          <w:tcPr>
            <w:tcW w:w="1469" w:type="dxa"/>
            <w:gridSpan w:val="2"/>
            <w:vMerge/>
            <w:tcBorders>
              <w:left w:val="single" w:sz="4" w:space="0" w:color="000000"/>
              <w:bottom w:val="single" w:sz="4" w:space="0" w:color="000000"/>
              <w:right w:val="single" w:sz="4" w:space="0" w:color="000000"/>
            </w:tcBorders>
          </w:tcPr>
          <w:p>
            <w:pPr/>
          </w:p>
        </w:tc>
        <w:tc>
          <w:tcPr>
            <w:tcW w:w="1412" w:type="dxa"/>
            <w:gridSpan w:val="2"/>
            <w:vMerge/>
            <w:tcBorders>
              <w:left w:val="single" w:sz="4" w:space="0" w:color="000000"/>
              <w:bottom w:val="single" w:sz="4" w:space="0" w:color="000000"/>
              <w:right w:val="single" w:sz="4" w:space="0" w:color="000000"/>
            </w:tcBorders>
          </w:tcPr>
          <w:p>
            <w:pPr/>
          </w:p>
        </w:tc>
        <w:tc>
          <w:tcPr>
            <w:tcW w:w="788" w:type="dxa"/>
            <w:gridSpan w:val="2"/>
            <w:vMerge/>
            <w:tcBorders>
              <w:left w:val="single" w:sz="4" w:space="0" w:color="000000"/>
              <w:bottom w:val="single" w:sz="4" w:space="0" w:color="000000"/>
              <w:right w:val="single" w:sz="4" w:space="0" w:color="000000"/>
            </w:tcBorders>
          </w:tcPr>
          <w:p>
            <w:pPr/>
          </w:p>
        </w:tc>
        <w:tc>
          <w:tcPr>
            <w:tcW w:w="786" w:type="dxa"/>
            <w:vMerge/>
            <w:tcBorders>
              <w:left w:val="single" w:sz="4" w:space="0" w:color="000000"/>
              <w:bottom w:val="single" w:sz="4" w:space="0" w:color="000000"/>
              <w:right w:val="single" w:sz="4" w:space="0" w:color="000000"/>
            </w:tcBorders>
          </w:tcPr>
          <w:p>
            <w:pPr/>
          </w:p>
        </w:tc>
        <w:tc>
          <w:tcPr>
            <w:tcW w:w="788" w:type="dxa"/>
            <w:gridSpan w:val="2"/>
            <w:vMerge/>
            <w:tcBorders>
              <w:left w:val="single" w:sz="4" w:space="0" w:color="000000"/>
              <w:bottom w:val="single" w:sz="4" w:space="0" w:color="000000"/>
              <w:right w:val="single" w:sz="4" w:space="0" w:color="000000"/>
            </w:tcBorders>
          </w:tcPr>
          <w:p>
            <w:pPr/>
          </w:p>
        </w:tc>
        <w:tc>
          <w:tcPr>
            <w:tcW w:w="755" w:type="dxa"/>
            <w:vMerge/>
            <w:tcBorders>
              <w:left w:val="single" w:sz="4" w:space="0" w:color="000000"/>
              <w:bottom w:val="single" w:sz="4" w:space="0" w:color="000000"/>
              <w:right w:val="single" w:sz="4" w:space="0" w:color="000000"/>
            </w:tcBorders>
          </w:tcPr>
          <w:p>
            <w:pPr/>
          </w:p>
        </w:tc>
        <w:tc>
          <w:tcPr>
            <w:tcW w:w="872" w:type="dxa"/>
            <w:vMerge/>
            <w:tcBorders>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5" w:right="0"/>
              <w:jc w:val="left"/>
              <w:rPr>
                <w:rFonts w:ascii="Times New Roman" w:hAnsi="Times New Roman" w:cs="Times New Roman" w:eastAsia="Times New Roman" w:hint="default"/>
                <w:sz w:val="18"/>
                <w:szCs w:val="18"/>
              </w:rPr>
            </w:pPr>
            <w:r>
              <w:rPr>
                <w:rFonts w:ascii="Times New Roman"/>
                <w:sz w:val="18"/>
              </w:rPr>
              <w:t>30,530,000</w:t>
            </w:r>
          </w:p>
        </w:tc>
      </w:tr>
      <w:tr>
        <w:trPr>
          <w:trHeight w:val="402" w:hRule="exact"/>
        </w:trPr>
        <w:tc>
          <w:tcPr>
            <w:tcW w:w="1469" w:type="dxa"/>
            <w:gridSpan w:val="2"/>
            <w:vMerge w:val="restart"/>
            <w:tcBorders>
              <w:top w:val="single" w:sz="4" w:space="0" w:color="000000"/>
              <w:left w:val="single" w:sz="4" w:space="0" w:color="000000"/>
              <w:right w:val="single" w:sz="4" w:space="0" w:color="000000"/>
            </w:tcBorders>
          </w:tcPr>
          <w:p>
            <w:pPr>
              <w:pStyle w:val="TableParagraph"/>
              <w:spacing w:line="319" w:lineRule="auto" w:before="95"/>
              <w:ind w:left="22" w:right="174"/>
              <w:jc w:val="left"/>
              <w:rPr>
                <w:rFonts w:ascii="宋体" w:hAnsi="宋体" w:cs="宋体" w:eastAsia="宋体" w:hint="default"/>
                <w:sz w:val="18"/>
                <w:szCs w:val="18"/>
              </w:rPr>
            </w:pPr>
            <w:r>
              <w:rPr>
                <w:rFonts w:ascii="宋体" w:hAnsi="宋体" w:cs="宋体" w:eastAsia="宋体" w:hint="default"/>
                <w:sz w:val="18"/>
                <w:szCs w:val="18"/>
              </w:rPr>
              <w:t>芜湖市鑫诚科技 投资有限公司</w:t>
            </w:r>
          </w:p>
        </w:tc>
        <w:tc>
          <w:tcPr>
            <w:tcW w:w="1412" w:type="dxa"/>
            <w:gridSpan w:val="2"/>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gridSpan w:val="2"/>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5.31%</w:t>
            </w:r>
          </w:p>
        </w:tc>
        <w:tc>
          <w:tcPr>
            <w:tcW w:w="786" w:type="dxa"/>
            <w:vMerge w:val="restart"/>
            <w:tcBorders>
              <w:top w:val="single" w:sz="4" w:space="0" w:color="000000"/>
              <w:left w:val="single" w:sz="4" w:space="0" w:color="000000"/>
              <w:right w:val="single" w:sz="4" w:space="0" w:color="000000"/>
            </w:tcBorders>
          </w:tcPr>
          <w:p>
            <w:pPr>
              <w:pStyle w:val="TableParagraph"/>
              <w:spacing w:line="240" w:lineRule="auto" w:before="135"/>
              <w:ind w:right="21"/>
              <w:jc w:val="right"/>
              <w:rPr>
                <w:rFonts w:ascii="Times New Roman" w:hAnsi="Times New Roman" w:cs="Times New Roman" w:eastAsia="Times New Roman" w:hint="default"/>
                <w:sz w:val="18"/>
                <w:szCs w:val="18"/>
              </w:rPr>
            </w:pPr>
            <w:r>
              <w:rPr>
                <w:rFonts w:ascii="Times New Roman"/>
                <w:sz w:val="18"/>
              </w:rPr>
              <w:t>36,720,93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788" w:type="dxa"/>
            <w:gridSpan w:val="2"/>
            <w:vMerge w:val="restart"/>
            <w:tcBorders>
              <w:top w:val="single" w:sz="4" w:space="0" w:color="000000"/>
              <w:left w:val="single" w:sz="4" w:space="0" w:color="000000"/>
              <w:right w:val="single" w:sz="4" w:space="0" w:color="000000"/>
            </w:tcBorders>
          </w:tcPr>
          <w:p>
            <w:pPr/>
          </w:p>
        </w:tc>
        <w:tc>
          <w:tcPr>
            <w:tcW w:w="755" w:type="dxa"/>
            <w:vMerge w:val="restart"/>
            <w:tcBorders>
              <w:top w:val="single" w:sz="4" w:space="0" w:color="000000"/>
              <w:left w:val="single" w:sz="4" w:space="0" w:color="000000"/>
              <w:right w:val="single" w:sz="4" w:space="0" w:color="000000"/>
            </w:tcBorders>
          </w:tcPr>
          <w:p>
            <w:pPr/>
          </w:p>
        </w:tc>
        <w:tc>
          <w:tcPr>
            <w:tcW w:w="872" w:type="dxa"/>
            <w:vMerge w:val="restart"/>
            <w:tcBorders>
              <w:top w:val="single" w:sz="4" w:space="0" w:color="000000"/>
              <w:left w:val="single" w:sz="4" w:space="0" w:color="000000"/>
              <w:right w:val="single" w:sz="4" w:space="0" w:color="000000"/>
            </w:tcBorders>
          </w:tcPr>
          <w:p>
            <w:pPr>
              <w:pStyle w:val="TableParagraph"/>
              <w:spacing w:line="240" w:lineRule="auto" w:before="135"/>
              <w:ind w:right="21"/>
              <w:jc w:val="right"/>
              <w:rPr>
                <w:rFonts w:ascii="Times New Roman" w:hAnsi="Times New Roman" w:cs="Times New Roman" w:eastAsia="Times New Roman" w:hint="default"/>
                <w:sz w:val="18"/>
                <w:szCs w:val="18"/>
              </w:rPr>
            </w:pPr>
            <w:r>
              <w:rPr>
                <w:rFonts w:ascii="Times New Roman"/>
                <w:sz w:val="18"/>
              </w:rPr>
              <w:t>36,720,93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5" w:right="0"/>
              <w:jc w:val="left"/>
              <w:rPr>
                <w:rFonts w:ascii="Times New Roman" w:hAnsi="Times New Roman" w:cs="Times New Roman" w:eastAsia="Times New Roman" w:hint="default"/>
                <w:sz w:val="18"/>
                <w:szCs w:val="18"/>
              </w:rPr>
            </w:pPr>
            <w:r>
              <w:rPr>
                <w:rFonts w:ascii="Times New Roman"/>
                <w:sz w:val="18"/>
              </w:rPr>
              <w:t>29,320,000</w:t>
            </w:r>
          </w:p>
        </w:tc>
      </w:tr>
      <w:tr>
        <w:trPr>
          <w:trHeight w:val="402" w:hRule="exact"/>
        </w:trPr>
        <w:tc>
          <w:tcPr>
            <w:tcW w:w="1469" w:type="dxa"/>
            <w:gridSpan w:val="2"/>
            <w:vMerge/>
            <w:tcBorders>
              <w:left w:val="single" w:sz="4" w:space="0" w:color="000000"/>
              <w:bottom w:val="single" w:sz="4" w:space="0" w:color="000000"/>
              <w:right w:val="single" w:sz="4" w:space="0" w:color="000000"/>
            </w:tcBorders>
          </w:tcPr>
          <w:p>
            <w:pPr/>
          </w:p>
        </w:tc>
        <w:tc>
          <w:tcPr>
            <w:tcW w:w="1412" w:type="dxa"/>
            <w:gridSpan w:val="2"/>
            <w:vMerge/>
            <w:tcBorders>
              <w:left w:val="single" w:sz="4" w:space="0" w:color="000000"/>
              <w:bottom w:val="single" w:sz="4" w:space="0" w:color="000000"/>
              <w:right w:val="single" w:sz="4" w:space="0" w:color="000000"/>
            </w:tcBorders>
          </w:tcPr>
          <w:p>
            <w:pPr/>
          </w:p>
        </w:tc>
        <w:tc>
          <w:tcPr>
            <w:tcW w:w="788" w:type="dxa"/>
            <w:gridSpan w:val="2"/>
            <w:vMerge/>
            <w:tcBorders>
              <w:left w:val="single" w:sz="4" w:space="0" w:color="000000"/>
              <w:bottom w:val="single" w:sz="4" w:space="0" w:color="000000"/>
              <w:right w:val="single" w:sz="4" w:space="0" w:color="000000"/>
            </w:tcBorders>
          </w:tcPr>
          <w:p>
            <w:pPr/>
          </w:p>
        </w:tc>
        <w:tc>
          <w:tcPr>
            <w:tcW w:w="786" w:type="dxa"/>
            <w:vMerge/>
            <w:tcBorders>
              <w:left w:val="single" w:sz="4" w:space="0" w:color="000000"/>
              <w:bottom w:val="single" w:sz="4" w:space="0" w:color="000000"/>
              <w:right w:val="single" w:sz="4" w:space="0" w:color="000000"/>
            </w:tcBorders>
          </w:tcPr>
          <w:p>
            <w:pPr/>
          </w:p>
        </w:tc>
        <w:tc>
          <w:tcPr>
            <w:tcW w:w="788" w:type="dxa"/>
            <w:gridSpan w:val="2"/>
            <w:vMerge/>
            <w:tcBorders>
              <w:left w:val="single" w:sz="4" w:space="0" w:color="000000"/>
              <w:bottom w:val="single" w:sz="4" w:space="0" w:color="000000"/>
              <w:right w:val="single" w:sz="4" w:space="0" w:color="000000"/>
            </w:tcBorders>
          </w:tcPr>
          <w:p>
            <w:pPr/>
          </w:p>
        </w:tc>
        <w:tc>
          <w:tcPr>
            <w:tcW w:w="755" w:type="dxa"/>
            <w:vMerge/>
            <w:tcBorders>
              <w:left w:val="single" w:sz="4" w:space="0" w:color="000000"/>
              <w:bottom w:val="single" w:sz="4" w:space="0" w:color="000000"/>
              <w:right w:val="single" w:sz="4" w:space="0" w:color="000000"/>
            </w:tcBorders>
          </w:tcPr>
          <w:p>
            <w:pPr/>
          </w:p>
        </w:tc>
        <w:tc>
          <w:tcPr>
            <w:tcW w:w="872" w:type="dxa"/>
            <w:vMerge/>
            <w:tcBorders>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5" w:right="0"/>
              <w:jc w:val="left"/>
              <w:rPr>
                <w:rFonts w:ascii="Times New Roman" w:hAnsi="Times New Roman" w:cs="Times New Roman" w:eastAsia="Times New Roman" w:hint="default"/>
                <w:sz w:val="18"/>
                <w:szCs w:val="18"/>
              </w:rPr>
            </w:pPr>
            <w:r>
              <w:rPr>
                <w:rFonts w:ascii="Times New Roman"/>
                <w:sz w:val="18"/>
              </w:rPr>
              <w:t>7,400,000</w:t>
            </w:r>
          </w:p>
        </w:tc>
      </w:tr>
      <w:tr>
        <w:trPr>
          <w:trHeight w:val="102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上海理鼎投资管 理中心（有限合 伙）</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2.88%</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19,893,89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19,893,89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云泽投资管理</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pacing w:val="-4"/>
                <w:sz w:val="18"/>
                <w:szCs w:val="18"/>
              </w:rPr>
              <w:t>（天津）有限公司</w:t>
            </w:r>
          </w:p>
          <w:p>
            <w:pPr>
              <w:pStyle w:val="TableParagraph"/>
              <w:spacing w:line="302" w:lineRule="auto" w:before="76"/>
              <w:ind w:left="22" w:right="23"/>
              <w:jc w:val="left"/>
              <w:rPr>
                <w:rFonts w:ascii="宋体" w:hAnsi="宋体" w:cs="宋体" w:eastAsia="宋体" w:hint="default"/>
                <w:sz w:val="18"/>
                <w:szCs w:val="18"/>
              </w:rPr>
            </w:pPr>
            <w:r>
              <w:rPr>
                <w:rFonts w:ascii="宋体" w:hAnsi="宋体" w:cs="宋体" w:eastAsia="宋体" w:hint="default"/>
                <w:sz w:val="18"/>
                <w:szCs w:val="18"/>
              </w:rPr>
              <w:t>－云泽投资</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号私 募证券投资基金</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1.89%</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13,080,00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13,080,00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4"/>
              <w:jc w:val="both"/>
              <w:rPr>
                <w:rFonts w:ascii="宋体" w:hAnsi="宋体" w:cs="宋体" w:eastAsia="宋体" w:hint="default"/>
                <w:sz w:val="18"/>
                <w:szCs w:val="18"/>
              </w:rPr>
            </w:pPr>
            <w:r>
              <w:rPr>
                <w:rFonts w:ascii="宋体" w:hAnsi="宋体" w:cs="宋体" w:eastAsia="宋体" w:hint="default"/>
                <w:sz w:val="18"/>
                <w:szCs w:val="18"/>
              </w:rPr>
              <w:t>青岛金石泓信投 资中心（有限合 伙）</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1.47%</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10,168,09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10,168,09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shape style="position:absolute;margin-left:56.459999pt;margin-top:71.999985pt;width:479.2pt;height:680.95pt;mso-position-horizontal-relative:page;mso-position-vertical-relative:page;z-index:1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69"/>
                    <w:gridCol w:w="1412"/>
                    <w:gridCol w:w="788"/>
                    <w:gridCol w:w="786"/>
                    <w:gridCol w:w="788"/>
                    <w:gridCol w:w="787"/>
                    <w:gridCol w:w="840"/>
                    <w:gridCol w:w="1349"/>
                    <w:gridCol w:w="1348"/>
                  </w:tblGrid>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中新建招商股权 投资有限公司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1.47%</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10,148,80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10,148,80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
                          <w:jc w:val="left"/>
                          <w:rPr>
                            <w:rFonts w:ascii="宋体" w:hAnsi="宋体" w:cs="宋体" w:eastAsia="宋体" w:hint="default"/>
                            <w:sz w:val="18"/>
                            <w:szCs w:val="18"/>
                          </w:rPr>
                        </w:pPr>
                        <w:r>
                          <w:rPr>
                            <w:rFonts w:ascii="宋体" w:hAnsi="宋体" w:cs="宋体" w:eastAsia="宋体" w:hint="default"/>
                            <w:sz w:val="18"/>
                            <w:szCs w:val="18"/>
                          </w:rPr>
                          <w:t>宁波中金国联通 泰股权投资合伙 企业（有限合伙）</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9,655,600</w:t>
                        </w: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9,655,600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安徽省国有资本 运营控股集团有 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1.09%</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7,567,338</w:t>
                        </w: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7,567,338</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广西铁路发展投 资基金（有限合 伙）</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1.08%</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7,442,400</w:t>
                        </w: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7,442,400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941" w:hRule="exact"/>
                    </w:trPr>
                    <w:tc>
                      <w:tcPr>
                        <w:tcW w:w="288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687" w:type="dxa"/>
                        <w:gridSpan w:val="7"/>
                        <w:vMerge w:val="restart"/>
                        <w:tcBorders>
                          <w:top w:val="single" w:sz="4" w:space="0" w:color="000000"/>
                          <w:left w:val="single" w:sz="10" w:space="0" w:color="D2D2D2"/>
                          <w:right w:val="single" w:sz="4" w:space="0" w:color="000000"/>
                        </w:tcBorders>
                      </w:tcPr>
                      <w:p>
                        <w:pPr>
                          <w:pStyle w:val="TableParagraph"/>
                          <w:spacing w:line="316" w:lineRule="auto" w:before="51"/>
                          <w:ind w:left="15" w:right="20"/>
                          <w:jc w:val="left"/>
                          <w:rPr>
                            <w:rFonts w:ascii="宋体" w:hAnsi="宋体" w:cs="宋体" w:eastAsia="宋体" w:hint="default"/>
                            <w:sz w:val="18"/>
                            <w:szCs w:val="18"/>
                          </w:rPr>
                        </w:pPr>
                        <w:r>
                          <w:rPr>
                            <w:rFonts w:ascii="宋体" w:hAnsi="宋体" w:cs="宋体" w:eastAsia="宋体" w:hint="default"/>
                            <w:sz w:val="18"/>
                            <w:szCs w:val="18"/>
                          </w:rPr>
                          <w:t>上海理鼎投资管理中心（有限合伙</w:t>
                        </w:r>
                        <w:r>
                          <w:rPr>
                            <w:rFonts w:ascii="宋体" w:hAnsi="宋体" w:cs="宋体" w:eastAsia="宋体" w:hint="default"/>
                            <w:spacing w:val="-90"/>
                            <w:sz w:val="18"/>
                            <w:szCs w:val="18"/>
                          </w:rPr>
                          <w:t>）</w:t>
                        </w:r>
                        <w:r>
                          <w:rPr>
                            <w:rFonts w:ascii="宋体" w:hAnsi="宋体" w:cs="宋体" w:eastAsia="宋体" w:hint="default"/>
                            <w:sz w:val="18"/>
                            <w:szCs w:val="18"/>
                          </w:rPr>
                          <w:t>、宁波中金国联通泰股权投资合伙企业（有限合</w:t>
                        </w:r>
                        <w:r>
                          <w:rPr>
                            <w:rFonts w:ascii="宋体" w:hAnsi="宋体" w:cs="宋体" w:eastAsia="宋体" w:hint="default"/>
                            <w:sz w:val="18"/>
                            <w:szCs w:val="18"/>
                          </w:rPr>
                          <w:t> 伙</w:t>
                        </w:r>
                        <w:r>
                          <w:rPr>
                            <w:rFonts w:ascii="宋体" w:hAnsi="宋体" w:cs="宋体" w:eastAsia="宋体" w:hint="default"/>
                            <w:spacing w:val="-90"/>
                            <w:sz w:val="18"/>
                            <w:szCs w:val="18"/>
                          </w:rPr>
                          <w:t>）</w:t>
                        </w:r>
                        <w:r>
                          <w:rPr>
                            <w:rFonts w:ascii="宋体" w:hAnsi="宋体" w:cs="宋体" w:eastAsia="宋体" w:hint="default"/>
                            <w:spacing w:val="-15"/>
                            <w:sz w:val="18"/>
                            <w:szCs w:val="18"/>
                          </w:rPr>
                          <w:t>、</w:t>
                        </w:r>
                        <w:r>
                          <w:rPr>
                            <w:rFonts w:ascii="宋体" w:hAnsi="宋体" w:cs="宋体" w:eastAsia="宋体" w:hint="default"/>
                            <w:sz w:val="18"/>
                            <w:szCs w:val="18"/>
                          </w:rPr>
                          <w:t>乐源财富管理有限公司因公司重大重组发行新股成为公司前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名</w:t>
                        </w:r>
                        <w:r>
                          <w:rPr>
                            <w:rFonts w:ascii="宋体" w:hAnsi="宋体" w:cs="宋体" w:eastAsia="宋体" w:hint="default"/>
                            <w:sz w:val="18"/>
                            <w:szCs w:val="18"/>
                          </w:rPr>
                          <w:t>股东</w:t>
                        </w:r>
                        <w:r>
                          <w:rPr>
                            <w:rFonts w:ascii="宋体" w:hAnsi="宋体" w:cs="宋体" w:eastAsia="宋体" w:hint="default"/>
                            <w:spacing w:val="-15"/>
                            <w:sz w:val="18"/>
                            <w:szCs w:val="18"/>
                          </w:rPr>
                          <w:t>。</w:t>
                        </w:r>
                        <w:r>
                          <w:rPr>
                            <w:rFonts w:ascii="宋体" w:hAnsi="宋体" w:cs="宋体" w:eastAsia="宋体" w:hint="default"/>
                            <w:sz w:val="18"/>
                            <w:szCs w:val="18"/>
                          </w:rPr>
                          <w:t>此次非</w:t>
                        </w:r>
                      </w:p>
                      <w:p>
                        <w:pPr>
                          <w:pStyle w:val="TableParagraph"/>
                          <w:spacing w:line="248" w:lineRule="exact"/>
                          <w:ind w:left="15" w:right="0"/>
                          <w:jc w:val="left"/>
                          <w:rPr>
                            <w:rFonts w:ascii="宋体" w:hAnsi="宋体" w:cs="宋体" w:eastAsia="宋体" w:hint="default"/>
                            <w:sz w:val="18"/>
                            <w:szCs w:val="18"/>
                          </w:rPr>
                        </w:pPr>
                        <w:r>
                          <w:rPr>
                            <w:rFonts w:ascii="宋体" w:hAnsi="宋体" w:cs="宋体" w:eastAsia="宋体" w:hint="default"/>
                            <w:sz w:val="18"/>
                            <w:szCs w:val="18"/>
                          </w:rPr>
                          <w:t>公开新增股份于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日正式上市，公司约定本次发行取得的公司新增股份</w:t>
                        </w:r>
                      </w:p>
                      <w:p>
                        <w:pPr>
                          <w:pStyle w:val="TableParagraph"/>
                          <w:spacing w:line="309" w:lineRule="auto" w:before="63"/>
                          <w:ind w:left="15" w:right="23"/>
                          <w:jc w:val="left"/>
                          <w:rPr>
                            <w:rFonts w:ascii="宋体" w:hAnsi="宋体" w:cs="宋体" w:eastAsia="宋体" w:hint="default"/>
                            <w:sz w:val="18"/>
                            <w:szCs w:val="18"/>
                          </w:rPr>
                        </w:pPr>
                        <w:r>
                          <w:rPr>
                            <w:rFonts w:ascii="宋体" w:hAnsi="宋体" w:cs="宋体" w:eastAsia="宋体" w:hint="default"/>
                            <w:sz w:val="18"/>
                            <w:szCs w:val="18"/>
                          </w:rPr>
                          <w:t>的锁定期为自本次交易新增股份上市之日起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 </w:t>
                        </w:r>
                        <w:r>
                          <w:rPr>
                            <w:rFonts w:ascii="宋体" w:hAnsi="宋体" w:cs="宋体" w:eastAsia="宋体" w:hint="default"/>
                            <w:spacing w:val="-7"/>
                            <w:sz w:val="18"/>
                            <w:szCs w:val="18"/>
                          </w:rPr>
                          <w:t>个月内不得转让，</w:t>
                        </w:r>
                        <w:r>
                          <w:rPr>
                            <w:rFonts w:ascii="Times New Roman" w:hAnsi="Times New Roman" w:cs="Times New Roman" w:eastAsia="Times New Roman" w:hint="default"/>
                            <w:spacing w:val="-7"/>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日已 </w:t>
                        </w:r>
                        <w:r>
                          <w:rPr>
                            <w:rFonts w:ascii="宋体" w:hAnsi="宋体" w:cs="宋体" w:eastAsia="宋体" w:hint="default"/>
                            <w:spacing w:val="-3"/>
                            <w:sz w:val="18"/>
                            <w:szCs w:val="18"/>
                          </w:rPr>
                          <w:t>经全部解禁。中新建招商股权投资有限公司、广西铁路发展投资基金（有限合伙）、</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财通基金－宁波银行－云南国际信托有限公司因非公开发行股票成为公司前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w:t>
                        </w:r>
                      </w:p>
                      <w:p>
                        <w:pPr>
                          <w:pStyle w:val="TableParagraph"/>
                          <w:spacing w:line="240" w:lineRule="auto" w:before="5"/>
                          <w:ind w:left="15" w:right="0"/>
                          <w:jc w:val="left"/>
                          <w:rPr>
                            <w:rFonts w:ascii="宋体" w:hAnsi="宋体" w:cs="宋体" w:eastAsia="宋体" w:hint="default"/>
                            <w:sz w:val="18"/>
                            <w:szCs w:val="18"/>
                          </w:rPr>
                        </w:pPr>
                        <w:r>
                          <w:rPr>
                            <w:rFonts w:ascii="宋体" w:hAnsi="宋体" w:cs="宋体" w:eastAsia="宋体" w:hint="default"/>
                            <w:sz w:val="18"/>
                            <w:szCs w:val="18"/>
                          </w:rPr>
                          <w:t>东。此次非公开新增股份于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日正式上市，公司约定本次发行取得的</w:t>
                        </w:r>
                      </w:p>
                      <w:p>
                        <w:pPr>
                          <w:pStyle w:val="TableParagraph"/>
                          <w:spacing w:line="240" w:lineRule="auto" w:before="63"/>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公司新增股份的锁定期为自本次交易新增股份上市之日起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个月内不得转让，</w:t>
                        </w:r>
                        <w:r>
                          <w:rPr>
                            <w:rFonts w:ascii="Times New Roman" w:hAnsi="Times New Roman" w:cs="Times New Roman" w:eastAsia="Times New Roman" w:hint="default"/>
                            <w:sz w:val="18"/>
                            <w:szCs w:val="18"/>
                          </w:rPr>
                          <w:t>2017</w:t>
                        </w:r>
                      </w:p>
                      <w:p>
                        <w:pPr>
                          <w:pStyle w:val="TableParagraph"/>
                          <w:spacing w:line="240" w:lineRule="auto" w:before="64"/>
                          <w:ind w:left="15"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日已全部解禁。</w:t>
                        </w:r>
                      </w:p>
                    </w:tc>
                  </w:tr>
                  <w:tr>
                    <w:trPr>
                      <w:trHeight w:val="1016" w:hRule="exact"/>
                    </w:trPr>
                    <w:tc>
                      <w:tcPr>
                        <w:tcW w:w="2882"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0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687" w:type="dxa"/>
                        <w:gridSpan w:val="7"/>
                        <w:vMerge/>
                        <w:tcBorders>
                          <w:left w:val="single" w:sz="10" w:space="0" w:color="D2D2D2"/>
                          <w:right w:val="single" w:sz="4" w:space="0" w:color="000000"/>
                        </w:tcBorders>
                      </w:tcPr>
                      <w:p>
                        <w:pPr/>
                      </w:p>
                    </w:tc>
                  </w:tr>
                  <w:tr>
                    <w:trPr>
                      <w:trHeight w:val="941" w:hRule="exact"/>
                    </w:trPr>
                    <w:tc>
                      <w:tcPr>
                        <w:tcW w:w="288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687" w:type="dxa"/>
                        <w:gridSpan w:val="7"/>
                        <w:vMerge/>
                        <w:tcBorders>
                          <w:left w:val="single" w:sz="10" w:space="0" w:color="D2D2D2"/>
                          <w:bottom w:val="single" w:sz="4" w:space="0" w:color="000000"/>
                          <w:right w:val="single" w:sz="4" w:space="0" w:color="000000"/>
                        </w:tcBorders>
                      </w:tcPr>
                      <w:p>
                        <w:pPr/>
                      </w:p>
                    </w:tc>
                  </w:tr>
                  <w:tr>
                    <w:trPr>
                      <w:trHeight w:val="941" w:hRule="exact"/>
                    </w:trPr>
                    <w:tc>
                      <w:tcPr>
                        <w:tcW w:w="288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687" w:type="dxa"/>
                        <w:gridSpan w:val="7"/>
                        <w:vMerge w:val="restart"/>
                        <w:tcBorders>
                          <w:top w:val="single" w:sz="4" w:space="0" w:color="000000"/>
                          <w:left w:val="single" w:sz="10" w:space="0" w:color="D2D2D2"/>
                          <w:right w:val="single" w:sz="4" w:space="0" w:color="000000"/>
                        </w:tcBorders>
                      </w:tcPr>
                      <w:p>
                        <w:pPr>
                          <w:pStyle w:val="TableParagraph"/>
                          <w:spacing w:line="300" w:lineRule="auto" w:before="51"/>
                          <w:ind w:left="15"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、束龙胜为芜湖市鑫诚科技投资有限公司一致行动人，截止报告期末，束龙胜持有 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12.96%</w:t>
                        </w:r>
                        <w:r>
                          <w:rPr>
                            <w:rFonts w:ascii="宋体" w:hAnsi="宋体" w:cs="宋体" w:eastAsia="宋体" w:hint="default"/>
                            <w:sz w:val="18"/>
                            <w:szCs w:val="18"/>
                          </w:rPr>
                          <w:t>的股份，通过持有芜湖市鑫诚科技投资有限公司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99.88</w:t>
                        </w:r>
                        <w:r>
                          <w:rPr>
                            <w:rFonts w:ascii="宋体" w:hAnsi="宋体" w:cs="宋体" w:eastAsia="宋体" w:hint="default"/>
                            <w:sz w:val="18"/>
                            <w:szCs w:val="18"/>
                          </w:rPr>
                          <w:t>％的股份间接持 有本公司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5.31%</w:t>
                        </w:r>
                        <w:r>
                          <w:rPr>
                            <w:rFonts w:ascii="宋体" w:hAnsi="宋体" w:cs="宋体" w:eastAsia="宋体" w:hint="default"/>
                            <w:sz w:val="18"/>
                            <w:szCs w:val="18"/>
                          </w:rPr>
                          <w:t>的股份，合并持有本公司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18.27%</w:t>
                        </w:r>
                        <w:r>
                          <w:rPr>
                            <w:rFonts w:ascii="宋体" w:hAnsi="宋体" w:cs="宋体" w:eastAsia="宋体" w:hint="default"/>
                            <w:sz w:val="18"/>
                            <w:szCs w:val="18"/>
                          </w:rPr>
                          <w:t>的股份。</w:t>
                        </w:r>
                        <w:r>
                          <w:rPr>
                            <w:rFonts w:ascii="Times New Roman" w:hAnsi="Times New Roman" w:cs="Times New Roman" w:eastAsia="Times New Roman" w:hint="default"/>
                            <w:sz w:val="18"/>
                            <w:szCs w:val="18"/>
                          </w:rPr>
                          <w:t>2</w:t>
                        </w:r>
                        <w:r>
                          <w:rPr>
                            <w:rFonts w:ascii="宋体" w:hAnsi="宋体" w:cs="宋体" w:eastAsia="宋体" w:hint="default"/>
                            <w:sz w:val="18"/>
                            <w:szCs w:val="18"/>
                          </w:rPr>
                          <w:t>、瞿洪桂为云泽投资管理</w:t>
                        </w:r>
                      </w:p>
                      <w:p>
                        <w:pPr>
                          <w:pStyle w:val="TableParagraph"/>
                          <w:spacing w:line="240" w:lineRule="auto" w:before="13"/>
                          <w:ind w:left="15" w:right="0"/>
                          <w:jc w:val="both"/>
                          <w:rPr>
                            <w:rFonts w:ascii="宋体" w:hAnsi="宋体" w:cs="宋体" w:eastAsia="宋体" w:hint="default"/>
                            <w:sz w:val="18"/>
                            <w:szCs w:val="18"/>
                          </w:rPr>
                        </w:pPr>
                        <w:r>
                          <w:rPr>
                            <w:rFonts w:ascii="宋体" w:hAnsi="宋体" w:cs="宋体" w:eastAsia="宋体" w:hint="default"/>
                            <w:spacing w:val="-4"/>
                            <w:sz w:val="18"/>
                            <w:szCs w:val="18"/>
                          </w:rPr>
                          <w:t>（天津）有限公司一致行动人，截止报告期末，瞿洪桂直接持有公司 </w:t>
                        </w:r>
                        <w:r>
                          <w:rPr>
                            <w:rFonts w:ascii="Times New Roman" w:hAnsi="Times New Roman" w:cs="Times New Roman" w:eastAsia="Times New Roman" w:hint="default"/>
                            <w:sz w:val="18"/>
                            <w:szCs w:val="18"/>
                          </w:rPr>
                          <w:t>127,394,324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p>
                        <w:pPr>
                          <w:pStyle w:val="TableParagraph"/>
                          <w:spacing w:line="240" w:lineRule="auto" w:before="63"/>
                          <w:ind w:left="15" w:right="0"/>
                          <w:jc w:val="both"/>
                          <w:rPr>
                            <w:rFonts w:ascii="宋体" w:hAnsi="宋体" w:cs="宋体" w:eastAsia="宋体" w:hint="default"/>
                            <w:sz w:val="18"/>
                            <w:szCs w:val="18"/>
                          </w:rPr>
                        </w:pPr>
                        <w:r>
                          <w:rPr>
                            <w:rFonts w:ascii="宋体" w:hAnsi="宋体" w:cs="宋体" w:eastAsia="宋体" w:hint="default"/>
                            <w:sz w:val="18"/>
                            <w:szCs w:val="18"/>
                          </w:rPr>
                          <w:t>通过其实际控制的云泽投资发行的云泽投资 </w:t>
                        </w:r>
                        <w:r>
                          <w:rPr>
                            <w:rFonts w:ascii="Times New Roman" w:hAnsi="Times New Roman" w:cs="Times New Roman" w:eastAsia="Times New Roman" w:hint="default"/>
                            <w:sz w:val="18"/>
                            <w:szCs w:val="18"/>
                          </w:rPr>
                          <w:t>1  </w:t>
                        </w:r>
                        <w:r>
                          <w:rPr>
                            <w:rFonts w:ascii="宋体" w:hAnsi="宋体" w:cs="宋体" w:eastAsia="宋体" w:hint="default"/>
                            <w:sz w:val="18"/>
                            <w:szCs w:val="18"/>
                          </w:rPr>
                          <w:t>号私募证券投资基金间接持有公司</w:t>
                        </w:r>
                      </w:p>
                      <w:p>
                        <w:pPr>
                          <w:pStyle w:val="TableParagraph"/>
                          <w:spacing w:line="300" w:lineRule="auto" w:before="63"/>
                          <w:ind w:left="15" w:right="67"/>
                          <w:jc w:val="both"/>
                          <w:rPr>
                            <w:rFonts w:ascii="宋体" w:hAnsi="宋体" w:cs="宋体" w:eastAsia="宋体" w:hint="default"/>
                            <w:sz w:val="18"/>
                            <w:szCs w:val="18"/>
                          </w:rPr>
                        </w:pPr>
                        <w:r>
                          <w:rPr>
                            <w:rFonts w:ascii="Times New Roman" w:hAnsi="Times New Roman" w:cs="Times New Roman" w:eastAsia="Times New Roman" w:hint="default"/>
                            <w:sz w:val="18"/>
                            <w:szCs w:val="18"/>
                          </w:rPr>
                          <w:t>13,080,000 </w:t>
                        </w:r>
                        <w:r>
                          <w:rPr>
                            <w:rFonts w:ascii="宋体" w:hAnsi="宋体" w:cs="宋体" w:eastAsia="宋体" w:hint="default"/>
                            <w:sz w:val="18"/>
                            <w:szCs w:val="18"/>
                          </w:rPr>
                          <w:t>股，合计持有公司 </w:t>
                        </w:r>
                        <w:r>
                          <w:rPr>
                            <w:rFonts w:ascii="Times New Roman" w:hAnsi="Times New Roman" w:cs="Times New Roman" w:eastAsia="Times New Roman" w:hint="default"/>
                            <w:sz w:val="18"/>
                            <w:szCs w:val="18"/>
                          </w:rPr>
                          <w:t>140,474,324 </w:t>
                        </w:r>
                        <w:r>
                          <w:rPr>
                            <w:rFonts w:ascii="宋体" w:hAnsi="宋体" w:cs="宋体" w:eastAsia="宋体" w:hint="default"/>
                            <w:sz w:val="18"/>
                            <w:szCs w:val="18"/>
                          </w:rPr>
                          <w:t>股，占公司总股本比例的</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20.31%</w:t>
                        </w:r>
                        <w:r>
                          <w:rPr>
                            <w:rFonts w:ascii="宋体" w:hAnsi="宋体" w:cs="宋体" w:eastAsia="宋体" w:hint="default"/>
                            <w:sz w:val="18"/>
                            <w:szCs w:val="18"/>
                          </w:rPr>
                          <w:t>为公司 第一大股东。</w:t>
                        </w:r>
                        <w:r>
                          <w:rPr>
                            <w:rFonts w:ascii="Times New Roman" w:hAnsi="Times New Roman" w:cs="Times New Roman" w:eastAsia="Times New Roman" w:hint="default"/>
                            <w:sz w:val="18"/>
                            <w:szCs w:val="18"/>
                          </w:rPr>
                          <w:t>3</w:t>
                        </w:r>
                        <w:r>
                          <w:rPr>
                            <w:rFonts w:ascii="宋体" w:hAnsi="宋体" w:cs="宋体" w:eastAsia="宋体" w:hint="default"/>
                            <w:sz w:val="18"/>
                            <w:szCs w:val="18"/>
                          </w:rPr>
                          <w:t>、未知公司上述其他股东之间是否存在关联关系及是否属于《上市公 司股东持股变动信息披露管理办法》中规定的一致行动人。</w:t>
                        </w:r>
                      </w:p>
                    </w:tc>
                  </w:tr>
                  <w:tr>
                    <w:trPr>
                      <w:trHeight w:val="704" w:hRule="exact"/>
                    </w:trPr>
                    <w:tc>
                      <w:tcPr>
                        <w:tcW w:w="2882"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7" w:type="dxa"/>
                        <w:gridSpan w:val="7"/>
                        <w:vMerge/>
                        <w:tcBorders>
                          <w:left w:val="single" w:sz="10" w:space="0" w:color="D2D2D2"/>
                          <w:right w:val="single" w:sz="4" w:space="0" w:color="000000"/>
                        </w:tcBorders>
                      </w:tcPr>
                      <w:p>
                        <w:pPr/>
                      </w:p>
                    </w:tc>
                  </w:tr>
                  <w:tr>
                    <w:trPr>
                      <w:trHeight w:val="941" w:hRule="exact"/>
                    </w:trPr>
                    <w:tc>
                      <w:tcPr>
                        <w:tcW w:w="288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687" w:type="dxa"/>
                        <w:gridSpan w:val="7"/>
                        <w:vMerge/>
                        <w:tcBorders>
                          <w:left w:val="single" w:sz="10" w:space="0" w:color="D2D2D2"/>
                          <w:bottom w:val="single" w:sz="4" w:space="0" w:color="000000"/>
                          <w:right w:val="single" w:sz="4" w:space="0" w:color="000000"/>
                        </w:tcBorders>
                      </w:tcPr>
                      <w:p>
                        <w:pP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6" w:hRule="exact"/>
                    </w:trPr>
                    <w:tc>
                      <w:tcPr>
                        <w:tcW w:w="288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990"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1" w:hRule="exact"/>
                    </w:trPr>
                    <w:tc>
                      <w:tcPr>
                        <w:tcW w:w="288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0"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9"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7"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882" w:type="dxa"/>
                        <w:gridSpan w:val="2"/>
                        <w:vMerge/>
                        <w:tcBorders>
                          <w:left w:val="single" w:sz="4" w:space="0" w:color="000000"/>
                          <w:bottom w:val="nil" w:sz="6" w:space="0" w:color="auto"/>
                          <w:right w:val="single" w:sz="4" w:space="0" w:color="000000"/>
                        </w:tcBorders>
                        <w:shd w:val="clear" w:color="auto" w:fill="D2D2D2"/>
                      </w:tcPr>
                      <w:p>
                        <w:pPr/>
                      </w:p>
                    </w:tc>
                    <w:tc>
                      <w:tcPr>
                        <w:tcW w:w="3990" w:type="dxa"/>
                        <w:gridSpan w:val="5"/>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990"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4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芜湖市鑫诚科技投资有限公司</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36,720,936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瞿洪桂</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31,848,581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31"/>
                          <w:jc w:val="left"/>
                          <w:rPr>
                            <w:rFonts w:ascii="宋体" w:hAnsi="宋体" w:cs="宋体" w:eastAsia="宋体" w:hint="default"/>
                            <w:sz w:val="18"/>
                            <w:szCs w:val="18"/>
                          </w:rPr>
                        </w:pPr>
                        <w:r>
                          <w:rPr>
                            <w:rFonts w:ascii="宋体" w:hAnsi="宋体" w:cs="宋体" w:eastAsia="宋体" w:hint="default"/>
                            <w:sz w:val="18"/>
                            <w:szCs w:val="18"/>
                          </w:rPr>
                          <w:t>上海理鼎投资管理中心（有限合伙）</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19,893,899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云泽投资管理（天津）有限公司－ 云泽投资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号私募证券投资基金</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13,080,000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束龙胜</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12,597,182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31"/>
                          <w:jc w:val="left"/>
                          <w:rPr>
                            <w:rFonts w:ascii="宋体" w:hAnsi="宋体" w:cs="宋体" w:eastAsia="宋体" w:hint="default"/>
                            <w:sz w:val="18"/>
                            <w:szCs w:val="18"/>
                          </w:rPr>
                        </w:pPr>
                        <w:r>
                          <w:rPr>
                            <w:rFonts w:ascii="宋体" w:hAnsi="宋体" w:cs="宋体" w:eastAsia="宋体" w:hint="default"/>
                            <w:sz w:val="18"/>
                            <w:szCs w:val="18"/>
                          </w:rPr>
                          <w:t>青岛金石泓信投资中心（有限合伙）</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10,168,093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中新建招商股权投资有限公司</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10,148,800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5"/>
          <w:szCs w:val="15"/>
        </w:rPr>
      </w:pPr>
    </w:p>
    <w:p>
      <w:pPr>
        <w:pStyle w:val="BodyText"/>
        <w:spacing w:line="240" w:lineRule="auto" w:before="0"/>
        <w:ind w:left="7524" w:right="1139"/>
        <w:jc w:val="right"/>
      </w:pPr>
      <w:r>
        <w:rPr/>
        <w:t>，</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82"/>
        <w:gridCol w:w="3990"/>
        <w:gridCol w:w="1349"/>
        <w:gridCol w:w="1348"/>
      </w:tblGrid>
      <w:tr>
        <w:trPr>
          <w:trHeight w:val="714"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宁波中金国联通泰股权投资合伙企 业（有限合伙）</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9,655,600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安徽省国有资本运营控股集团有限 公司</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7,567,338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31"/>
              <w:jc w:val="left"/>
              <w:rPr>
                <w:rFonts w:ascii="宋体" w:hAnsi="宋体" w:cs="宋体" w:eastAsia="宋体" w:hint="default"/>
                <w:sz w:val="18"/>
                <w:szCs w:val="18"/>
              </w:rPr>
            </w:pPr>
            <w:r>
              <w:rPr>
                <w:rFonts w:ascii="宋体" w:hAnsi="宋体" w:cs="宋体" w:eastAsia="宋体" w:hint="default"/>
                <w:sz w:val="18"/>
                <w:szCs w:val="18"/>
              </w:rPr>
              <w:t>广西铁路发展投资基金（有限合伙）</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7,442,400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2586" w:hRule="exact"/>
        </w:trPr>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87" w:type="dxa"/>
            <w:gridSpan w:val="3"/>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、束龙胜为芜湖市鑫诚科技投资有限公司一致行动人，截止报告期内末，束龙胜持 有本公司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12.96%</w:t>
            </w:r>
            <w:r>
              <w:rPr>
                <w:rFonts w:ascii="宋体" w:hAnsi="宋体" w:cs="宋体" w:eastAsia="宋体" w:hint="default"/>
                <w:sz w:val="18"/>
                <w:szCs w:val="18"/>
              </w:rPr>
              <w:t>的股份，通过持有芜湖市鑫诚科技投资有限公司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99.88</w:t>
            </w:r>
            <w:r>
              <w:rPr>
                <w:rFonts w:ascii="宋体" w:hAnsi="宋体" w:cs="宋体" w:eastAsia="宋体" w:hint="default"/>
                <w:sz w:val="18"/>
                <w:szCs w:val="18"/>
              </w:rPr>
              <w:t>％的股份间接 持有本公司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5.31%</w:t>
            </w:r>
            <w:r>
              <w:rPr>
                <w:rFonts w:ascii="宋体" w:hAnsi="宋体" w:cs="宋体" w:eastAsia="宋体" w:hint="default"/>
                <w:sz w:val="18"/>
                <w:szCs w:val="18"/>
              </w:rPr>
              <w:t>的股份，合并持有本公司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18.27%</w:t>
            </w:r>
            <w:r>
              <w:rPr>
                <w:rFonts w:ascii="宋体" w:hAnsi="宋体" w:cs="宋体" w:eastAsia="宋体" w:hint="default"/>
                <w:sz w:val="18"/>
                <w:szCs w:val="18"/>
              </w:rPr>
              <w:t>的股份。</w:t>
            </w:r>
            <w:r>
              <w:rPr>
                <w:rFonts w:ascii="Times New Roman" w:hAnsi="Times New Roman" w:cs="Times New Roman" w:eastAsia="Times New Roman" w:hint="default"/>
                <w:sz w:val="18"/>
                <w:szCs w:val="18"/>
              </w:rPr>
              <w:t>2</w:t>
            </w:r>
            <w:r>
              <w:rPr>
                <w:rFonts w:ascii="宋体" w:hAnsi="宋体" w:cs="宋体" w:eastAsia="宋体" w:hint="default"/>
                <w:sz w:val="18"/>
                <w:szCs w:val="18"/>
              </w:rPr>
              <w:t>、瞿洪桂为云泽投资管 </w:t>
            </w:r>
            <w:r>
              <w:rPr>
                <w:rFonts w:ascii="宋体" w:hAnsi="宋体" w:cs="宋体" w:eastAsia="宋体" w:hint="default"/>
                <w:spacing w:val="-10"/>
                <w:sz w:val="18"/>
                <w:szCs w:val="18"/>
              </w:rPr>
              <w:t>理（天津）有限公司一致行动人，截止报告期末，瞿洪桂先生直接持有公司</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127,394,324</w:t>
            </w:r>
          </w:p>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股，通过其实际控制的云泽投资发行的云泽投资 </w:t>
            </w:r>
            <w:r>
              <w:rPr>
                <w:rFonts w:ascii="Times New Roman" w:hAnsi="Times New Roman" w:cs="Times New Roman" w:eastAsia="Times New Roman" w:hint="default"/>
                <w:sz w:val="18"/>
                <w:szCs w:val="18"/>
              </w:rPr>
              <w:t>1  </w:t>
            </w:r>
            <w:r>
              <w:rPr>
                <w:rFonts w:ascii="宋体" w:hAnsi="宋体" w:cs="宋体" w:eastAsia="宋体" w:hint="default"/>
                <w:sz w:val="18"/>
                <w:szCs w:val="18"/>
              </w:rPr>
              <w:t>号私募证券投资基金间接持有公</w:t>
            </w:r>
          </w:p>
          <w:p>
            <w:pPr>
              <w:pStyle w:val="TableParagraph"/>
              <w:spacing w:line="300" w:lineRule="auto" w:before="63"/>
              <w:ind w:left="22" w:right="19"/>
              <w:jc w:val="left"/>
              <w:rPr>
                <w:rFonts w:ascii="宋体" w:hAnsi="宋体" w:cs="宋体" w:eastAsia="宋体" w:hint="default"/>
                <w:sz w:val="18"/>
                <w:szCs w:val="18"/>
              </w:rPr>
            </w:pPr>
            <w:r>
              <w:rPr>
                <w:rFonts w:ascii="宋体" w:hAnsi="宋体" w:cs="宋体" w:eastAsia="宋体" w:hint="default"/>
                <w:sz w:val="18"/>
                <w:szCs w:val="18"/>
              </w:rPr>
              <w:t>司 </w:t>
            </w:r>
            <w:r>
              <w:rPr>
                <w:rFonts w:ascii="Times New Roman" w:hAnsi="Times New Roman" w:cs="Times New Roman" w:eastAsia="Times New Roman" w:hint="default"/>
                <w:sz w:val="18"/>
                <w:szCs w:val="18"/>
              </w:rPr>
              <w:t>13,080,000 </w:t>
            </w:r>
            <w:r>
              <w:rPr>
                <w:rFonts w:ascii="宋体" w:hAnsi="宋体" w:cs="宋体" w:eastAsia="宋体" w:hint="default"/>
                <w:spacing w:val="-3"/>
                <w:sz w:val="18"/>
                <w:szCs w:val="18"/>
              </w:rPr>
              <w:t>股，合计持有公司 </w:t>
            </w:r>
            <w:r>
              <w:rPr>
                <w:rFonts w:ascii="Times New Roman" w:hAnsi="Times New Roman" w:cs="Times New Roman" w:eastAsia="Times New Roman" w:hint="default"/>
                <w:sz w:val="18"/>
                <w:szCs w:val="18"/>
              </w:rPr>
              <w:t>140,474,324 </w:t>
            </w:r>
            <w:r>
              <w:rPr>
                <w:rFonts w:ascii="宋体" w:hAnsi="宋体" w:cs="宋体" w:eastAsia="宋体" w:hint="default"/>
                <w:sz w:val="18"/>
                <w:szCs w:val="18"/>
              </w:rPr>
              <w:t>股，占公司总股本比例的</w:t>
            </w:r>
            <w:r>
              <w:rPr>
                <w:rFonts w:ascii="宋体" w:hAnsi="宋体" w:cs="宋体" w:eastAsia="宋体" w:hint="default"/>
                <w:spacing w:val="-20"/>
                <w:sz w:val="18"/>
                <w:szCs w:val="18"/>
              </w:rPr>
              <w:t> </w:t>
            </w:r>
            <w:r>
              <w:rPr>
                <w:rFonts w:ascii="Times New Roman" w:hAnsi="Times New Roman" w:cs="Times New Roman" w:eastAsia="Times New Roman" w:hint="default"/>
                <w:sz w:val="18"/>
                <w:szCs w:val="18"/>
              </w:rPr>
              <w:t>20.31%</w:t>
            </w:r>
            <w:r>
              <w:rPr>
                <w:rFonts w:ascii="宋体" w:hAnsi="宋体" w:cs="宋体" w:eastAsia="宋体" w:hint="default"/>
                <w:sz w:val="18"/>
                <w:szCs w:val="18"/>
              </w:rPr>
              <w:t>为公 司第一大股东。</w:t>
            </w:r>
            <w:r>
              <w:rPr>
                <w:rFonts w:ascii="Times New Roman" w:hAnsi="Times New Roman" w:cs="Times New Roman" w:eastAsia="Times New Roman" w:hint="default"/>
                <w:sz w:val="18"/>
                <w:szCs w:val="18"/>
              </w:rPr>
              <w:t>3</w:t>
            </w:r>
            <w:r>
              <w:rPr>
                <w:rFonts w:ascii="宋体" w:hAnsi="宋体" w:cs="宋体" w:eastAsia="宋体" w:hint="default"/>
                <w:sz w:val="18"/>
                <w:szCs w:val="18"/>
              </w:rPr>
              <w:t>、未知公司上述其他股东之间是否存在关联关系及是否属于《上市 公司股东持股变动信息披露管理办法》中规定的一致行动人。</w:t>
            </w:r>
          </w:p>
        </w:tc>
      </w:tr>
      <w:tr>
        <w:trPr>
          <w:trHeight w:val="714" w:hRule="exact"/>
        </w:trPr>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名普通股股东参与融资融券业 </w:t>
            </w:r>
            <w:r>
              <w:rPr>
                <w:rFonts w:ascii="宋体" w:hAnsi="宋体" w:cs="宋体" w:eastAsia="宋体" w:hint="default"/>
                <w:spacing w:val="-7"/>
                <w:sz w:val="18"/>
                <w:szCs w:val="18"/>
              </w:rPr>
              <w:t>务情况说明（如有）（参见注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2、公司控股股东情况" w:id="120"/>
      <w:bookmarkEnd w:id="120"/>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before="0"/>
        <w:ind w:right="8592"/>
        <w:jc w:val="left"/>
      </w:pPr>
      <w:r>
        <w:rPr/>
        <w:t>控股股东性质：自然人控股 控股股东类型：自然人</w:t>
      </w:r>
    </w:p>
    <w:tbl>
      <w:tblPr>
        <w:tblW w:w="0" w:type="auto"/>
        <w:jc w:val="left"/>
        <w:tblInd w:w="149" w:type="dxa"/>
        <w:tblLayout w:type="fixed"/>
        <w:tblCellMar>
          <w:top w:w="0" w:type="dxa"/>
          <w:left w:w="0" w:type="dxa"/>
          <w:bottom w:w="0" w:type="dxa"/>
          <w:right w:w="0" w:type="dxa"/>
        </w:tblCellMar>
        <w:tblLook w:val="01E0"/>
      </w:tblPr>
      <w:tblGrid>
        <w:gridCol w:w="3418"/>
        <w:gridCol w:w="2303"/>
        <w:gridCol w:w="3848"/>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8"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瞿洪桂</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安徽中电兴发与鑫龙科技股份有限公司总经理</w:t>
            </w:r>
          </w:p>
        </w:tc>
      </w:tr>
      <w:tr>
        <w:trPr>
          <w:trHeight w:val="714"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5"/>
        <w:ind w:right="0"/>
        <w:jc w:val="left"/>
      </w:pPr>
      <w:r>
        <w:rPr/>
        <w:t>控股股东报告期内变更</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新控股股东名称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瞿洪桂</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变更日期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指定网站查询索引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4"/>
                <w:sz w:val="18"/>
                <w:szCs w:val="18"/>
              </w:rPr>
              <w:t> </w:t>
            </w:r>
            <w:hyperlink r:id="rId8">
              <w:r>
                <w:rPr>
                  <w:rFonts w:ascii="Times New Roman" w:hAnsi="Times New Roman" w:cs="Times New Roman" w:eastAsia="Times New Roman" w:hint="default"/>
                  <w:sz w:val="18"/>
                  <w:szCs w:val="18"/>
                </w:rPr>
                <w:t>http://www.cninfo.com.cn</w:t>
              </w:r>
            </w:hyperlink>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指定网站披露日期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3、公司实际控制人及其一致行动人" w:id="121"/>
      <w:bookmarkEnd w:id="121"/>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8"/>
        <w:rPr>
          <w:rFonts w:ascii="宋体" w:hAnsi="宋体" w:cs="宋体" w:eastAsia="宋体" w:hint="default"/>
          <w:b/>
          <w:bCs/>
          <w:sz w:val="26"/>
          <w:szCs w:val="26"/>
        </w:rPr>
      </w:pPr>
    </w:p>
    <w:p>
      <w:pPr>
        <w:pStyle w:val="BodyText"/>
        <w:spacing w:line="357" w:lineRule="auto" w:before="0"/>
        <w:ind w:right="8412"/>
        <w:jc w:val="left"/>
      </w:pPr>
      <w:r>
        <w:rPr/>
        <w:t>实际控制人性质：境内自然人 实际控制人类型：自然人</w:t>
      </w:r>
    </w:p>
    <w:p>
      <w:pPr>
        <w:spacing w:after="0" w:line="357" w:lineRule="auto"/>
        <w:jc w:val="lef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0"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1"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国籍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10" w:right="109" w:hanging="900"/>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束龙胜</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芜湖市鑫诚科技投资有限公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一致行动（含协议、亲属、同 一控制）</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安徽中电兴发与鑫龙科技股份有限公司董事长</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 市公司情况</w:t>
            </w:r>
          </w:p>
        </w:tc>
        <w:tc>
          <w:tcPr>
            <w:tcW w:w="71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right="0"/>
        <w:jc w:val="left"/>
      </w:pPr>
      <w:r>
        <w:rPr/>
        <w:t>实际控制人报告期内变更</w:t>
      </w:r>
    </w:p>
    <w:p>
      <w:pPr>
        <w:pStyle w:val="BodyText"/>
        <w:spacing w:line="348" w:lineRule="auto" w:before="117"/>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line="240" w:lineRule="auto" w:before="7"/>
        <w:rPr>
          <w:rFonts w:ascii="宋体" w:hAnsi="宋体" w:cs="宋体" w:eastAsia="宋体" w:hint="default"/>
          <w:sz w:val="14"/>
          <w:szCs w:val="14"/>
        </w:rPr>
      </w:pPr>
    </w:p>
    <w:p>
      <w:pPr>
        <w:spacing w:line="4350" w:lineRule="exact"/>
        <w:ind w:left="1356" w:right="0" w:firstLine="0"/>
        <w:rPr>
          <w:rFonts w:ascii="宋体" w:hAnsi="宋体" w:cs="宋体" w:eastAsia="宋体" w:hint="default"/>
          <w:sz w:val="20"/>
          <w:szCs w:val="20"/>
        </w:rPr>
      </w:pPr>
      <w:r>
        <w:rPr>
          <w:rFonts w:ascii="宋体" w:hAnsi="宋体" w:cs="宋体" w:eastAsia="宋体" w:hint="default"/>
          <w:position w:val="-86"/>
          <w:sz w:val="20"/>
          <w:szCs w:val="20"/>
        </w:rPr>
        <w:drawing>
          <wp:inline distT="0" distB="0" distL="0" distR="0">
            <wp:extent cx="4591478" cy="2762250"/>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12" cstate="print"/>
                    <a:stretch>
                      <a:fillRect/>
                    </a:stretch>
                  </pic:blipFill>
                  <pic:spPr>
                    <a:xfrm>
                      <a:off x="0" y="0"/>
                      <a:ext cx="4591478" cy="2762250"/>
                    </a:xfrm>
                    <a:prstGeom prst="rect">
                      <a:avLst/>
                    </a:prstGeom>
                  </pic:spPr>
                </pic:pic>
              </a:graphicData>
            </a:graphic>
          </wp:inline>
        </w:drawing>
      </w:r>
      <w:r>
        <w:rPr>
          <w:rFonts w:ascii="宋体" w:hAnsi="宋体" w:cs="宋体" w:eastAsia="宋体" w:hint="default"/>
          <w:position w:val="-86"/>
          <w:sz w:val="20"/>
          <w:szCs w:val="20"/>
        </w:rPr>
      </w:r>
    </w:p>
    <w:p>
      <w:pPr>
        <w:spacing w:line="240" w:lineRule="auto" w:before="3"/>
        <w:rPr>
          <w:rFonts w:ascii="宋体" w:hAnsi="宋体" w:cs="宋体" w:eastAsia="宋体" w:hint="default"/>
          <w:sz w:val="13"/>
          <w:szCs w:val="13"/>
        </w:rPr>
      </w:pPr>
    </w:p>
    <w:p>
      <w:pPr>
        <w:pStyle w:val="Heading3"/>
        <w:spacing w:line="240" w:lineRule="auto"/>
        <w:ind w:right="0"/>
        <w:jc w:val="left"/>
      </w:pPr>
      <w:r>
        <w:rPr/>
        <w:t>实际控制人通过信托或其他资产管理方式控制公司</w:t>
      </w:r>
    </w:p>
    <w:p>
      <w:pPr>
        <w:spacing w:line="240" w:lineRule="auto" w:before="1"/>
        <w:rPr>
          <w:rFonts w:ascii="宋体" w:hAnsi="宋体" w:cs="宋体" w:eastAsia="宋体" w:hint="default"/>
          <w:sz w:val="19"/>
          <w:szCs w:val="19"/>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4、其他持股在10%以上的法人股东" w:id="122"/>
      <w:bookmarkEnd w:id="122"/>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5、控股股东、实际控制人、重组方及其他承诺主体股份限制减持情况" w:id="123"/>
      <w:bookmarkEnd w:id="123"/>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0"/>
        <w:jc w:val="left"/>
        <w:rPr>
          <w:b w:val="0"/>
          <w:bCs w:val="0"/>
        </w:rPr>
      </w:pPr>
      <w:bookmarkStart w:name="_TOC_250005" w:id="124"/>
      <w:bookmarkStart w:name="第七节 优先股相关情况" w:id="125"/>
      <w:r>
        <w:rPr>
          <w:b w:val="0"/>
          <w:bCs w:val="0"/>
        </w:rPr>
      </w:r>
      <w:r>
        <w:rPr/>
        <w:t>第七节</w:t>
      </w:r>
      <w:r>
        <w:rPr>
          <w:spacing w:val="-8"/>
        </w:rPr>
        <w:t> </w:t>
      </w:r>
      <w:r>
        <w:rPr/>
        <w:t>优先股相关情况</w:t>
      </w:r>
      <w:bookmarkEnd w:id="124"/>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38" w:lineRule="auto"/>
        <w:ind w:right="85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0"/>
        <w:jc w:val="left"/>
        <w:rPr>
          <w:b w:val="0"/>
          <w:bCs w:val="0"/>
        </w:rPr>
      </w:pPr>
      <w:bookmarkStart w:name="_TOC_250004" w:id="126"/>
      <w:bookmarkStart w:name="第八节 董事、监事、高级管理人员和员工情况" w:id="127"/>
      <w:r>
        <w:rPr>
          <w:b w:val="0"/>
          <w:bCs w:val="0"/>
        </w:rPr>
      </w:r>
      <w:r>
        <w:rPr/>
        <w:t>第八节</w:t>
      </w:r>
      <w:r>
        <w:rPr>
          <w:spacing w:val="-16"/>
        </w:rPr>
        <w:t> </w:t>
      </w:r>
      <w:r>
        <w:rPr/>
        <w:t>董事、监事、高级管理人员和员工情况</w:t>
      </w:r>
      <w:bookmarkEnd w:id="126"/>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28"/>
      <w:bookmarkEnd w:id="128"/>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4"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瞿洪桂</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127,394,3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127,394,3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24</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束龙胜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102,708,7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13,080,00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89,628,72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r>
      <w:tr>
        <w:trPr>
          <w:trHeight w:val="1338"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汪宇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left"/>
              <w:rPr>
                <w:rFonts w:ascii="宋体" w:hAnsi="宋体" w:cs="宋体" w:eastAsia="宋体" w:hint="default"/>
                <w:sz w:val="18"/>
                <w:szCs w:val="18"/>
              </w:rPr>
            </w:pPr>
            <w:r>
              <w:rPr>
                <w:rFonts w:ascii="宋体" w:hAnsi="宋体" w:cs="宋体" w:eastAsia="宋体" w:hint="default"/>
                <w:sz w:val="18"/>
                <w:szCs w:val="18"/>
              </w:rPr>
              <w:t>常务副总 经理、董 事会秘 书、董事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270,000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郭晨</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1,187,272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937,272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周超</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330,283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188,636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141,647</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何利</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339,217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339,217</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韦俊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汪和俊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韩旭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李小庆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总工程师</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56,250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56,250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闫涛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102,500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102,500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陶黎明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2" w:right="42"/>
              <w:jc w:val="left"/>
              <w:rPr>
                <w:rFonts w:ascii="宋体" w:hAnsi="宋体" w:cs="宋体" w:eastAsia="宋体" w:hint="default"/>
                <w:sz w:val="18"/>
                <w:szCs w:val="18"/>
              </w:rPr>
            </w:pPr>
            <w:r>
              <w:rPr>
                <w:rFonts w:ascii="宋体" w:hAnsi="宋体" w:cs="宋体" w:eastAsia="宋体" w:hint="default"/>
                <w:sz w:val="18"/>
                <w:szCs w:val="18"/>
              </w:rPr>
              <w:t>财务负责 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张廷勇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4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曾滟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陈邦莲</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武文杰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宋丽君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陈任峰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葛愿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张文虎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甘洪亮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张良会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232,488,5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14,205,90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218,282,6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1"/>
        <w:rPr>
          <w:rFonts w:ascii="Times New Roman" w:hAnsi="Times New Roman" w:cs="Times New Roman" w:eastAsia="Times New Roman" w:hint="default"/>
          <w:sz w:val="26"/>
          <w:szCs w:val="26"/>
        </w:rPr>
      </w:pPr>
    </w:p>
    <w:p>
      <w:pPr>
        <w:pStyle w:val="Heading2"/>
        <w:spacing w:line="240" w:lineRule="auto" w:before="26"/>
        <w:ind w:right="0"/>
        <w:jc w:val="left"/>
        <w:rPr>
          <w:b w:val="0"/>
          <w:bCs w:val="0"/>
        </w:rPr>
      </w:pPr>
      <w:bookmarkStart w:name="二、公司董事、监事、高级管理人员变动情况" w:id="129"/>
      <w:bookmarkEnd w:id="129"/>
      <w:r>
        <w:rPr>
          <w:b w:val="0"/>
          <w:bCs w:val="0"/>
        </w:rPr>
      </w: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郭晨</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董事会换届选举</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周超</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董事会换届选举</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何利</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董事会换届选举</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韩旭</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董事会换届选举</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张廷勇</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监事会换届选举</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曾滟</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监事会换届选举</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葛愿</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董事会换届离任</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武文杰</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董事会换届离任</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宋丽君</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董事会换届离任</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陈任峰</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董事会换届离任</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张文虎</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监事会换届离任</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甘洪亮</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监事会换届离任</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张良会</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个人原因，辞去监事职务</w:t>
            </w:r>
          </w:p>
        </w:tc>
      </w:tr>
    </w:tbl>
    <w:p>
      <w:pPr>
        <w:spacing w:line="240" w:lineRule="auto" w:before="2"/>
        <w:rPr>
          <w:rFonts w:ascii="宋体" w:hAnsi="宋体" w:cs="宋体" w:eastAsia="宋体" w:hint="default"/>
          <w:sz w:val="18"/>
          <w:szCs w:val="18"/>
        </w:rPr>
      </w:pPr>
    </w:p>
    <w:p>
      <w:pPr>
        <w:pStyle w:val="Heading2"/>
        <w:spacing w:line="240" w:lineRule="auto" w:before="26"/>
        <w:ind w:right="0"/>
        <w:jc w:val="both"/>
        <w:rPr>
          <w:b w:val="0"/>
          <w:bCs w:val="0"/>
        </w:rPr>
      </w:pPr>
      <w:bookmarkStart w:name="三、任职情况" w:id="130"/>
      <w:bookmarkEnd w:id="130"/>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before="0"/>
        <w:ind w:left="515" w:right="1121" w:hanging="362"/>
        <w:jc w:val="left"/>
      </w:pPr>
      <w:r>
        <w:rPr/>
        <w:t>公司现任董事、监事、高级管理人员专业背景、主要工作经历以及目前在公司的主要职责 瞿洪桂，男，中国国籍，未拥有永久境外居留权，</w:t>
      </w:r>
      <w:r>
        <w:rPr>
          <w:rFonts w:ascii="Times New Roman" w:hAnsi="Times New Roman" w:cs="Times New Roman" w:eastAsia="Times New Roman" w:hint="default"/>
        </w:rPr>
        <w:t>1965</w:t>
      </w:r>
      <w:r>
        <w:rPr/>
        <w:t>年</w:t>
      </w:r>
      <w:r>
        <w:rPr>
          <w:rFonts w:ascii="Times New Roman" w:hAnsi="Times New Roman" w:cs="Times New Roman" w:eastAsia="Times New Roman" w:hint="default"/>
        </w:rPr>
        <w:t>1</w:t>
      </w:r>
      <w:r>
        <w:rPr/>
        <w:t>月出生，中共党员，毕业于电子科技大学，研究生学历、硕</w:t>
      </w:r>
    </w:p>
    <w:p>
      <w:pPr>
        <w:pStyle w:val="BodyText"/>
        <w:spacing w:line="201" w:lineRule="exact" w:before="0"/>
        <w:ind w:right="0"/>
        <w:jc w:val="both"/>
      </w:pPr>
      <w:r>
        <w:rPr/>
        <w:t>士学位，高级工程师，国家一级注册建造师，计算机信息系统集成高级项目经理。曾任电子工业部中国电子器材总公司工程</w:t>
      </w:r>
    </w:p>
    <w:p>
      <w:pPr>
        <w:pStyle w:val="BodyText"/>
        <w:spacing w:line="316" w:lineRule="auto" w:before="77"/>
        <w:ind w:right="1130"/>
        <w:jc w:val="both"/>
      </w:pPr>
      <w:r>
        <w:rPr>
          <w:spacing w:val="-2"/>
        </w:rPr>
        <w:t>师、部门经理、工程公司总经理。报告期内，担任本公司董事、总经理，北京中电兴发科技有限公司董事长与经理，信诺非</w:t>
      </w:r>
      <w:r>
        <w:rPr>
          <w:spacing w:val="-72"/>
        </w:rPr>
        <w:t> </w:t>
      </w:r>
      <w:r>
        <w:rPr>
          <w:spacing w:val="-72"/>
        </w:rPr>
      </w:r>
      <w:r>
        <w:rPr>
          <w:spacing w:val="-2"/>
        </w:rPr>
        <w:t>凡（北京）科技有限公司执行董事与经理，中电兴发机器人技术（北京）有限公司执行董事，中科微机电技术（北京）有限</w:t>
      </w:r>
      <w:r>
        <w:rPr>
          <w:spacing w:val="-68"/>
        </w:rPr>
        <w:t> </w:t>
      </w:r>
      <w:r>
        <w:rPr>
          <w:spacing w:val="-68"/>
        </w:rPr>
      </w:r>
      <w:r>
        <w:rPr>
          <w:spacing w:val="-2"/>
        </w:rPr>
        <w:t>公司董事长等职务。瞿洪桂先生还担任海淀区工商联执委、常委，电子科技大学研究员，电子科技大学警用装备研究联合实</w:t>
      </w:r>
      <w:r>
        <w:rPr>
          <w:spacing w:val="-66"/>
        </w:rPr>
        <w:t> </w:t>
      </w:r>
      <w:r>
        <w:rPr>
          <w:spacing w:val="-66"/>
        </w:rPr>
      </w:r>
      <w:r>
        <w:rPr>
          <w:spacing w:val="-2"/>
        </w:rPr>
        <w:t>验室建设委员会副主任、学术委员会委员，全国警用装备标准化技术委员会第一届委员会通讯委员，工业和信息化部中国电</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ind w:right="0"/>
        <w:jc w:val="left"/>
      </w:pPr>
      <w:r>
        <w:rPr>
          <w:spacing w:val="-2"/>
        </w:rPr>
        <w:t>子商会物联网应用专业委员会副会长，住房和城乡建设部中国建筑业协会智能建筑分会专家，北京市智能建筑协会专家；曾</w:t>
      </w:r>
      <w:r>
        <w:rPr>
          <w:spacing w:val="-66"/>
        </w:rPr>
        <w:t> </w:t>
      </w:r>
      <w:r>
        <w:rPr>
          <w:spacing w:val="-66"/>
        </w:rPr>
      </w:r>
      <w:r>
        <w:rPr/>
        <w:t>获得四川省科学技术进步二等奖、中共海淀区委海淀园工作委员会优秀党务工作者等荣誉称号。</w:t>
      </w:r>
    </w:p>
    <w:p>
      <w:pPr>
        <w:pStyle w:val="BodyText"/>
        <w:spacing w:line="312" w:lineRule="auto" w:before="19"/>
        <w:ind w:right="1032" w:firstLine="361"/>
        <w:jc w:val="left"/>
      </w:pPr>
      <w:r>
        <w:rPr/>
        <w:t>束龙胜，男，中国国籍，未拥有永久境外居留权，</w:t>
      </w:r>
      <w:r>
        <w:rPr>
          <w:rFonts w:ascii="Times New Roman" w:hAnsi="Times New Roman" w:cs="Times New Roman" w:eastAsia="Times New Roman" w:hint="default"/>
        </w:rPr>
        <w:t>1963</w:t>
      </w:r>
      <w:r>
        <w:rPr/>
        <w:t>年</w:t>
      </w:r>
      <w:r>
        <w:rPr>
          <w:rFonts w:ascii="Times New Roman" w:hAnsi="Times New Roman" w:cs="Times New Roman" w:eastAsia="Times New Roman" w:hint="default"/>
        </w:rPr>
        <w:t>5</w:t>
      </w:r>
      <w:r>
        <w:rPr/>
        <w:t>月出生，研究生学历，高级工程师。曾任铜陵市磷铵厂技术 </w:t>
      </w:r>
      <w:r>
        <w:rPr>
          <w:spacing w:val="-2"/>
        </w:rPr>
        <w:t>员，芜湖市电器设备厂厂长、芜湖市时创信用担保有限公司董事。自</w:t>
      </w:r>
      <w:r>
        <w:rPr>
          <w:rFonts w:ascii="Times New Roman" w:hAnsi="Times New Roman" w:cs="Times New Roman" w:eastAsia="Times New Roman" w:hint="default"/>
          <w:spacing w:val="-2"/>
        </w:rPr>
        <w:t>2008</w:t>
      </w:r>
      <w:r>
        <w:rPr>
          <w:spacing w:val="-2"/>
        </w:rPr>
        <w:t>年起至报告期末，一直担任公司董事会董事长。报</w:t>
      </w:r>
      <w:r>
        <w:rPr>
          <w:spacing w:val="-62"/>
        </w:rPr>
        <w:t> </w:t>
      </w:r>
      <w:r>
        <w:rPr>
          <w:spacing w:val="-62"/>
        </w:rPr>
      </w:r>
      <w:r>
        <w:rPr>
          <w:spacing w:val="-2"/>
        </w:rPr>
        <w:t>告期内，担任芜湖市鑫诚科技投资有限公司董事长，安徽鑫龙自动化有限公司董事长、安徽鑫龙变压器有限公司董事长，安</w:t>
      </w:r>
      <w:r>
        <w:rPr>
          <w:spacing w:val="-66"/>
        </w:rPr>
        <w:t> </w:t>
      </w:r>
      <w:r>
        <w:rPr>
          <w:spacing w:val="-66"/>
        </w:rPr>
      </w:r>
      <w:r>
        <w:rPr>
          <w:spacing w:val="-4"/>
        </w:rPr>
        <w:t>徽鑫东投资管理有限公司董事长，芜湖斯高思电器有限公司董事长。束龙胜先生曾任中国电工技术学会青年工作委员会委员、</w:t>
      </w:r>
      <w:r>
        <w:rPr>
          <w:spacing w:val="-44"/>
        </w:rPr>
        <w:t> </w:t>
      </w:r>
      <w:r>
        <w:rPr>
          <w:spacing w:val="-44"/>
        </w:rPr>
      </w:r>
      <w:r>
        <w:rPr>
          <w:spacing w:val="-2"/>
        </w:rPr>
        <w:t>安徽省政协委员、芜湖市政协常委、芜湖市第十三届人大代表、芜湖市工商业联合会第十届委员会会长，并获得全国工商业</w:t>
      </w:r>
      <w:r>
        <w:rPr>
          <w:spacing w:val="-66"/>
        </w:rPr>
        <w:t> </w:t>
      </w:r>
      <w:r>
        <w:rPr>
          <w:spacing w:val="-66"/>
        </w:rPr>
      </w:r>
      <w:r>
        <w:rPr/>
        <w:t>联合会中华全国总工会关爱员工优秀民营企业家、安徽省劳动模范、安徽省优秀民营科技企业家、安徽省优秀民营企业家、 安徽省年度经济人物、芜湖市创新创业优秀人才、合芜蚌自主创新人才等荣誉称号。</w:t>
      </w:r>
    </w:p>
    <w:p>
      <w:pPr>
        <w:pStyle w:val="BodyText"/>
        <w:spacing w:line="314" w:lineRule="auto" w:before="22"/>
        <w:ind w:right="1032" w:firstLine="360"/>
        <w:jc w:val="left"/>
      </w:pPr>
      <w:r>
        <w:rPr/>
        <w:t>汪宇，男，中国国籍，未拥有永久境外居留权，</w:t>
      </w:r>
      <w:r>
        <w:rPr>
          <w:rFonts w:ascii="Times New Roman" w:hAnsi="Times New Roman" w:cs="Times New Roman" w:eastAsia="Times New Roman" w:hint="default"/>
        </w:rPr>
        <w:t>1970</w:t>
      </w:r>
      <w:r>
        <w:rPr/>
        <w:t>年</w:t>
      </w:r>
      <w:r>
        <w:rPr>
          <w:rFonts w:ascii="Times New Roman" w:hAnsi="Times New Roman" w:cs="Times New Roman" w:eastAsia="Times New Roman" w:hint="default"/>
        </w:rPr>
        <w:t>4</w:t>
      </w:r>
      <w:r>
        <w:rPr/>
        <w:t>月出生，中共党员，研究生学历，会计师，安徽省劳动模范、 </w:t>
      </w:r>
      <w:r>
        <w:rPr>
          <w:spacing w:val="-2"/>
        </w:rPr>
        <w:t>芜湖市第十五届人大代表、中共芜湖市党代表。曾任芜湖缝纫机厂财务科副科长、副厂长、厂长，芜湖凯元集团副总裁、总</w:t>
      </w:r>
      <w:r>
        <w:rPr>
          <w:spacing w:val="-67"/>
        </w:rPr>
        <w:t> </w:t>
      </w:r>
      <w:r>
        <w:rPr>
          <w:spacing w:val="-67"/>
        </w:rPr>
      </w:r>
      <w:r>
        <w:rPr/>
        <w:t>裁，本公司财务部经理、财务负责人。报告期内，担任公司常务副总经理、董事会秘书、北京中电兴发科技有限公司董事、 苏州开关二厂有限公司董事、安徽鑫龙电器有限公司董事、安徽森源电器有限公司董事、安徽佑赛科技股份有限公司董事、 安徽鑫龙低压电器有限公司董事、安徽鑫龙变压器有限公司董事、安徽美能储能有限公司监事。</w:t>
      </w:r>
    </w:p>
    <w:p>
      <w:pPr>
        <w:pStyle w:val="BodyText"/>
        <w:spacing w:line="300" w:lineRule="auto" w:before="20"/>
        <w:ind w:right="1132" w:firstLine="360"/>
        <w:jc w:val="both"/>
      </w:pPr>
      <w:r>
        <w:rPr>
          <w:spacing w:val="-2"/>
        </w:rPr>
        <w:t>郭晨，男，中国国籍，未拥有永久境外居留权，</w:t>
      </w:r>
      <w:r>
        <w:rPr>
          <w:rFonts w:ascii="Times New Roman" w:hAnsi="Times New Roman" w:cs="Times New Roman" w:eastAsia="Times New Roman" w:hint="default"/>
          <w:spacing w:val="-2"/>
        </w:rPr>
        <w:t>1983</w:t>
      </w:r>
      <w:r>
        <w:rPr>
          <w:spacing w:val="-2"/>
        </w:rPr>
        <w:t>年</w:t>
      </w:r>
      <w:r>
        <w:rPr>
          <w:rFonts w:ascii="Times New Roman" w:hAnsi="Times New Roman" w:cs="Times New Roman" w:eastAsia="Times New Roman" w:hint="default"/>
          <w:spacing w:val="-2"/>
        </w:rPr>
        <w:t>6</w:t>
      </w:r>
      <w:r>
        <w:rPr>
          <w:spacing w:val="-2"/>
        </w:rPr>
        <w:t>月生，研究生学历、硕士学位。</w:t>
      </w: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5</w:t>
      </w:r>
      <w:r>
        <w:rPr>
          <w:spacing w:val="-2"/>
        </w:rPr>
        <w:t>月至</w:t>
      </w:r>
      <w:r>
        <w:rPr>
          <w:spacing w:val="17"/>
        </w:rPr>
        <w:t> </w:t>
      </w:r>
      <w:r>
        <w:rPr>
          <w:rFonts w:ascii="Times New Roman" w:hAnsi="Times New Roman" w:cs="Times New Roman" w:eastAsia="Times New Roman" w:hint="default"/>
          <w:spacing w:val="-1"/>
        </w:rPr>
        <w:t>2006</w:t>
      </w:r>
      <w:r>
        <w:rPr>
          <w:spacing w:val="-1"/>
        </w:rPr>
        <w:t>年</w:t>
      </w:r>
      <w:r>
        <w:rPr>
          <w:rFonts w:ascii="Times New Roman" w:hAnsi="Times New Roman" w:cs="Times New Roman" w:eastAsia="Times New Roman" w:hint="default"/>
          <w:spacing w:val="-1"/>
        </w:rPr>
        <w:t>2</w:t>
      </w:r>
      <w:r>
        <w:rPr>
          <w:spacing w:val="-1"/>
        </w:rPr>
        <w:t>月就职天</w:t>
      </w:r>
      <w:r>
        <w:rPr/>
        <w:t> </w:t>
      </w:r>
      <w:r>
        <w:rPr>
          <w:spacing w:val="-5"/>
        </w:rPr>
        <w:t>津通信广播电视集团，担任研发工程师；</w:t>
      </w:r>
      <w:r>
        <w:rPr>
          <w:rFonts w:ascii="Times New Roman" w:hAnsi="Times New Roman" w:cs="Times New Roman" w:eastAsia="Times New Roman" w:hint="default"/>
          <w:spacing w:val="-5"/>
        </w:rPr>
        <w:t>2006</w:t>
      </w:r>
      <w:r>
        <w:rPr>
          <w:spacing w:val="-5"/>
        </w:rPr>
        <w:t>年</w:t>
      </w:r>
      <w:r>
        <w:rPr>
          <w:rFonts w:ascii="Times New Roman" w:hAnsi="Times New Roman" w:cs="Times New Roman" w:eastAsia="Times New Roman" w:hint="default"/>
          <w:spacing w:val="-5"/>
        </w:rPr>
        <w:t>3</w:t>
      </w:r>
      <w:r>
        <w:rPr>
          <w:spacing w:val="-5"/>
        </w:rPr>
        <w:t>月至</w:t>
      </w:r>
      <w:r>
        <w:rPr>
          <w:rFonts w:ascii="Times New Roman" w:hAnsi="Times New Roman" w:cs="Times New Roman" w:eastAsia="Times New Roman" w:hint="default"/>
          <w:spacing w:val="-5"/>
        </w:rPr>
        <w:t>2007</w:t>
      </w:r>
      <w:r>
        <w:rPr>
          <w:spacing w:val="-5"/>
        </w:rPr>
        <w:t>年</w:t>
      </w:r>
      <w:r>
        <w:rPr>
          <w:rFonts w:ascii="Times New Roman" w:hAnsi="Times New Roman" w:cs="Times New Roman" w:eastAsia="Times New Roman" w:hint="default"/>
          <w:spacing w:val="-5"/>
        </w:rPr>
        <w:t>9</w:t>
      </w:r>
      <w:r>
        <w:rPr>
          <w:spacing w:val="-5"/>
        </w:rPr>
        <w:t>月就职天津天地伟业数码科技有限公司，担任研发工程师；</w:t>
      </w:r>
      <w:r>
        <w:rPr>
          <w:rFonts w:ascii="Times New Roman" w:hAnsi="Times New Roman" w:cs="Times New Roman" w:eastAsia="Times New Roman" w:hint="default"/>
          <w:spacing w:val="-5"/>
        </w:rPr>
        <w:t>2007</w:t>
      </w:r>
      <w:r>
        <w:rPr>
          <w:rFonts w:ascii="Times New Roman" w:hAnsi="Times New Roman" w:cs="Times New Roman" w:eastAsia="Times New Roman" w:hint="default"/>
        </w:rPr>
        <w:t> </w:t>
      </w:r>
      <w:r>
        <w:rPr>
          <w:rFonts w:ascii="Times New Roman" w:hAnsi="Times New Roman" w:cs="Times New Roman" w:eastAsia="Times New Roman" w:hint="default"/>
        </w:rPr>
      </w:r>
      <w:r>
        <w:rPr>
          <w:spacing w:val="-2"/>
        </w:rPr>
        <w:t>年</w:t>
      </w:r>
      <w:r>
        <w:rPr>
          <w:rFonts w:ascii="Times New Roman" w:hAnsi="Times New Roman" w:cs="Times New Roman" w:eastAsia="Times New Roman" w:hint="default"/>
          <w:spacing w:val="-2"/>
        </w:rPr>
        <w:t>10</w:t>
      </w:r>
      <w:r>
        <w:rPr>
          <w:spacing w:val="-2"/>
        </w:rPr>
        <w:t>月至今就职北京中电兴发科技有限公司，历任研发工程师、研发经理、总裁助理、副总裁，现任北京中电兴发科技有限</w:t>
      </w:r>
      <w:r>
        <w:rPr>
          <w:spacing w:val="-64"/>
        </w:rPr>
        <w:t> </w:t>
      </w:r>
      <w:r>
        <w:rPr>
          <w:spacing w:val="-64"/>
        </w:rPr>
      </w:r>
      <w:r>
        <w:rPr/>
        <w:t>公司高级副总裁。</w:t>
      </w:r>
    </w:p>
    <w:p>
      <w:pPr>
        <w:pStyle w:val="BodyText"/>
        <w:spacing w:line="309" w:lineRule="auto" w:before="31"/>
        <w:ind w:right="1032" w:firstLine="360"/>
        <w:jc w:val="left"/>
      </w:pPr>
      <w:r>
        <w:rPr>
          <w:spacing w:val="-3"/>
        </w:rPr>
        <w:t>周超，男，中国国籍，未拥有永久境外居留权，</w:t>
      </w:r>
      <w:r>
        <w:rPr>
          <w:rFonts w:ascii="Times New Roman" w:hAnsi="Times New Roman" w:cs="Times New Roman" w:eastAsia="Times New Roman" w:hint="default"/>
          <w:spacing w:val="-3"/>
        </w:rPr>
        <w:t>1984</w:t>
      </w:r>
      <w:r>
        <w:rPr>
          <w:spacing w:val="-3"/>
        </w:rPr>
        <w:t>年</w:t>
      </w:r>
      <w:r>
        <w:rPr>
          <w:rFonts w:ascii="Times New Roman" w:hAnsi="Times New Roman" w:cs="Times New Roman" w:eastAsia="Times New Roman" w:hint="default"/>
          <w:spacing w:val="-3"/>
        </w:rPr>
        <w:t>6</w:t>
      </w:r>
      <w:r>
        <w:rPr>
          <w:spacing w:val="-3"/>
        </w:rPr>
        <w:t>月生，本科学历、学士学位</w:t>
      </w:r>
      <w:r>
        <w:rPr>
          <w:rFonts w:ascii="Times New Roman" w:hAnsi="Times New Roman" w:cs="Times New Roman" w:eastAsia="Times New Roman" w:hint="default"/>
          <w:spacing w:val="-3"/>
        </w:rPr>
        <w:t>,</w:t>
      </w:r>
      <w:r>
        <w:rPr>
          <w:spacing w:val="-3"/>
        </w:rPr>
        <w:t>智慧城市设计师。</w:t>
      </w:r>
      <w:r>
        <w:rPr>
          <w:rFonts w:ascii="Times New Roman" w:hAnsi="Times New Roman" w:cs="Times New Roman" w:eastAsia="Times New Roman" w:hint="default"/>
          <w:spacing w:val="-3"/>
        </w:rPr>
        <w:t>2006</w:t>
      </w:r>
      <w:r>
        <w:rPr>
          <w:spacing w:val="-3"/>
        </w:rPr>
        <w:t>年</w:t>
      </w:r>
      <w:r>
        <w:rPr>
          <w:rFonts w:ascii="Times New Roman" w:hAnsi="Times New Roman" w:cs="Times New Roman" w:eastAsia="Times New Roman" w:hint="default"/>
          <w:spacing w:val="-3"/>
        </w:rPr>
        <w:t>7</w:t>
      </w:r>
      <w:r>
        <w:rPr>
          <w:spacing w:val="-3"/>
        </w:rPr>
        <w:t>月至</w:t>
      </w:r>
      <w:r>
        <w:rPr>
          <w:rFonts w:ascii="Times New Roman" w:hAnsi="Times New Roman" w:cs="Times New Roman" w:eastAsia="Times New Roman" w:hint="default"/>
          <w:spacing w:val="-3"/>
        </w:rPr>
        <w:t>2008</w:t>
      </w:r>
      <w:r>
        <w:rPr>
          <w:rFonts w:ascii="Times New Roman" w:hAnsi="Times New Roman" w:cs="Times New Roman" w:eastAsia="Times New Roman" w:hint="default"/>
        </w:rPr>
        <w:t> </w:t>
      </w:r>
      <w:r>
        <w:rPr/>
        <w:t>年 </w:t>
      </w:r>
      <w:r>
        <w:rPr>
          <w:rFonts w:ascii="Times New Roman" w:hAnsi="Times New Roman" w:cs="Times New Roman" w:eastAsia="Times New Roman" w:hint="default"/>
        </w:rPr>
        <w:t>2 </w:t>
      </w:r>
      <w:r>
        <w:rPr/>
        <w:t>月在天地伟业技术有限公 </w:t>
      </w:r>
      <w:r>
        <w:rPr>
          <w:spacing w:val="-6"/>
        </w:rPr>
        <w:t>司担任软件工程师；</w:t>
      </w:r>
      <w:r>
        <w:rPr>
          <w:rFonts w:ascii="Times New Roman" w:hAnsi="Times New Roman" w:cs="Times New Roman" w:eastAsia="Times New Roman" w:hint="default"/>
          <w:spacing w:val="-6"/>
        </w:rPr>
        <w:t>2008 </w:t>
      </w:r>
      <w:r>
        <w:rPr/>
        <w:t>年 </w:t>
      </w:r>
      <w:r>
        <w:rPr>
          <w:rFonts w:ascii="Times New Roman" w:hAnsi="Times New Roman" w:cs="Times New Roman" w:eastAsia="Times New Roman" w:hint="default"/>
        </w:rPr>
        <w:t>3 </w:t>
      </w:r>
      <w:r>
        <w:rPr>
          <w:spacing w:val="-4"/>
        </w:rPr>
        <w:t>月至今在北京中电兴发科技有限公司，历任基础 </w:t>
      </w:r>
      <w:r>
        <w:rPr/>
        <w:t>软件部经理、</w:t>
      </w:r>
      <w:r>
        <w:rPr/>
        <w:t> 硬件部经理、研发中心总监、总裁助理（分管供应链、产品、市场）、</w:t>
      </w:r>
      <w:r>
        <w:rPr>
          <w:spacing w:val="-17"/>
        </w:rPr>
        <w:t> </w:t>
      </w:r>
      <w:r>
        <w:rPr/>
        <w:t>副总裁（分管智慧城市研究院、研发中心），现任</w:t>
      </w:r>
      <w:r>
        <w:rPr/>
        <w:t> 北京中电兴发科技有限公司副总裁、云南省子公司董事长、云南中电典基网络科技有限公司董事长、红河智慧</w:t>
      </w:r>
      <w:r>
        <w:rPr>
          <w:spacing w:val="-17"/>
        </w:rPr>
        <w:t> </w:t>
      </w:r>
      <w:r>
        <w:rPr/>
        <w:t>科技有限公</w:t>
      </w:r>
      <w:r>
        <w:rPr/>
        <w:t> 司总经理。</w:t>
      </w:r>
    </w:p>
    <w:p>
      <w:pPr>
        <w:pStyle w:val="BodyText"/>
        <w:spacing w:line="300" w:lineRule="auto" w:before="24"/>
        <w:ind w:right="1129" w:firstLine="289"/>
        <w:jc w:val="both"/>
      </w:pPr>
      <w:r>
        <w:rPr/>
        <w:t>何利，男，中国国籍，未拥有永久境外居留权，</w:t>
      </w:r>
      <w:r>
        <w:rPr>
          <w:rFonts w:ascii="Times New Roman" w:hAnsi="Times New Roman" w:cs="Times New Roman" w:eastAsia="Times New Roman" w:hint="default"/>
        </w:rPr>
        <w:t>1967</w:t>
      </w:r>
      <w:r>
        <w:rPr/>
        <w:t>年</w:t>
      </w:r>
      <w:r>
        <w:rPr>
          <w:rFonts w:ascii="Times New Roman" w:hAnsi="Times New Roman" w:cs="Times New Roman" w:eastAsia="Times New Roman" w:hint="default"/>
        </w:rPr>
        <w:t>5</w:t>
      </w:r>
      <w:r>
        <w:rPr/>
        <w:t>月生，研究生学</w:t>
      </w:r>
      <w:r>
        <w:rPr>
          <w:spacing w:val="58"/>
        </w:rPr>
        <w:t> </w:t>
      </w:r>
      <w:r>
        <w:rPr/>
        <w:t>历、硕士学位，高级工程师。</w:t>
      </w:r>
      <w:r>
        <w:rPr>
          <w:rFonts w:ascii="Times New Roman" w:hAnsi="Times New Roman" w:cs="Times New Roman" w:eastAsia="Times New Roman" w:hint="default"/>
        </w:rPr>
        <w:t>1991</w:t>
      </w:r>
      <w:r>
        <w:rPr/>
        <w:t>年</w:t>
      </w:r>
      <w:r>
        <w:rPr>
          <w:rFonts w:ascii="Times New Roman" w:hAnsi="Times New Roman" w:cs="Times New Roman" w:eastAsia="Times New Roman" w:hint="default"/>
        </w:rPr>
        <w:t>9</w:t>
      </w:r>
      <w:r>
        <w:rPr/>
        <w:t>至</w:t>
      </w:r>
      <w:r>
        <w:rPr>
          <w:rFonts w:ascii="Times New Roman" w:hAnsi="Times New Roman" w:cs="Times New Roman" w:eastAsia="Times New Roman" w:hint="default"/>
        </w:rPr>
        <w:t>1992 </w:t>
      </w:r>
      <w:r>
        <w:rPr/>
        <w:t>年</w:t>
      </w:r>
      <w:r>
        <w:rPr>
          <w:rFonts w:ascii="Times New Roman" w:hAnsi="Times New Roman" w:cs="Times New Roman" w:eastAsia="Times New Roman" w:hint="default"/>
        </w:rPr>
        <w:t>9</w:t>
      </w:r>
      <w:r>
        <w:rPr/>
        <w:t>月石家庄飞机制造厂任工艺员；</w:t>
      </w:r>
      <w:r>
        <w:rPr>
          <w:rFonts w:ascii="Times New Roman" w:hAnsi="Times New Roman" w:cs="Times New Roman" w:eastAsia="Times New Roman" w:hint="default"/>
        </w:rPr>
        <w:t>1992</w:t>
      </w:r>
      <w:r>
        <w:rPr/>
        <w:t>年</w:t>
      </w:r>
      <w:r>
        <w:rPr>
          <w:rFonts w:ascii="Times New Roman" w:hAnsi="Times New Roman" w:cs="Times New Roman" w:eastAsia="Times New Roman" w:hint="default"/>
        </w:rPr>
        <w:t>10</w:t>
      </w:r>
      <w:r>
        <w:rPr/>
        <w:t>月至</w:t>
      </w:r>
      <w:r>
        <w:rPr>
          <w:spacing w:val="-36"/>
        </w:rPr>
        <w:t> </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4</w:t>
      </w:r>
      <w:r>
        <w:rPr/>
        <w:t>月在石家庄泛安科技开发有限公司任副总经理、</w:t>
      </w:r>
      <w:r>
        <w:rPr>
          <w:spacing w:val="-47"/>
        </w:rPr>
        <w:t> </w:t>
      </w:r>
      <w:r>
        <w:rPr/>
        <w:t>总工程师；</w:t>
      </w:r>
      <w:r>
        <w:rPr>
          <w:rFonts w:ascii="Times New Roman" w:hAnsi="Times New Roman" w:cs="Times New Roman" w:eastAsia="Times New Roman" w:hint="default"/>
        </w:rPr>
        <w:t>2003 </w:t>
      </w:r>
      <w:r>
        <w:rPr>
          <w:spacing w:val="-2"/>
        </w:rPr>
        <w:t>年</w:t>
      </w:r>
      <w:r>
        <w:rPr>
          <w:rFonts w:ascii="Times New Roman" w:hAnsi="Times New Roman" w:cs="Times New Roman" w:eastAsia="Times New Roman" w:hint="default"/>
          <w:spacing w:val="-2"/>
        </w:rPr>
        <w:t>5</w:t>
      </w:r>
      <w:r>
        <w:rPr>
          <w:spacing w:val="-2"/>
        </w:rPr>
        <w:t>月至</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4</w:t>
      </w:r>
      <w:r>
        <w:rPr>
          <w:spacing w:val="-2"/>
        </w:rPr>
        <w:t>月石家庄通远智能系统技术有限公司任总经理；</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5</w:t>
      </w:r>
      <w:r>
        <w:rPr>
          <w:spacing w:val="-2"/>
        </w:rPr>
        <w:t>月至</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8</w:t>
      </w:r>
      <w:r>
        <w:rPr>
          <w:spacing w:val="-2"/>
        </w:rPr>
        <w:t>月北京中航弱电系统工程有限公司上海</w:t>
      </w:r>
      <w:r>
        <w:rPr>
          <w:spacing w:val="-48"/>
        </w:rPr>
        <w:t> </w:t>
      </w:r>
      <w:r>
        <w:rPr/>
        <w:t>分公司任总 经理，</w:t>
      </w:r>
      <w:r>
        <w:rPr>
          <w:rFonts w:ascii="Times New Roman" w:hAnsi="Times New Roman" w:cs="Times New Roman" w:eastAsia="Times New Roman" w:hint="default"/>
        </w:rPr>
        <w:t>2008</w:t>
      </w:r>
      <w:r>
        <w:rPr>
          <w:rFonts w:ascii="Times New Roman" w:hAnsi="Times New Roman" w:cs="Times New Roman" w:eastAsia="Times New Roman" w:hint="default"/>
          <w:spacing w:val="7"/>
        </w:rPr>
        <w:t> </w:t>
      </w:r>
      <w:r>
        <w:rPr/>
        <w:t>年</w:t>
      </w:r>
      <w:r>
        <w:rPr>
          <w:rFonts w:ascii="Times New Roman" w:hAnsi="Times New Roman" w:cs="Times New Roman" w:eastAsia="Times New Roman" w:hint="default"/>
        </w:rPr>
        <w:t>9</w:t>
      </w:r>
      <w:r>
        <w:rPr/>
        <w:t>月至今在北京中电兴发科技有限公司工作，现任北京中电兴发科技有限公司副总裁。</w:t>
      </w:r>
    </w:p>
    <w:p>
      <w:pPr>
        <w:pStyle w:val="BodyText"/>
        <w:spacing w:line="307" w:lineRule="auto" w:before="13"/>
        <w:ind w:right="1132" w:firstLine="434"/>
        <w:jc w:val="both"/>
      </w:pPr>
      <w:r>
        <w:rPr/>
        <w:t>韦俊</w:t>
      </w:r>
      <w:r>
        <w:rPr>
          <w:rFonts w:ascii="Times New Roman" w:hAnsi="Times New Roman" w:cs="Times New Roman" w:eastAsia="Times New Roman" w:hint="default"/>
        </w:rPr>
        <w:t>,</w:t>
      </w:r>
      <w:r>
        <w:rPr/>
        <w:t>男，中国国籍，未拥有永久境外居留权</w:t>
      </w:r>
      <w:r>
        <w:rPr>
          <w:rFonts w:ascii="Times New Roman" w:hAnsi="Times New Roman" w:cs="Times New Roman" w:eastAsia="Times New Roman" w:hint="default"/>
        </w:rPr>
        <w:t>,1967</w:t>
      </w:r>
      <w:r>
        <w:rPr/>
        <w:t>年</w:t>
      </w:r>
      <w:r>
        <w:rPr>
          <w:rFonts w:ascii="Times New Roman" w:hAnsi="Times New Roman" w:cs="Times New Roman" w:eastAsia="Times New Roman" w:hint="default"/>
        </w:rPr>
        <w:t>4</w:t>
      </w:r>
      <w:r>
        <w:rPr/>
        <w:t>月生，中共党员，工学学士、工商管理硕士，中国电子学会常务 </w:t>
      </w:r>
      <w:r>
        <w:rPr>
          <w:spacing w:val="-2"/>
        </w:rPr>
        <w:t>理事。</w:t>
      </w:r>
      <w:r>
        <w:rPr>
          <w:rFonts w:ascii="Times New Roman" w:hAnsi="Times New Roman" w:cs="Times New Roman" w:eastAsia="Times New Roman" w:hint="default"/>
          <w:spacing w:val="-2"/>
        </w:rPr>
        <w:t>1990</w:t>
      </w:r>
      <w:r>
        <w:rPr>
          <w:spacing w:val="-2"/>
        </w:rPr>
        <w:t>年至</w:t>
      </w:r>
      <w:r>
        <w:rPr>
          <w:rFonts w:ascii="Times New Roman" w:hAnsi="Times New Roman" w:cs="Times New Roman" w:eastAsia="Times New Roman" w:hint="default"/>
          <w:spacing w:val="-2"/>
        </w:rPr>
        <w:t>1993</w:t>
      </w:r>
      <w:r>
        <w:rPr>
          <w:spacing w:val="-2"/>
        </w:rPr>
        <w:t>年，任机械电子工业部电子行业发展司科员；</w:t>
      </w:r>
      <w:r>
        <w:rPr>
          <w:rFonts w:ascii="Times New Roman" w:hAnsi="Times New Roman" w:cs="Times New Roman" w:eastAsia="Times New Roman" w:hint="default"/>
          <w:spacing w:val="-2"/>
        </w:rPr>
        <w:t>1993</w:t>
      </w:r>
      <w:r>
        <w:rPr>
          <w:spacing w:val="-2"/>
        </w:rPr>
        <w:t>年</w:t>
      </w:r>
      <w:r>
        <w:rPr>
          <w:rFonts w:ascii="Times New Roman" w:hAnsi="Times New Roman" w:cs="Times New Roman" w:eastAsia="Times New Roman" w:hint="default"/>
          <w:spacing w:val="-2"/>
        </w:rPr>
        <w:t>4</w:t>
      </w:r>
      <w:r>
        <w:rPr>
          <w:spacing w:val="-2"/>
        </w:rPr>
        <w:t>月至</w:t>
      </w:r>
      <w:r>
        <w:rPr>
          <w:rFonts w:ascii="Times New Roman" w:hAnsi="Times New Roman" w:cs="Times New Roman" w:eastAsia="Times New Roman" w:hint="default"/>
          <w:spacing w:val="-2"/>
        </w:rPr>
        <w:t>1998</w:t>
      </w:r>
      <w:r>
        <w:rPr>
          <w:spacing w:val="-2"/>
        </w:rPr>
        <w:t>年</w:t>
      </w:r>
      <w:r>
        <w:rPr>
          <w:rFonts w:ascii="Times New Roman" w:hAnsi="Times New Roman" w:cs="Times New Roman" w:eastAsia="Times New Roman" w:hint="default"/>
          <w:spacing w:val="-2"/>
        </w:rPr>
        <w:t>3</w:t>
      </w:r>
      <w:r>
        <w:rPr>
          <w:spacing w:val="-2"/>
        </w:rPr>
        <w:t>月，任电子工业部综合规划司副主任</w:t>
      </w:r>
      <w:r>
        <w:rPr>
          <w:spacing w:val="-47"/>
        </w:rPr>
        <w:t> </w:t>
      </w:r>
      <w:r>
        <w:rPr>
          <w:spacing w:val="-47"/>
        </w:rPr>
      </w:r>
      <w:r>
        <w:rPr>
          <w:spacing w:val="-2"/>
        </w:rPr>
        <w:t>科员、主任科员、副处长；</w:t>
      </w:r>
      <w:r>
        <w:rPr>
          <w:rFonts w:ascii="Times New Roman" w:hAnsi="Times New Roman" w:cs="Times New Roman" w:eastAsia="Times New Roman" w:hint="default"/>
          <w:spacing w:val="-2"/>
        </w:rPr>
        <w:t>1998</w:t>
      </w:r>
      <w:r>
        <w:rPr>
          <w:spacing w:val="-2"/>
        </w:rPr>
        <w:t>年</w:t>
      </w:r>
      <w:r>
        <w:rPr>
          <w:rFonts w:ascii="Times New Roman" w:hAnsi="Times New Roman" w:cs="Times New Roman" w:eastAsia="Times New Roman" w:hint="default"/>
          <w:spacing w:val="-2"/>
        </w:rPr>
        <w:t>4</w:t>
      </w:r>
      <w:r>
        <w:rPr>
          <w:spacing w:val="-2"/>
        </w:rPr>
        <w:t>月至</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6</w:t>
      </w:r>
      <w:r>
        <w:rPr>
          <w:spacing w:val="-2"/>
        </w:rPr>
        <w:t>月，任信息产业部综合规划司副处长、处长、副司长；</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rFonts w:ascii="Times New Roman" w:hAnsi="Times New Roman" w:cs="Times New Roman" w:eastAsia="Times New Roman" w:hint="default"/>
          <w:spacing w:val="-5"/>
        </w:rPr>
        <w:t> </w:t>
      </w:r>
      <w:r>
        <w:rPr/>
        <w:t>月，任工业和信息化部规划司副司长；</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月起，任国家集成电路产业投资基金股份有限公司副总裁。韦俊先生长期从</w:t>
      </w:r>
      <w:r>
        <w:rPr>
          <w:spacing w:val="-83"/>
        </w:rPr>
        <w:t> </w:t>
      </w:r>
      <w:r>
        <w:rPr>
          <w:spacing w:val="-83"/>
        </w:rPr>
      </w:r>
      <w:r>
        <w:rPr>
          <w:spacing w:val="-2"/>
        </w:rPr>
        <w:t>事电子行业、信息产业、工业和信息化等领域的发展战略、综合（行业、区域、子行业）规划、投资、区域布局和产业政策</w:t>
      </w:r>
      <w:r>
        <w:rPr>
          <w:spacing w:val="-69"/>
        </w:rPr>
        <w:t> </w:t>
      </w:r>
      <w:r>
        <w:rPr>
          <w:spacing w:val="-69"/>
        </w:rPr>
      </w:r>
      <w:r>
        <w:rPr>
          <w:spacing w:val="-2"/>
        </w:rPr>
        <w:t>的研究、制订与管理工作。先后参与了国产数字程控交换机产业化、光通信系统、数字移动通信、数字电视标准研发与产业</w:t>
      </w:r>
      <w:r>
        <w:rPr>
          <w:spacing w:val="-66"/>
        </w:rPr>
        <w:t> </w:t>
      </w:r>
      <w:r>
        <w:rPr>
          <w:spacing w:val="-66"/>
        </w:rPr>
      </w:r>
      <w:r>
        <w:rPr>
          <w:spacing w:val="-2"/>
        </w:rPr>
        <w:t>化、第三代移动通信研发与产业化等多项国家重大研发及产业化示范工程的方案拟订和实施工作，熟悉中国工业、信息产业</w:t>
      </w:r>
      <w:r>
        <w:rPr>
          <w:spacing w:val="-66"/>
        </w:rPr>
        <w:t> </w:t>
      </w:r>
      <w:r>
        <w:rPr>
          <w:spacing w:val="-66"/>
        </w:rPr>
      </w:r>
      <w:r>
        <w:rPr>
          <w:spacing w:val="-1"/>
        </w:rPr>
        <w:t>和信息化发展脉络、趋势特点，对信息技术演进、工业投资与企业技术改造、中国制造</w:t>
      </w:r>
      <w:r>
        <w:rPr>
          <w:rFonts w:ascii="Times New Roman" w:hAnsi="Times New Roman" w:cs="Times New Roman" w:eastAsia="Times New Roman" w:hint="default"/>
          <w:spacing w:val="-1"/>
        </w:rPr>
        <w:t>2025</w:t>
      </w:r>
      <w:r>
        <w:rPr>
          <w:spacing w:val="-1"/>
        </w:rPr>
        <w:t>、互联网</w:t>
      </w:r>
      <w:r>
        <w:rPr>
          <w:rFonts w:ascii="Times New Roman" w:hAnsi="Times New Roman" w:cs="Times New Roman" w:eastAsia="Times New Roman" w:hint="default"/>
          <w:spacing w:val="-1"/>
        </w:rPr>
        <w:t>+</w:t>
      </w:r>
      <w:r>
        <w:rPr>
          <w:spacing w:val="-1"/>
        </w:rPr>
        <w:t>等有较深刻的认识和</w:t>
      </w:r>
      <w:r>
        <w:rPr>
          <w:spacing w:val="-42"/>
        </w:rPr>
        <w:t> </w:t>
      </w:r>
      <w:r>
        <w:rPr>
          <w:spacing w:val="-42"/>
        </w:rPr>
      </w:r>
      <w:r>
        <w:rPr/>
        <w:t>理解。</w:t>
      </w:r>
    </w:p>
    <w:p>
      <w:pPr>
        <w:pStyle w:val="BodyText"/>
        <w:spacing w:line="309" w:lineRule="auto" w:before="26"/>
        <w:ind w:right="1130" w:firstLine="360"/>
        <w:jc w:val="both"/>
      </w:pPr>
      <w:r>
        <w:rPr/>
        <w:t>汪和俊，男，中国国籍，未拥有永久境外居留权，</w:t>
      </w:r>
      <w:r>
        <w:rPr>
          <w:rFonts w:ascii="Times New Roman" w:hAnsi="Times New Roman" w:cs="Times New Roman" w:eastAsia="Times New Roman" w:hint="default"/>
        </w:rPr>
        <w:t>1977</w:t>
      </w:r>
      <w:r>
        <w:rPr/>
        <w:t>年</w:t>
      </w:r>
      <w:r>
        <w:rPr>
          <w:rFonts w:ascii="Times New Roman" w:hAnsi="Times New Roman" w:cs="Times New Roman" w:eastAsia="Times New Roman" w:hint="default"/>
        </w:rPr>
        <w:t>9</w:t>
      </w:r>
      <w:r>
        <w:rPr/>
        <w:t>月出生，大专学历，中国注册会计师，中国注册税务师。曾 </w:t>
      </w:r>
      <w:r>
        <w:rPr>
          <w:spacing w:val="-2"/>
        </w:rPr>
        <w:t>就职于安徽无为国家粮食储备库、安徽永诚会计师事务所、安徽新安会计师事务所、开元信德会计师事务所安徽分所，报告</w:t>
      </w:r>
      <w:r>
        <w:rPr>
          <w:spacing w:val="-66"/>
        </w:rPr>
        <w:t> </w:t>
      </w:r>
      <w:r>
        <w:rPr>
          <w:spacing w:val="-66"/>
        </w:rPr>
      </w:r>
      <w:r>
        <w:rPr/>
        <w:t>期内，担任北京兴华会计师事务所安徽分所所长。</w:t>
      </w:r>
    </w:p>
    <w:p>
      <w:pPr>
        <w:pStyle w:val="BodyText"/>
        <w:spacing w:line="300" w:lineRule="auto" w:before="24"/>
        <w:ind w:right="1139" w:firstLine="360"/>
        <w:jc w:val="both"/>
      </w:pPr>
      <w:r>
        <w:rPr/>
        <w:t>韩旭，女，中国国籍，未拥有永久境外居留权，</w:t>
      </w:r>
      <w:r>
        <w:rPr>
          <w:rFonts w:ascii="Times New Roman" w:hAnsi="Times New Roman" w:cs="Times New Roman" w:eastAsia="Times New Roman" w:hint="default"/>
        </w:rPr>
        <w:t>1976</w:t>
      </w:r>
      <w:r>
        <w:rPr/>
        <w:t>年</w:t>
      </w:r>
      <w:r>
        <w:rPr>
          <w:rFonts w:ascii="Times New Roman" w:hAnsi="Times New Roman" w:cs="Times New Roman" w:eastAsia="Times New Roman" w:hint="default"/>
        </w:rPr>
        <w:t>2</w:t>
      </w:r>
      <w:r>
        <w:rPr/>
        <w:t>月出生，</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6</w:t>
      </w:r>
      <w:r>
        <w:rPr/>
        <w:t>月硕士研究生毕业于英国牛津大学。</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7 </w:t>
      </w:r>
      <w:r>
        <w:rPr/>
        <w:t>月至</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7</w:t>
      </w:r>
      <w:r>
        <w:rPr/>
        <w:t>月，任光大证券投资总 部内核人员现任腾讯音乐娱乐集团总法律顾问、北京市海铭、北京浩风律师事务</w:t>
      </w:r>
      <w:r>
        <w:rPr>
          <w:spacing w:val="-35"/>
        </w:rPr>
        <w:t> </w:t>
      </w:r>
      <w:r>
        <w:rPr/>
        <w:t>所主</w:t>
      </w:r>
      <w:r>
        <w:rPr/>
        <w:t> 任律师。</w:t>
      </w:r>
    </w:p>
    <w:p>
      <w:pPr>
        <w:pStyle w:val="BodyText"/>
        <w:spacing w:line="300" w:lineRule="auto" w:before="31"/>
        <w:ind w:left="514" w:right="1122"/>
        <w:jc w:val="left"/>
      </w:pPr>
      <w:r>
        <w:rPr>
          <w:rFonts w:ascii="Times New Roman" w:hAnsi="Times New Roman" w:cs="Times New Roman" w:eastAsia="Times New Roman" w:hint="default"/>
        </w:rPr>
        <w:t>2</w:t>
      </w:r>
      <w:r>
        <w:rPr/>
        <w:t>、监事任职情况 张廷勇，男，中国国籍，未拥有永久境外居留权，</w:t>
      </w:r>
      <w:r>
        <w:rPr>
          <w:rFonts w:ascii="Times New Roman" w:hAnsi="Times New Roman" w:cs="Times New Roman" w:eastAsia="Times New Roman" w:hint="default"/>
        </w:rPr>
        <w:t>1987</w:t>
      </w:r>
      <w:r>
        <w:rPr/>
        <w:t>年</w:t>
      </w:r>
      <w:r>
        <w:rPr>
          <w:rFonts w:ascii="Times New Roman" w:hAnsi="Times New Roman" w:cs="Times New Roman" w:eastAsia="Times New Roman" w:hint="default"/>
        </w:rPr>
        <w:t>6</w:t>
      </w:r>
      <w:r>
        <w:rPr/>
        <w:t>月出生，本科学历，学士学位。</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月就职</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ind w:right="1141"/>
        <w:jc w:val="left"/>
      </w:pPr>
      <w:r>
        <w:rPr/>
        <w:t>于北京中电兴发科技有限公司，担任</w:t>
      </w:r>
      <w:r>
        <w:rPr>
          <w:spacing w:val="-19"/>
        </w:rPr>
        <w:t> </w:t>
      </w:r>
      <w:r>
        <w:rPr/>
        <w:t>技术工程师，</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月就职于航天长征国际贸易有限公司，担任经营管 理主管。现任北京中电兴发科技有限公司合作营销主管。</w:t>
      </w:r>
    </w:p>
    <w:p>
      <w:pPr>
        <w:pStyle w:val="BodyText"/>
        <w:spacing w:line="300" w:lineRule="auto" w:before="31"/>
        <w:ind w:right="0" w:firstLine="360"/>
        <w:jc w:val="left"/>
      </w:pPr>
      <w:r>
        <w:rPr>
          <w:spacing w:val="-2"/>
        </w:rPr>
        <w:t>曾滟，女，中国国籍，未拥有永久境外居留权，</w:t>
      </w:r>
      <w:r>
        <w:rPr>
          <w:rFonts w:ascii="Times New Roman" w:hAnsi="Times New Roman" w:cs="Times New Roman" w:eastAsia="Times New Roman" w:hint="default"/>
          <w:spacing w:val="-2"/>
        </w:rPr>
        <w:t>1979</w:t>
      </w:r>
      <w:r>
        <w:rPr>
          <w:spacing w:val="-2"/>
        </w:rPr>
        <w:t>年</w:t>
      </w:r>
      <w:r>
        <w:rPr>
          <w:rFonts w:ascii="Times New Roman" w:hAnsi="Times New Roman" w:cs="Times New Roman" w:eastAsia="Times New Roman" w:hint="default"/>
          <w:spacing w:val="-2"/>
        </w:rPr>
        <w:t>10</w:t>
      </w:r>
      <w:r>
        <w:rPr>
          <w:spacing w:val="-2"/>
        </w:rPr>
        <w:t>月生，本科学历。</w:t>
      </w:r>
      <w:r>
        <w:rPr>
          <w:rFonts w:ascii="Times New Roman" w:hAnsi="Times New Roman" w:cs="Times New Roman" w:eastAsia="Times New Roman" w:hint="default"/>
          <w:spacing w:val="-2"/>
        </w:rPr>
        <w:t>2001</w:t>
      </w:r>
      <w:r>
        <w:rPr>
          <w:spacing w:val="-2"/>
        </w:rPr>
        <w:t>年至今在北京中电兴发科技有限公司工</w:t>
      </w:r>
      <w:r>
        <w:rPr/>
        <w:t> 作，历任行政专员、总裁办副主任、主任、采购经理，现任合约总监等职务。</w:t>
      </w:r>
    </w:p>
    <w:p>
      <w:pPr>
        <w:pStyle w:val="BodyText"/>
        <w:spacing w:line="300" w:lineRule="auto" w:before="32"/>
        <w:ind w:left="514" w:right="1122"/>
        <w:jc w:val="left"/>
      </w:pPr>
      <w:r>
        <w:rPr/>
        <w:t>陈邦莲，女，中国国籍，未拥有永久境外居留权，</w:t>
      </w:r>
      <w:r>
        <w:rPr>
          <w:rFonts w:ascii="Times New Roman" w:hAnsi="Times New Roman" w:cs="Times New Roman" w:eastAsia="Times New Roman" w:hint="default"/>
        </w:rPr>
        <w:t>1972</w:t>
      </w:r>
      <w:r>
        <w:rPr/>
        <w:t>年</w:t>
      </w:r>
      <w:r>
        <w:rPr>
          <w:rFonts w:ascii="Times New Roman" w:hAnsi="Times New Roman" w:cs="Times New Roman" w:eastAsia="Times New Roman" w:hint="default"/>
        </w:rPr>
        <w:t>3</w:t>
      </w:r>
      <w:r>
        <w:rPr/>
        <w:t>月出生，中专学历。报告期内，担任本公司监事会主席。 </w:t>
      </w:r>
      <w:r>
        <w:rPr>
          <w:rFonts w:ascii="Times New Roman" w:hAnsi="Times New Roman" w:cs="Times New Roman" w:eastAsia="Times New Roman" w:hint="default"/>
        </w:rPr>
        <w:t>3</w:t>
      </w:r>
      <w:r>
        <w:rPr/>
        <w:t>、其他高级管理人员任职情况 李小庆，男，中国国籍，未拥有永久境外居留权，</w:t>
      </w:r>
      <w:r>
        <w:rPr>
          <w:rFonts w:ascii="Times New Roman" w:hAnsi="Times New Roman" w:cs="Times New Roman" w:eastAsia="Times New Roman" w:hint="default"/>
        </w:rPr>
        <w:t>1964</w:t>
      </w:r>
      <w:r>
        <w:rPr/>
        <w:t>年</w:t>
      </w:r>
      <w:r>
        <w:rPr>
          <w:rFonts w:ascii="Times New Roman" w:hAnsi="Times New Roman" w:cs="Times New Roman" w:eastAsia="Times New Roman" w:hint="default"/>
        </w:rPr>
        <w:t>2</w:t>
      </w:r>
      <w:r>
        <w:rPr/>
        <w:t>月出生，本科学历，高级工程师。曾任芜湖市粮油食品局科</w:t>
      </w:r>
    </w:p>
    <w:p>
      <w:pPr>
        <w:pStyle w:val="BodyText"/>
        <w:spacing w:line="316" w:lineRule="auto" w:before="13"/>
        <w:ind w:left="514" w:right="0" w:hanging="360"/>
        <w:jc w:val="left"/>
      </w:pPr>
      <w:r>
        <w:rPr/>
        <w:t>员，芜湖市益新面粉公司科长、副总经理，公司副总经理。报告期内，担任公司总工程师。 </w:t>
      </w:r>
      <w:r>
        <w:rPr>
          <w:spacing w:val="-2"/>
        </w:rPr>
        <w:t>闫涛，男，中国国籍，未拥有永久境外居留权，</w:t>
      </w:r>
      <w:r>
        <w:rPr>
          <w:rFonts w:ascii="Times New Roman" w:hAnsi="Times New Roman" w:cs="Times New Roman" w:eastAsia="Times New Roman" w:hint="default"/>
          <w:spacing w:val="-2"/>
        </w:rPr>
        <w:t>1976</w:t>
      </w:r>
      <w:r>
        <w:rPr>
          <w:spacing w:val="-2"/>
        </w:rPr>
        <w:t>年</w:t>
      </w:r>
      <w:r>
        <w:rPr>
          <w:rFonts w:ascii="Times New Roman" w:hAnsi="Times New Roman" w:cs="Times New Roman" w:eastAsia="Times New Roman" w:hint="default"/>
          <w:spacing w:val="-2"/>
        </w:rPr>
        <w:t>12</w:t>
      </w:r>
      <w:r>
        <w:rPr>
          <w:spacing w:val="-2"/>
        </w:rPr>
        <w:t>月出生，大专学历。曾任公司物流部经理、成套二厂厂长、安</w:t>
      </w:r>
    </w:p>
    <w:p>
      <w:pPr>
        <w:pStyle w:val="BodyText"/>
        <w:spacing w:line="316" w:lineRule="auto" w:before="0"/>
        <w:ind w:right="1118"/>
        <w:jc w:val="left"/>
      </w:pPr>
      <w:r>
        <w:rPr>
          <w:spacing w:val="-2"/>
        </w:rPr>
        <w:t>徽美能储能系统有限公司运营经理、安徽鑫龙低压电器有限公司总经理。报告期内，担任公司副总经理、安徽鑫龙电器有限</w:t>
      </w:r>
      <w:r>
        <w:rPr>
          <w:spacing w:val="-66"/>
        </w:rPr>
        <w:t> </w:t>
      </w:r>
      <w:r>
        <w:rPr>
          <w:spacing w:val="-66"/>
        </w:rPr>
      </w:r>
      <w:r>
        <w:rPr/>
        <w:t>公司总经理。</w:t>
      </w:r>
    </w:p>
    <w:p>
      <w:pPr>
        <w:pStyle w:val="BodyText"/>
        <w:spacing w:line="300" w:lineRule="auto" w:before="19"/>
        <w:ind w:right="1122" w:firstLine="360"/>
        <w:jc w:val="left"/>
      </w:pPr>
      <w:r>
        <w:rPr/>
        <w:t>陶黎明，男，中国国籍，未拥有永久境外居留权，</w:t>
      </w:r>
      <w:r>
        <w:rPr>
          <w:rFonts w:ascii="Times New Roman" w:hAnsi="Times New Roman" w:cs="Times New Roman" w:eastAsia="Times New Roman" w:hint="default"/>
        </w:rPr>
        <w:t>1975</w:t>
      </w:r>
      <w:r>
        <w:rPr/>
        <w:t>年</w:t>
      </w:r>
      <w:r>
        <w:rPr>
          <w:rFonts w:ascii="Times New Roman" w:hAnsi="Times New Roman" w:cs="Times New Roman" w:eastAsia="Times New Roman" w:hint="default"/>
        </w:rPr>
        <w:t>8</w:t>
      </w:r>
      <w:r>
        <w:rPr/>
        <w:t>月出生，本科学历，中国注册会计师。曾就职于芜湖市轻工 工艺品进出口公司，南京中达制膜（集团）股份有限公司。报告期内，担任公司财务负责人。</w:t>
      </w:r>
    </w:p>
    <w:p>
      <w:pPr>
        <w:pStyle w:val="BodyText"/>
        <w:spacing w:line="240" w:lineRule="auto" w:before="72"/>
        <w:ind w:right="0"/>
        <w:jc w:val="left"/>
      </w:pPr>
      <w:r>
        <w:rPr/>
        <w:t>在股东单位任职情况</w:t>
      </w:r>
    </w:p>
    <w:p>
      <w:pPr>
        <w:pStyle w:val="BodyText"/>
        <w:spacing w:line="338" w:lineRule="auto" w:before="117"/>
        <w:ind w:right="9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在其他单位任职情况</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42" w:right="53"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瞿洪桂</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北京中电兴发科技有限公司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8"/>
                <w:sz w:val="18"/>
                <w:szCs w:val="18"/>
              </w:rPr>
              <w:t>董事长、总裁</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瞿洪桂</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中投仙能科技（北京）有限公司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left"/>
              <w:rPr>
                <w:rFonts w:ascii="宋体" w:hAnsi="宋体" w:cs="宋体" w:eastAsia="宋体" w:hint="default"/>
                <w:sz w:val="18"/>
                <w:szCs w:val="18"/>
              </w:rPr>
            </w:pPr>
            <w:r>
              <w:rPr>
                <w:rFonts w:ascii="宋体" w:hAnsi="宋体" w:cs="宋体" w:eastAsia="宋体" w:hint="default"/>
                <w:spacing w:val="-8"/>
                <w:sz w:val="18"/>
                <w:szCs w:val="18"/>
              </w:rPr>
              <w:t>执行董事、总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瞿洪桂</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中投仙能科技（苏州）有限公司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pacing w:val="-8"/>
                <w:sz w:val="18"/>
                <w:szCs w:val="18"/>
              </w:rPr>
              <w:t>执行董事、总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瞿洪桂</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大咖互联（北京）技术有限公司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pacing w:val="-8"/>
                <w:sz w:val="18"/>
                <w:szCs w:val="18"/>
              </w:rPr>
              <w:t>执行董事、总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瞿洪桂</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红河智慧科技有限公司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瞿洪桂</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云觉信息科技（苏州）有限公司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pacing w:val="-8"/>
                <w:sz w:val="18"/>
                <w:szCs w:val="18"/>
              </w:rPr>
              <w:t>执行董事、总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瞿洪桂</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云泽投资管理（天津）有限公司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瞿洪桂</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云南中电典基网络科技有限公司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瞿洪桂</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凤凰智慧城市管理运营有限责任公司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瞿洪桂</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中电兴发软件研发（北京）有限公司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瞿洪桂</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中普慧园科技（北京）有限公司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瞿洪桂</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云南中电新联通信网络有限公司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瞿洪桂</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北京普天智慧科技有限公司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瞿洪桂</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湖南恒联通达信息科技有限公司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瞿洪桂</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信诺非凡（北京）科技有限公司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pacing w:val="-8"/>
                <w:sz w:val="18"/>
                <w:szCs w:val="18"/>
              </w:rPr>
              <w:t>执行董事、经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理</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瞿洪桂</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中电兴发机器人技术（北京）有限公司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瞿洪桂</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中科微机电技术（北京）有限公司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束龙胜</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芜湖市鑫诚科技投资有限公司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束龙胜</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安徽鑫龙自动化有限公司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束龙胜</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安徽鑫龙变压器有限公司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束龙胜</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安徽鑫东投资管理有限公司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束龙胜</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芜湖市斯高思电器有限公司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汪宇</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北京中电兴发科技有限公司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汪宇</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安徽佑赛科技股份有限公司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汪宇</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苏州开关二厂有限公司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汪宇</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安徽森源电器有限公司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汪宇</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安徽鑫龙电器有限公司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汪宇</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安徽鑫龙低压电器有限公司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汪宇</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安徽鑫龙变压器有限公司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汪宇</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安徽美能储能有限公司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郭晨</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北京中电兴发科技有限公司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郭晨</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凤凰智慧城市管理运营有限责任公司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郭晨</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湖南恒联通达信息科技有限公司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董事兼总经 理</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郭晨</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湖北楚兴联怡网络技术有限公司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董事兼总经 理</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郭晨</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北京普天智慧科技有限公司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董事兼总经 理</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周超</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北京中电兴发科技有限公司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周超</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云南中电典基网络科技有限公司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周超</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红河智慧科技有限公司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韦俊</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国家集成电路产业投资基金股份有限公 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汪和俊</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北京兴华会计师事务所安徽分所</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合伙人兼安 徽分所所长</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韩旭</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北京市浩风律师事务所</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主任</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公司现任及报告期内离任董事、监事和高级管理人员近三年证券监管机构处罚的情况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董事、监事、高级管理人员报酬情况" w:id="131"/>
      <w:bookmarkEnd w:id="131"/>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董事、监事、高级管理人员报酬的决策程序、确定依据、实际支付情况</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BodyText"/>
        <w:spacing w:line="240" w:lineRule="auto"/>
        <w:ind w:left="7524" w:right="1123"/>
        <w:jc w:val="right"/>
      </w:pPr>
      <w:r>
        <w:rPr/>
        <w:pict>
          <v:shape style="position:absolute;margin-left:56.34pt;margin-top:-38.588287pt;width:479.55pt;height:127.25pt;mso-position-horizontal-relative:page;mso-position-vertical-relative:paragraph;z-index:1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98"/>
                    <w:gridCol w:w="7570"/>
                  </w:tblGrid>
                  <w:tr>
                    <w:trPr>
                      <w:trHeight w:val="739" w:hRule="exact"/>
                    </w:trPr>
                    <w:tc>
                      <w:tcPr>
                        <w:tcW w:w="199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2"/>
                          <w:jc w:val="left"/>
                          <w:rPr>
                            <w:rFonts w:ascii="宋体" w:hAnsi="宋体" w:cs="宋体" w:eastAsia="宋体" w:hint="default"/>
                            <w:sz w:val="18"/>
                            <w:szCs w:val="18"/>
                          </w:rPr>
                        </w:pPr>
                        <w:r>
                          <w:rPr>
                            <w:rFonts w:ascii="宋体" w:hAnsi="宋体" w:cs="宋体" w:eastAsia="宋体" w:hint="default"/>
                            <w:sz w:val="18"/>
                            <w:szCs w:val="18"/>
                          </w:rPr>
                          <w:t>董事、监事、高级管理人 员报酬的决策程序</w:t>
                        </w:r>
                      </w:p>
                    </w:tc>
                    <w:tc>
                      <w:tcPr>
                        <w:tcW w:w="7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7"/>
                          <w:jc w:val="left"/>
                          <w:rPr>
                            <w:rFonts w:ascii="宋体" w:hAnsi="宋体" w:cs="宋体" w:eastAsia="宋体" w:hint="default"/>
                            <w:sz w:val="18"/>
                            <w:szCs w:val="18"/>
                          </w:rPr>
                        </w:pPr>
                        <w:r>
                          <w:rPr>
                            <w:rFonts w:ascii="宋体" w:hAnsi="宋体" w:cs="宋体" w:eastAsia="宋体" w:hint="default"/>
                            <w:sz w:val="18"/>
                            <w:szCs w:val="18"/>
                          </w:rPr>
                          <w:t>经董事会薪酬与考核委员会审定后提交董事会审议，决策程序符合《公司法》，《公司章程》，</w:t>
                        </w:r>
                      </w:p>
                      <w:p>
                        <w:pPr>
                          <w:pStyle w:val="TableParagraph"/>
                          <w:spacing w:line="240" w:lineRule="auto" w:before="76"/>
                          <w:ind w:left="2" w:right="0"/>
                          <w:jc w:val="left"/>
                          <w:rPr>
                            <w:rFonts w:ascii="宋体" w:hAnsi="宋体" w:cs="宋体" w:eastAsia="宋体" w:hint="default"/>
                            <w:sz w:val="18"/>
                            <w:szCs w:val="18"/>
                          </w:rPr>
                        </w:pPr>
                        <w:r>
                          <w:rPr>
                            <w:rFonts w:ascii="宋体" w:hAnsi="宋体" w:cs="宋体" w:eastAsia="宋体" w:hint="default"/>
                            <w:sz w:val="18"/>
                            <w:szCs w:val="18"/>
                          </w:rPr>
                          <w:t>《董事会薪酬委员会工作细则》的相关规定。</w:t>
                        </w:r>
                      </w:p>
                    </w:tc>
                  </w:tr>
                  <w:tr>
                    <w:trPr>
                      <w:trHeight w:val="740" w:hRule="exact"/>
                    </w:trPr>
                    <w:tc>
                      <w:tcPr>
                        <w:tcW w:w="199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2"/>
                          <w:jc w:val="left"/>
                          <w:rPr>
                            <w:rFonts w:ascii="宋体" w:hAnsi="宋体" w:cs="宋体" w:eastAsia="宋体" w:hint="default"/>
                            <w:sz w:val="18"/>
                            <w:szCs w:val="18"/>
                          </w:rPr>
                        </w:pPr>
                        <w:r>
                          <w:rPr>
                            <w:rFonts w:ascii="宋体" w:hAnsi="宋体" w:cs="宋体" w:eastAsia="宋体" w:hint="default"/>
                            <w:sz w:val="18"/>
                            <w:szCs w:val="18"/>
                          </w:rPr>
                          <w:t>董事、监事、高级管理人 员报酬确定依据</w:t>
                        </w:r>
                      </w:p>
                    </w:tc>
                    <w:tc>
                      <w:tcPr>
                        <w:tcW w:w="757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92"/>
                          <w:jc w:val="left"/>
                          <w:rPr>
                            <w:rFonts w:ascii="宋体" w:hAnsi="宋体" w:cs="宋体" w:eastAsia="宋体" w:hint="default"/>
                            <w:sz w:val="18"/>
                            <w:szCs w:val="18"/>
                          </w:rPr>
                        </w:pPr>
                        <w:r>
                          <w:rPr>
                            <w:rFonts w:ascii="宋体" w:hAnsi="宋体" w:cs="宋体" w:eastAsia="宋体" w:hint="default"/>
                            <w:spacing w:val="-3"/>
                            <w:sz w:val="18"/>
                            <w:szCs w:val="18"/>
                          </w:rPr>
                          <w:t>公司依据《高管人员薪酬管理制度》和《关于公司第七届董事会独立董事津贴的议案》确定董事</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监事、高管人员报酬。</w:t>
                        </w:r>
                      </w:p>
                    </w:tc>
                  </w:tr>
                  <w:tr>
                    <w:trPr>
                      <w:trHeight w:val="1051" w:hRule="exact"/>
                    </w:trPr>
                    <w:tc>
                      <w:tcPr>
                        <w:tcW w:w="1998"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2" w:right="1"/>
                          <w:jc w:val="left"/>
                          <w:rPr>
                            <w:rFonts w:ascii="宋体" w:hAnsi="宋体" w:cs="宋体" w:eastAsia="宋体" w:hint="default"/>
                            <w:sz w:val="18"/>
                            <w:szCs w:val="18"/>
                          </w:rPr>
                        </w:pPr>
                        <w:r>
                          <w:rPr>
                            <w:rFonts w:ascii="宋体" w:hAnsi="宋体" w:cs="宋体" w:eastAsia="宋体" w:hint="default"/>
                            <w:sz w:val="18"/>
                            <w:szCs w:val="18"/>
                          </w:rPr>
                          <w:t>董事、监事和高级管理人 员报酬的实际支付情况</w:t>
                        </w:r>
                      </w:p>
                    </w:tc>
                    <w:tc>
                      <w:tcPr>
                        <w:tcW w:w="757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1"/>
                          <w:ind w:left="2" w:right="-8"/>
                          <w:jc w:val="both"/>
                          <w:rPr>
                            <w:rFonts w:ascii="宋体" w:hAnsi="宋体" w:cs="宋体" w:eastAsia="宋体" w:hint="default"/>
                            <w:sz w:val="18"/>
                            <w:szCs w:val="18"/>
                          </w:rPr>
                        </w:pPr>
                        <w:r>
                          <w:rPr>
                            <w:rFonts w:ascii="宋体" w:hAnsi="宋体" w:cs="宋体" w:eastAsia="宋体" w:hint="default"/>
                            <w:sz w:val="18"/>
                            <w:szCs w:val="18"/>
                          </w:rPr>
                          <w:t>公司现任董事、监事、高级管理人员实际在公司领取报酬有</w:t>
                        </w:r>
                        <w:r>
                          <w:rPr>
                            <w:rFonts w:ascii="Times New Roman" w:hAnsi="Times New Roman" w:cs="Times New Roman" w:eastAsia="Times New Roman" w:hint="default"/>
                            <w:sz w:val="18"/>
                            <w:szCs w:val="18"/>
                          </w:rPr>
                          <w:t>14</w:t>
                        </w:r>
                        <w:r>
                          <w:rPr>
                            <w:rFonts w:ascii="宋体" w:hAnsi="宋体" w:cs="宋体" w:eastAsia="宋体" w:hint="default"/>
                            <w:sz w:val="18"/>
                            <w:szCs w:val="18"/>
                          </w:rPr>
                          <w:t>人，</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日，现任董事、 监事、高级管理人员在公司领取的年度报酬的总数为</w:t>
                        </w:r>
                        <w:r>
                          <w:rPr>
                            <w:rFonts w:ascii="Times New Roman" w:hAnsi="Times New Roman" w:cs="Times New Roman" w:eastAsia="Times New Roman" w:hint="default"/>
                            <w:sz w:val="18"/>
                            <w:szCs w:val="18"/>
                          </w:rPr>
                          <w:t>441.11</w:t>
                        </w:r>
                        <w:r>
                          <w:rPr>
                            <w:rFonts w:ascii="宋体" w:hAnsi="宋体" w:cs="宋体" w:eastAsia="宋体" w:hint="default"/>
                            <w:sz w:val="18"/>
                            <w:szCs w:val="18"/>
                          </w:rPr>
                          <w:t>万元（税前），其中现任独立董事在 公司领取的津贴总额为</w:t>
                        </w:r>
                        <w:r>
                          <w:rPr>
                            <w:rFonts w:ascii="Times New Roman" w:hAnsi="Times New Roman" w:cs="Times New Roman" w:eastAsia="Times New Roman" w:hint="default"/>
                            <w:sz w:val="18"/>
                            <w:szCs w:val="18"/>
                          </w:rPr>
                          <w:t>15</w:t>
                        </w:r>
                        <w:r>
                          <w:rPr>
                            <w:rFonts w:ascii="宋体" w:hAnsi="宋体" w:cs="宋体" w:eastAsia="宋体" w:hint="default"/>
                            <w:sz w:val="18"/>
                            <w:szCs w:val="18"/>
                          </w:rPr>
                          <w:t>万元（税前）。</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BodyText"/>
        <w:spacing w:line="240" w:lineRule="auto"/>
        <w:ind w:right="0"/>
        <w:jc w:val="left"/>
      </w:pPr>
      <w:r>
        <w:rPr/>
        <w:t>公司报告期内董事、监事和高级管理人员报酬情况</w:t>
      </w:r>
    </w:p>
    <w:p>
      <w:pPr>
        <w:pStyle w:val="BodyText"/>
        <w:spacing w:line="240" w:lineRule="auto" w:before="117"/>
        <w:ind w:left="7524"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束龙胜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瞿洪桂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总经理、董事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28.81</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武文杰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129.2</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汪宇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常务副总经理、 董事会秘书、董 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38.8</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宋丽君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陈任峰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36.5</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葛愿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韦俊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汪和俊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陈邦莲</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6.43</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张文虎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张良会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甘洪亮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11.77</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李小庆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总工程师</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36.5</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闫涛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38.5</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陶黎明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财务负责人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35.5</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441.11</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公司董事、高级管理人员报告期内被授予的股权激励情况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五、公司员工情况" w:id="132"/>
      <w:bookmarkEnd w:id="132"/>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员工数量、专业构成及教育程度" w:id="133"/>
      <w:bookmarkEnd w:id="133"/>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6"/>
        <w:gridCol w:w="4792"/>
      </w:tblGrid>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640</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1,363</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2,003</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2,003</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2"/>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520</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480</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484</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452</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2,003</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0"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大专以上</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1,274</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中专及高中</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410</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高中以下</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319</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2,003</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2、薪酬政策" w:id="134"/>
      <w:bookmarkEnd w:id="134"/>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8"/>
        <w:rPr>
          <w:rFonts w:ascii="宋体" w:hAnsi="宋体" w:cs="宋体" w:eastAsia="宋体" w:hint="default"/>
          <w:b/>
          <w:bCs/>
          <w:sz w:val="26"/>
          <w:szCs w:val="26"/>
        </w:rPr>
      </w:pPr>
    </w:p>
    <w:p>
      <w:pPr>
        <w:pStyle w:val="BodyText"/>
        <w:spacing w:line="316" w:lineRule="auto" w:before="0"/>
        <w:ind w:right="1032" w:firstLine="290"/>
        <w:jc w:val="left"/>
      </w:pPr>
      <w:r>
        <w:rPr>
          <w:spacing w:val="-3"/>
        </w:rPr>
        <w:t>能力决定岗位，贡献决定收入。公司薪酬制度以岗位为基础，综合考虑员工技能与工作业绩，实行同工同酬。采取计件、</w:t>
      </w:r>
      <w:r>
        <w:rPr/>
        <w:t> 技能评级、绩效打分等绩效考核方式，评估员工的劳动产出，实行多劳多得，激励先进、鞭策后进。同时，对拥有高学历、 </w:t>
      </w:r>
      <w:r>
        <w:rPr>
          <w:spacing w:val="-2"/>
        </w:rPr>
        <w:t>职称、特殊技能的员工，以及对公司技术工艺改进、培养人才等方面拥有突出贡献的员工给予相应薪酬补贴。以保证公司薪</w:t>
      </w:r>
      <w:r>
        <w:rPr>
          <w:spacing w:val="-66"/>
        </w:rPr>
        <w:t> </w:t>
      </w:r>
      <w:r>
        <w:rPr>
          <w:spacing w:val="-66"/>
        </w:rPr>
      </w:r>
      <w:r>
        <w:rPr/>
        <w:t>酬制度的公平、公正、合理，充分发挥薪酬的激励性。</w:t>
      </w:r>
    </w:p>
    <w:p>
      <w:pPr>
        <w:pStyle w:val="BodyText"/>
        <w:spacing w:line="300" w:lineRule="auto" w:before="19"/>
        <w:ind w:right="1130" w:firstLine="290"/>
        <w:jc w:val="both"/>
      </w:pPr>
      <w:r>
        <w:rPr>
          <w:spacing w:val="-1"/>
        </w:rPr>
        <w:t>报告期内，职工薪酬总额（计入成本部分）</w:t>
      </w:r>
      <w:r>
        <w:rPr>
          <w:rFonts w:ascii="Times New Roman" w:hAnsi="Times New Roman" w:cs="Times New Roman" w:eastAsia="Times New Roman" w:hint="default"/>
          <w:spacing w:val="-1"/>
        </w:rPr>
        <w:t>5,905.98</w:t>
      </w:r>
      <w:r>
        <w:rPr>
          <w:spacing w:val="-1"/>
        </w:rPr>
        <w:t>万元，占公司成本总额的比重为</w:t>
      </w:r>
      <w:r>
        <w:rPr>
          <w:rFonts w:ascii="Times New Roman" w:hAnsi="Times New Roman" w:cs="Times New Roman" w:eastAsia="Times New Roman" w:hint="default"/>
          <w:spacing w:val="-1"/>
        </w:rPr>
        <w:t>3.45%</w:t>
      </w:r>
      <w:r>
        <w:rPr>
          <w:spacing w:val="-1"/>
        </w:rPr>
        <w:t>。公司利润对职工薪酬总额变</w:t>
      </w:r>
      <w:r>
        <w:rPr/>
        <w:t> </w:t>
      </w:r>
      <w:r>
        <w:rPr>
          <w:spacing w:val="-2"/>
        </w:rPr>
        <w:t>化敏感度较低，职工薪酬对公司财务状况和经营成果不构成重大影响。报告期内公司核心技术人员为</w:t>
      </w:r>
      <w:r>
        <w:rPr>
          <w:rFonts w:ascii="Times New Roman" w:hAnsi="Times New Roman" w:cs="Times New Roman" w:eastAsia="Times New Roman" w:hint="default"/>
          <w:spacing w:val="-2"/>
        </w:rPr>
        <w:t>15</w:t>
      </w:r>
      <w:r>
        <w:rPr>
          <w:spacing w:val="-2"/>
        </w:rPr>
        <w:t>人，占全体员工人数</w:t>
      </w:r>
      <w:r>
        <w:rPr>
          <w:spacing w:val="-63"/>
        </w:rPr>
        <w:t> </w:t>
      </w:r>
      <w:r>
        <w:rPr>
          <w:spacing w:val="-63"/>
        </w:rPr>
      </w:r>
      <w:r>
        <w:rPr/>
        <w:t>的</w:t>
      </w:r>
      <w:r>
        <w:rPr>
          <w:rFonts w:ascii="Times New Roman" w:hAnsi="Times New Roman" w:cs="Times New Roman" w:eastAsia="Times New Roman" w:hint="default"/>
        </w:rPr>
        <w:t>0.75%</w:t>
      </w:r>
      <w:r>
        <w:rPr/>
        <w:t>，截止报告期末，核心技术人员薪酬占全体员工薪酬的</w:t>
      </w:r>
      <w:r>
        <w:rPr>
          <w:rFonts w:ascii="Times New Roman" w:hAnsi="Times New Roman" w:cs="Times New Roman" w:eastAsia="Times New Roman" w:hint="default"/>
        </w:rPr>
        <w:t>1.74%</w:t>
      </w:r>
      <w:r>
        <w:rPr/>
        <w:t>，本报告期较上年同期未发生重大变化。</w:t>
      </w:r>
    </w:p>
    <w:p>
      <w:pPr>
        <w:spacing w:line="240" w:lineRule="auto" w:before="0"/>
        <w:rPr>
          <w:rFonts w:ascii="宋体" w:hAnsi="宋体" w:cs="宋体" w:eastAsia="宋体" w:hint="default"/>
          <w:sz w:val="18"/>
          <w:szCs w:val="18"/>
        </w:rPr>
      </w:pPr>
    </w:p>
    <w:p>
      <w:pPr>
        <w:pStyle w:val="BodyText"/>
        <w:spacing w:line="240" w:lineRule="auto" w:before="130"/>
        <w:ind w:right="0"/>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3、培训计划" w:id="135"/>
      <w:bookmarkEnd w:id="135"/>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319" w:lineRule="auto" w:before="0"/>
        <w:ind w:right="1032" w:firstLine="360"/>
        <w:jc w:val="left"/>
      </w:pPr>
      <w:r>
        <w:rPr/>
        <w:t>现代企业的竞争实际是人才的竞争，人才被视为公司最核心竞争力。公司每年根据员工职业生涯规划及素质提升需要， </w:t>
      </w:r>
      <w:r>
        <w:rPr>
          <w:spacing w:val="-2"/>
        </w:rPr>
        <w:t>组织员工在专业技能、理论知识、法律法规、管理技巧等方面开展教育学习与培训活动。对不同类型的员工有不同的培训重</w:t>
      </w:r>
      <w:r>
        <w:rPr>
          <w:spacing w:val="-66"/>
        </w:rPr>
        <w:t> </w:t>
      </w:r>
      <w:r>
        <w:rPr>
          <w:spacing w:val="-66"/>
        </w:rPr>
      </w:r>
      <w:r>
        <w:rPr/>
        <w:t>点和相应的培训方式（如下表），并投入充足的经费与人力，保证培训工作的顺利开展。</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BodyText"/>
        <w:spacing w:line="240" w:lineRule="auto"/>
        <w:ind w:left="7524" w:right="1231"/>
        <w:jc w:val="right"/>
      </w:pPr>
      <w:r>
        <w:rPr/>
        <w:pict>
          <v:shape style="position:absolute;margin-left:79.260002pt;margin-top:-474.058289pt;width:451.15pt;height:510.15pt;mso-position-horizontal-relative:page;mso-position-vertical-relative:paragraph;z-index:16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85"/>
                    <w:gridCol w:w="1559"/>
                    <w:gridCol w:w="1528"/>
                    <w:gridCol w:w="2729"/>
                    <w:gridCol w:w="1800"/>
                  </w:tblGrid>
                  <w:tr>
                    <w:trPr>
                      <w:trHeight w:val="415" w:hRule="exact"/>
                    </w:trPr>
                    <w:tc>
                      <w:tcPr>
                        <w:tcW w:w="1385" w:type="dxa"/>
                        <w:tcBorders>
                          <w:top w:val="single" w:sz="6" w:space="0" w:color="000000"/>
                          <w:left w:val="single" w:sz="6" w:space="0" w:color="000000"/>
                          <w:bottom w:val="single" w:sz="6" w:space="0" w:color="000000"/>
                          <w:right w:val="single" w:sz="6" w:space="0" w:color="000000"/>
                        </w:tcBorders>
                        <w:shd w:val="clear" w:color="auto" w:fill="DAEDF3"/>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color w:val="212121"/>
                            <w:sz w:val="18"/>
                            <w:szCs w:val="18"/>
                          </w:rPr>
                          <w:t>培训对象</w:t>
                        </w:r>
                        <w:r>
                          <w:rPr>
                            <w:rFonts w:ascii="宋体" w:hAnsi="宋体" w:cs="宋体" w:eastAsia="宋体" w:hint="default"/>
                            <w:sz w:val="18"/>
                            <w:szCs w:val="18"/>
                          </w:rPr>
                        </w:r>
                      </w:p>
                    </w:tc>
                    <w:tc>
                      <w:tcPr>
                        <w:tcW w:w="1559" w:type="dxa"/>
                        <w:tcBorders>
                          <w:top w:val="single" w:sz="6" w:space="0" w:color="000000"/>
                          <w:left w:val="single" w:sz="6" w:space="0" w:color="000000"/>
                          <w:bottom w:val="single" w:sz="6" w:space="0" w:color="000000"/>
                          <w:right w:val="single" w:sz="6" w:space="0" w:color="000000"/>
                        </w:tcBorders>
                        <w:shd w:val="clear" w:color="auto" w:fill="DAEDF3"/>
                      </w:tcPr>
                      <w:p>
                        <w:pPr>
                          <w:pStyle w:val="TableParagraph"/>
                          <w:spacing w:line="240" w:lineRule="auto" w:before="49"/>
                          <w:ind w:right="461"/>
                          <w:jc w:val="right"/>
                          <w:rPr>
                            <w:rFonts w:ascii="宋体" w:hAnsi="宋体" w:cs="宋体" w:eastAsia="宋体" w:hint="default"/>
                            <w:sz w:val="18"/>
                            <w:szCs w:val="18"/>
                          </w:rPr>
                        </w:pPr>
                        <w:r>
                          <w:rPr>
                            <w:rFonts w:ascii="宋体" w:hAnsi="宋体" w:cs="宋体" w:eastAsia="宋体" w:hint="default"/>
                            <w:color w:val="212121"/>
                            <w:sz w:val="18"/>
                            <w:szCs w:val="18"/>
                          </w:rPr>
                          <w:t>培训目标</w:t>
                        </w:r>
                        <w:r>
                          <w:rPr>
                            <w:rFonts w:ascii="宋体" w:hAnsi="宋体" w:cs="宋体" w:eastAsia="宋体" w:hint="default"/>
                            <w:sz w:val="18"/>
                            <w:szCs w:val="18"/>
                          </w:rPr>
                        </w:r>
                      </w:p>
                    </w:tc>
                    <w:tc>
                      <w:tcPr>
                        <w:tcW w:w="4257" w:type="dxa"/>
                        <w:gridSpan w:val="2"/>
                        <w:tcBorders>
                          <w:top w:val="single" w:sz="6" w:space="0" w:color="000000"/>
                          <w:left w:val="single" w:sz="6" w:space="0" w:color="000000"/>
                          <w:bottom w:val="single" w:sz="6" w:space="0" w:color="000000"/>
                          <w:right w:val="single" w:sz="6" w:space="0" w:color="000000"/>
                        </w:tcBorders>
                        <w:shd w:val="clear" w:color="auto" w:fill="DAEDF3"/>
                      </w:tcPr>
                      <w:p>
                        <w:pPr>
                          <w:pStyle w:val="TableParagraph"/>
                          <w:spacing w:line="240" w:lineRule="auto" w:before="49"/>
                          <w:ind w:left="1760" w:right="0"/>
                          <w:jc w:val="left"/>
                          <w:rPr>
                            <w:rFonts w:ascii="宋体" w:hAnsi="宋体" w:cs="宋体" w:eastAsia="宋体" w:hint="default"/>
                            <w:sz w:val="18"/>
                            <w:szCs w:val="18"/>
                          </w:rPr>
                        </w:pPr>
                        <w:r>
                          <w:rPr>
                            <w:rFonts w:ascii="宋体" w:hAnsi="宋体" w:cs="宋体" w:eastAsia="宋体" w:hint="default"/>
                            <w:color w:val="212121"/>
                            <w:sz w:val="18"/>
                            <w:szCs w:val="18"/>
                          </w:rPr>
                          <w:t>主要培训内容</w:t>
                        </w:r>
                        <w:r>
                          <w:rPr>
                            <w:rFonts w:ascii="宋体" w:hAnsi="宋体" w:cs="宋体" w:eastAsia="宋体" w:hint="default"/>
                            <w:sz w:val="18"/>
                            <w:szCs w:val="18"/>
                          </w:rPr>
                        </w:r>
                      </w:p>
                    </w:tc>
                    <w:tc>
                      <w:tcPr>
                        <w:tcW w:w="1800" w:type="dxa"/>
                        <w:tcBorders>
                          <w:top w:val="single" w:sz="6" w:space="0" w:color="000000"/>
                          <w:left w:val="single" w:sz="6" w:space="0" w:color="000000"/>
                          <w:bottom w:val="single" w:sz="6" w:space="0" w:color="000000"/>
                          <w:right w:val="single" w:sz="6" w:space="0" w:color="000000"/>
                        </w:tcBorders>
                        <w:shd w:val="clear" w:color="auto" w:fill="DAEDF3"/>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color w:val="212121"/>
                            <w:sz w:val="18"/>
                            <w:szCs w:val="18"/>
                          </w:rPr>
                          <w:t>培训方式</w:t>
                        </w:r>
                        <w:r>
                          <w:rPr>
                            <w:rFonts w:ascii="宋体" w:hAnsi="宋体" w:cs="宋体" w:eastAsia="宋体" w:hint="default"/>
                            <w:sz w:val="18"/>
                            <w:szCs w:val="18"/>
                          </w:rPr>
                        </w:r>
                      </w:p>
                    </w:tc>
                  </w:tr>
                  <w:tr>
                    <w:trPr>
                      <w:trHeight w:val="1363" w:hRule="exact"/>
                    </w:trPr>
                    <w:tc>
                      <w:tcPr>
                        <w:tcW w:w="1385" w:type="dxa"/>
                        <w:vMerge w:val="restart"/>
                        <w:tcBorders>
                          <w:top w:val="single" w:sz="6" w:space="0" w:color="000000"/>
                          <w:left w:val="single" w:sz="6" w:space="0" w:color="000000"/>
                          <w:right w:val="single" w:sz="6" w:space="0" w:color="000000"/>
                        </w:tcBorders>
                      </w:tcPr>
                      <w:p>
                        <w:pPr>
                          <w:pStyle w:val="TableParagraph"/>
                          <w:spacing w:line="240" w:lineRule="auto" w:before="62"/>
                          <w:ind w:left="325" w:right="0"/>
                          <w:jc w:val="left"/>
                          <w:rPr>
                            <w:rFonts w:ascii="宋体" w:hAnsi="宋体" w:cs="宋体" w:eastAsia="宋体" w:hint="default"/>
                            <w:sz w:val="18"/>
                            <w:szCs w:val="18"/>
                          </w:rPr>
                        </w:pPr>
                        <w:r>
                          <w:rPr>
                            <w:rFonts w:ascii="宋体" w:hAnsi="宋体" w:cs="宋体" w:eastAsia="宋体" w:hint="default"/>
                            <w:color w:val="212121"/>
                            <w:sz w:val="18"/>
                            <w:szCs w:val="18"/>
                          </w:rPr>
                          <w:t>管理人员</w:t>
                        </w:r>
                        <w:r>
                          <w:rPr>
                            <w:rFonts w:ascii="宋体" w:hAnsi="宋体" w:cs="宋体" w:eastAsia="宋体" w:hint="default"/>
                            <w:sz w:val="18"/>
                            <w:szCs w:val="18"/>
                          </w:rPr>
                        </w:r>
                      </w:p>
                    </w:tc>
                    <w:tc>
                      <w:tcPr>
                        <w:tcW w:w="1559" w:type="dxa"/>
                        <w:vMerge w:val="restart"/>
                        <w:tcBorders>
                          <w:top w:val="single" w:sz="6" w:space="0" w:color="000000"/>
                          <w:left w:val="single" w:sz="6" w:space="0" w:color="000000"/>
                          <w:right w:val="single" w:sz="6" w:space="0" w:color="000000"/>
                        </w:tcBorders>
                      </w:tcPr>
                      <w:p>
                        <w:pPr>
                          <w:pStyle w:val="TableParagraph"/>
                          <w:spacing w:line="240" w:lineRule="auto" w:before="62"/>
                          <w:ind w:left="231" w:right="0"/>
                          <w:jc w:val="left"/>
                          <w:rPr>
                            <w:rFonts w:ascii="宋体" w:hAnsi="宋体" w:cs="宋体" w:eastAsia="宋体" w:hint="default"/>
                            <w:sz w:val="18"/>
                            <w:szCs w:val="18"/>
                          </w:rPr>
                        </w:pPr>
                        <w:r>
                          <w:rPr>
                            <w:rFonts w:ascii="宋体" w:hAnsi="宋体" w:cs="宋体" w:eastAsia="宋体" w:hint="default"/>
                            <w:color w:val="212121"/>
                            <w:sz w:val="18"/>
                            <w:szCs w:val="18"/>
                          </w:rPr>
                          <w:t>管理能力升级</w:t>
                        </w:r>
                        <w:r>
                          <w:rPr>
                            <w:rFonts w:ascii="宋体" w:hAnsi="宋体" w:cs="宋体" w:eastAsia="宋体" w:hint="default"/>
                            <w:sz w:val="18"/>
                            <w:szCs w:val="18"/>
                          </w:rPr>
                        </w:r>
                      </w:p>
                    </w:tc>
                    <w:tc>
                      <w:tcPr>
                        <w:tcW w:w="1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color w:val="212121"/>
                            <w:sz w:val="18"/>
                            <w:szCs w:val="18"/>
                          </w:rPr>
                          <w:t>高层干部</w:t>
                        </w:r>
                        <w:r>
                          <w:rPr>
                            <w:rFonts w:ascii="宋体" w:hAnsi="宋体" w:cs="宋体" w:eastAsia="宋体" w:hint="default"/>
                            <w:sz w:val="18"/>
                            <w:szCs w:val="18"/>
                          </w:rPr>
                        </w:r>
                      </w:p>
                    </w:tc>
                    <w:tc>
                      <w:tcPr>
                        <w:tcW w:w="2729"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62"/>
                          <w:ind w:left="2" w:right="1"/>
                          <w:jc w:val="both"/>
                          <w:rPr>
                            <w:rFonts w:ascii="宋体" w:hAnsi="宋体" w:cs="宋体" w:eastAsia="宋体" w:hint="default"/>
                            <w:sz w:val="18"/>
                            <w:szCs w:val="18"/>
                          </w:rPr>
                        </w:pPr>
                        <w:r>
                          <w:rPr>
                            <w:rFonts w:ascii="宋体" w:hAnsi="宋体" w:cs="宋体" w:eastAsia="宋体" w:hint="default"/>
                            <w:color w:val="212121"/>
                            <w:sz w:val="18"/>
                            <w:szCs w:val="18"/>
                          </w:rPr>
                          <w:t>公司管理制度（</w:t>
                        </w:r>
                        <w:r>
                          <w:rPr>
                            <w:rFonts w:ascii="Times New Roman" w:hAnsi="Times New Roman" w:cs="Times New Roman" w:eastAsia="Times New Roman" w:hint="default"/>
                            <w:color w:val="212121"/>
                            <w:sz w:val="18"/>
                            <w:szCs w:val="18"/>
                          </w:rPr>
                          <w:t>2019</w:t>
                        </w:r>
                        <w:r>
                          <w:rPr>
                            <w:rFonts w:ascii="宋体" w:hAnsi="宋体" w:cs="宋体" w:eastAsia="宋体" w:hint="default"/>
                            <w:color w:val="212121"/>
                            <w:sz w:val="18"/>
                            <w:szCs w:val="18"/>
                          </w:rPr>
                          <w:t>版）、现代企</w:t>
                        </w:r>
                        <w:r>
                          <w:rPr>
                            <w:rFonts w:ascii="宋体" w:hAnsi="宋体" w:cs="宋体" w:eastAsia="宋体" w:hint="default"/>
                            <w:color w:val="212121"/>
                            <w:spacing w:val="-83"/>
                            <w:sz w:val="18"/>
                            <w:szCs w:val="18"/>
                          </w:rPr>
                          <w:t> </w:t>
                        </w:r>
                        <w:r>
                          <w:rPr>
                            <w:rFonts w:ascii="宋体" w:hAnsi="宋体" w:cs="宋体" w:eastAsia="宋体" w:hint="default"/>
                            <w:color w:val="212121"/>
                            <w:spacing w:val="-83"/>
                            <w:sz w:val="18"/>
                            <w:szCs w:val="18"/>
                          </w:rPr>
                        </w:r>
                        <w:r>
                          <w:rPr>
                            <w:rFonts w:ascii="宋体" w:hAnsi="宋体" w:cs="宋体" w:eastAsia="宋体" w:hint="default"/>
                            <w:color w:val="212121"/>
                            <w:sz w:val="18"/>
                            <w:szCs w:val="18"/>
                          </w:rPr>
                          <w:t>业相关法律法规、高级财务管理知</w:t>
                        </w:r>
                        <w:r>
                          <w:rPr>
                            <w:rFonts w:ascii="宋体" w:hAnsi="宋体" w:cs="宋体" w:eastAsia="宋体" w:hint="default"/>
                            <w:color w:val="212121"/>
                            <w:spacing w:val="-83"/>
                            <w:sz w:val="18"/>
                            <w:szCs w:val="18"/>
                          </w:rPr>
                          <w:t> </w:t>
                        </w:r>
                        <w:r>
                          <w:rPr>
                            <w:rFonts w:ascii="宋体" w:hAnsi="宋体" w:cs="宋体" w:eastAsia="宋体" w:hint="default"/>
                            <w:color w:val="212121"/>
                            <w:spacing w:val="-83"/>
                            <w:sz w:val="18"/>
                            <w:szCs w:val="18"/>
                          </w:rPr>
                        </w:r>
                        <w:r>
                          <w:rPr>
                            <w:rFonts w:ascii="宋体" w:hAnsi="宋体" w:cs="宋体" w:eastAsia="宋体" w:hint="default"/>
                            <w:color w:val="212121"/>
                            <w:sz w:val="18"/>
                            <w:szCs w:val="18"/>
                          </w:rPr>
                          <w:t>识、书面表达、办公技能（高级）</w:t>
                        </w:r>
                        <w:r>
                          <w:rPr>
                            <w:rFonts w:ascii="宋体" w:hAnsi="宋体" w:cs="宋体" w:eastAsia="宋体" w:hint="default"/>
                            <w:color w:val="212121"/>
                            <w:spacing w:val="-83"/>
                            <w:sz w:val="18"/>
                            <w:szCs w:val="18"/>
                          </w:rPr>
                          <w:t> </w:t>
                        </w:r>
                        <w:r>
                          <w:rPr>
                            <w:rFonts w:ascii="宋体" w:hAnsi="宋体" w:cs="宋体" w:eastAsia="宋体" w:hint="default"/>
                            <w:color w:val="212121"/>
                            <w:spacing w:val="-83"/>
                            <w:sz w:val="18"/>
                            <w:szCs w:val="18"/>
                          </w:rPr>
                        </w:r>
                        <w:r>
                          <w:rPr>
                            <w:rFonts w:ascii="宋体" w:hAnsi="宋体" w:cs="宋体" w:eastAsia="宋体" w:hint="default"/>
                            <w:color w:val="212121"/>
                            <w:sz w:val="18"/>
                            <w:szCs w:val="18"/>
                          </w:rPr>
                          <w:t>等</w:t>
                        </w:r>
                        <w:r>
                          <w:rPr>
                            <w:rFonts w:ascii="宋体" w:hAnsi="宋体" w:cs="宋体" w:eastAsia="宋体" w:hint="default"/>
                            <w:sz w:val="18"/>
                            <w:szCs w:val="18"/>
                          </w:rPr>
                        </w:r>
                      </w:p>
                    </w:tc>
                    <w:tc>
                      <w:tcPr>
                        <w:tcW w:w="1800" w:type="dxa"/>
                        <w:vMerge w:val="restart"/>
                        <w:tcBorders>
                          <w:top w:val="single" w:sz="6" w:space="0" w:color="000000"/>
                          <w:left w:val="single" w:sz="6" w:space="0" w:color="000000"/>
                          <w:right w:val="single" w:sz="6" w:space="0" w:color="000000"/>
                        </w:tcBorders>
                      </w:tcPr>
                      <w:p>
                        <w:pPr>
                          <w:pStyle w:val="TableParagraph"/>
                          <w:spacing w:line="240" w:lineRule="auto" w:before="62"/>
                          <w:ind w:left="441" w:right="0"/>
                          <w:jc w:val="left"/>
                          <w:rPr>
                            <w:rFonts w:ascii="宋体" w:hAnsi="宋体" w:cs="宋体" w:eastAsia="宋体" w:hint="default"/>
                            <w:sz w:val="18"/>
                            <w:szCs w:val="18"/>
                          </w:rPr>
                        </w:pPr>
                        <w:r>
                          <w:rPr>
                            <w:rFonts w:ascii="宋体" w:hAnsi="宋体" w:cs="宋体" w:eastAsia="宋体" w:hint="default"/>
                            <w:sz w:val="18"/>
                            <w:szCs w:val="18"/>
                          </w:rPr>
                          <w:t>干部培训班</w:t>
                        </w:r>
                      </w:p>
                    </w:tc>
                  </w:tr>
                  <w:tr>
                    <w:trPr>
                      <w:trHeight w:val="1363" w:hRule="exact"/>
                    </w:trPr>
                    <w:tc>
                      <w:tcPr>
                        <w:tcW w:w="1385" w:type="dxa"/>
                        <w:vMerge/>
                        <w:tcBorders>
                          <w:left w:val="single" w:sz="6" w:space="0" w:color="000000"/>
                          <w:right w:val="single" w:sz="6" w:space="0" w:color="000000"/>
                        </w:tcBorders>
                      </w:tcPr>
                      <w:p>
                        <w:pPr/>
                      </w:p>
                    </w:tc>
                    <w:tc>
                      <w:tcPr>
                        <w:tcW w:w="1559" w:type="dxa"/>
                        <w:vMerge/>
                        <w:tcBorders>
                          <w:left w:val="single" w:sz="6" w:space="0" w:color="000000"/>
                          <w:right w:val="single" w:sz="6" w:space="0" w:color="000000"/>
                        </w:tcBorders>
                      </w:tcPr>
                      <w:p>
                        <w:pPr/>
                      </w:p>
                    </w:tc>
                    <w:tc>
                      <w:tcPr>
                        <w:tcW w:w="1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color w:val="212121"/>
                            <w:sz w:val="18"/>
                            <w:szCs w:val="18"/>
                          </w:rPr>
                          <w:t>中层干部</w:t>
                        </w:r>
                        <w:r>
                          <w:rPr>
                            <w:rFonts w:ascii="宋体" w:hAnsi="宋体" w:cs="宋体" w:eastAsia="宋体" w:hint="default"/>
                            <w:sz w:val="18"/>
                            <w:szCs w:val="18"/>
                          </w:rPr>
                        </w:r>
                      </w:p>
                    </w:tc>
                    <w:tc>
                      <w:tcPr>
                        <w:tcW w:w="2729"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62"/>
                          <w:ind w:left="2" w:right="1"/>
                          <w:jc w:val="both"/>
                          <w:rPr>
                            <w:rFonts w:ascii="宋体" w:hAnsi="宋体" w:cs="宋体" w:eastAsia="宋体" w:hint="default"/>
                            <w:sz w:val="18"/>
                            <w:szCs w:val="18"/>
                          </w:rPr>
                        </w:pPr>
                        <w:r>
                          <w:rPr>
                            <w:rFonts w:ascii="宋体" w:hAnsi="宋体" w:cs="宋体" w:eastAsia="宋体" w:hint="default"/>
                            <w:color w:val="212121"/>
                            <w:sz w:val="18"/>
                            <w:szCs w:val="18"/>
                          </w:rPr>
                          <w:t>公司管理制度（</w:t>
                        </w:r>
                        <w:r>
                          <w:rPr>
                            <w:rFonts w:ascii="Times New Roman" w:hAnsi="Times New Roman" w:cs="Times New Roman" w:eastAsia="Times New Roman" w:hint="default"/>
                            <w:color w:val="212121"/>
                            <w:sz w:val="18"/>
                            <w:szCs w:val="18"/>
                          </w:rPr>
                          <w:t>2019</w:t>
                        </w:r>
                        <w:r>
                          <w:rPr>
                            <w:rFonts w:ascii="宋体" w:hAnsi="宋体" w:cs="宋体" w:eastAsia="宋体" w:hint="default"/>
                            <w:color w:val="212121"/>
                            <w:sz w:val="18"/>
                            <w:szCs w:val="18"/>
                          </w:rPr>
                          <w:t>版）、现代企</w:t>
                        </w:r>
                        <w:r>
                          <w:rPr>
                            <w:rFonts w:ascii="宋体" w:hAnsi="宋体" w:cs="宋体" w:eastAsia="宋体" w:hint="default"/>
                            <w:color w:val="212121"/>
                            <w:spacing w:val="-83"/>
                            <w:sz w:val="18"/>
                            <w:szCs w:val="18"/>
                          </w:rPr>
                          <w:t> </w:t>
                        </w:r>
                        <w:r>
                          <w:rPr>
                            <w:rFonts w:ascii="宋体" w:hAnsi="宋体" w:cs="宋体" w:eastAsia="宋体" w:hint="default"/>
                            <w:color w:val="212121"/>
                            <w:spacing w:val="-83"/>
                            <w:sz w:val="18"/>
                            <w:szCs w:val="18"/>
                          </w:rPr>
                        </w:r>
                        <w:r>
                          <w:rPr>
                            <w:rFonts w:ascii="宋体" w:hAnsi="宋体" w:cs="宋体" w:eastAsia="宋体" w:hint="default"/>
                            <w:color w:val="212121"/>
                            <w:sz w:val="18"/>
                            <w:szCs w:val="18"/>
                          </w:rPr>
                          <w:t>业相关法律法规、中级财务管理知</w:t>
                        </w:r>
                        <w:r>
                          <w:rPr>
                            <w:rFonts w:ascii="宋体" w:hAnsi="宋体" w:cs="宋体" w:eastAsia="宋体" w:hint="default"/>
                            <w:color w:val="212121"/>
                            <w:spacing w:val="-83"/>
                            <w:sz w:val="18"/>
                            <w:szCs w:val="18"/>
                          </w:rPr>
                          <w:t> </w:t>
                        </w:r>
                        <w:r>
                          <w:rPr>
                            <w:rFonts w:ascii="宋体" w:hAnsi="宋体" w:cs="宋体" w:eastAsia="宋体" w:hint="default"/>
                            <w:color w:val="212121"/>
                            <w:spacing w:val="-83"/>
                            <w:sz w:val="18"/>
                            <w:szCs w:val="18"/>
                          </w:rPr>
                        </w:r>
                        <w:r>
                          <w:rPr>
                            <w:rFonts w:ascii="宋体" w:hAnsi="宋体" w:cs="宋体" w:eastAsia="宋体" w:hint="default"/>
                            <w:color w:val="212121"/>
                            <w:sz w:val="18"/>
                            <w:szCs w:val="18"/>
                          </w:rPr>
                          <w:t>识、书面表达、办公技能（高级）</w:t>
                        </w:r>
                        <w:r>
                          <w:rPr>
                            <w:rFonts w:ascii="宋体" w:hAnsi="宋体" w:cs="宋体" w:eastAsia="宋体" w:hint="default"/>
                            <w:color w:val="212121"/>
                            <w:spacing w:val="-83"/>
                            <w:sz w:val="18"/>
                            <w:szCs w:val="18"/>
                          </w:rPr>
                          <w:t> </w:t>
                        </w:r>
                        <w:r>
                          <w:rPr>
                            <w:rFonts w:ascii="宋体" w:hAnsi="宋体" w:cs="宋体" w:eastAsia="宋体" w:hint="default"/>
                            <w:color w:val="212121"/>
                            <w:spacing w:val="-83"/>
                            <w:sz w:val="18"/>
                            <w:szCs w:val="18"/>
                          </w:rPr>
                        </w:r>
                        <w:r>
                          <w:rPr>
                            <w:rFonts w:ascii="宋体" w:hAnsi="宋体" w:cs="宋体" w:eastAsia="宋体" w:hint="default"/>
                            <w:color w:val="212121"/>
                            <w:sz w:val="18"/>
                            <w:szCs w:val="18"/>
                          </w:rPr>
                          <w:t>等</w:t>
                        </w:r>
                        <w:r>
                          <w:rPr>
                            <w:rFonts w:ascii="宋体" w:hAnsi="宋体" w:cs="宋体" w:eastAsia="宋体" w:hint="default"/>
                            <w:sz w:val="18"/>
                            <w:szCs w:val="18"/>
                          </w:rPr>
                        </w:r>
                      </w:p>
                    </w:tc>
                    <w:tc>
                      <w:tcPr>
                        <w:tcW w:w="1800" w:type="dxa"/>
                        <w:vMerge/>
                        <w:tcBorders>
                          <w:left w:val="single" w:sz="6" w:space="0" w:color="000000"/>
                          <w:right w:val="single" w:sz="6" w:space="0" w:color="000000"/>
                        </w:tcBorders>
                      </w:tcPr>
                      <w:p>
                        <w:pPr/>
                      </w:p>
                    </w:tc>
                  </w:tr>
                  <w:tr>
                    <w:trPr>
                      <w:trHeight w:val="1362" w:hRule="exact"/>
                    </w:trPr>
                    <w:tc>
                      <w:tcPr>
                        <w:tcW w:w="1385" w:type="dxa"/>
                        <w:vMerge/>
                        <w:tcBorders>
                          <w:left w:val="single" w:sz="6" w:space="0" w:color="000000"/>
                          <w:bottom w:val="single" w:sz="6" w:space="0" w:color="000000"/>
                          <w:right w:val="single" w:sz="6" w:space="0" w:color="000000"/>
                        </w:tcBorders>
                      </w:tcPr>
                      <w:p>
                        <w:pPr/>
                      </w:p>
                    </w:tc>
                    <w:tc>
                      <w:tcPr>
                        <w:tcW w:w="1559" w:type="dxa"/>
                        <w:vMerge/>
                        <w:tcBorders>
                          <w:left w:val="single" w:sz="6" w:space="0" w:color="000000"/>
                          <w:bottom w:val="single" w:sz="6" w:space="0" w:color="000000"/>
                          <w:right w:val="single" w:sz="6" w:space="0" w:color="000000"/>
                        </w:tcBorders>
                      </w:tcPr>
                      <w:p>
                        <w:pPr/>
                      </w:p>
                    </w:tc>
                    <w:tc>
                      <w:tcPr>
                        <w:tcW w:w="1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color w:val="212121"/>
                            <w:sz w:val="18"/>
                            <w:szCs w:val="18"/>
                          </w:rPr>
                          <w:t>基层干部</w:t>
                        </w:r>
                        <w:r>
                          <w:rPr>
                            <w:rFonts w:ascii="宋体" w:hAnsi="宋体" w:cs="宋体" w:eastAsia="宋体" w:hint="default"/>
                            <w:sz w:val="18"/>
                            <w:szCs w:val="18"/>
                          </w:rPr>
                        </w:r>
                      </w:p>
                    </w:tc>
                    <w:tc>
                      <w:tcPr>
                        <w:tcW w:w="2729"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61"/>
                          <w:ind w:left="2" w:right="1"/>
                          <w:jc w:val="both"/>
                          <w:rPr>
                            <w:rFonts w:ascii="宋体" w:hAnsi="宋体" w:cs="宋体" w:eastAsia="宋体" w:hint="default"/>
                            <w:sz w:val="18"/>
                            <w:szCs w:val="18"/>
                          </w:rPr>
                        </w:pPr>
                        <w:r>
                          <w:rPr>
                            <w:rFonts w:ascii="宋体" w:hAnsi="宋体" w:cs="宋体" w:eastAsia="宋体" w:hint="default"/>
                            <w:color w:val="212121"/>
                            <w:sz w:val="18"/>
                            <w:szCs w:val="18"/>
                          </w:rPr>
                          <w:t>公司管理制度（</w:t>
                        </w:r>
                        <w:r>
                          <w:rPr>
                            <w:rFonts w:ascii="Times New Roman" w:hAnsi="Times New Roman" w:cs="Times New Roman" w:eastAsia="Times New Roman" w:hint="default"/>
                            <w:color w:val="212121"/>
                            <w:sz w:val="18"/>
                            <w:szCs w:val="18"/>
                          </w:rPr>
                          <w:t>2019</w:t>
                        </w:r>
                        <w:r>
                          <w:rPr>
                            <w:rFonts w:ascii="宋体" w:hAnsi="宋体" w:cs="宋体" w:eastAsia="宋体" w:hint="default"/>
                            <w:color w:val="212121"/>
                            <w:sz w:val="18"/>
                            <w:szCs w:val="18"/>
                          </w:rPr>
                          <w:t>版）、现代企</w:t>
                        </w:r>
                        <w:r>
                          <w:rPr>
                            <w:rFonts w:ascii="宋体" w:hAnsi="宋体" w:cs="宋体" w:eastAsia="宋体" w:hint="default"/>
                            <w:color w:val="212121"/>
                            <w:spacing w:val="-83"/>
                            <w:sz w:val="18"/>
                            <w:szCs w:val="18"/>
                          </w:rPr>
                          <w:t> </w:t>
                        </w:r>
                        <w:r>
                          <w:rPr>
                            <w:rFonts w:ascii="宋体" w:hAnsi="宋体" w:cs="宋体" w:eastAsia="宋体" w:hint="default"/>
                            <w:color w:val="212121"/>
                            <w:spacing w:val="-83"/>
                            <w:sz w:val="18"/>
                            <w:szCs w:val="18"/>
                          </w:rPr>
                        </w:r>
                        <w:r>
                          <w:rPr>
                            <w:rFonts w:ascii="宋体" w:hAnsi="宋体" w:cs="宋体" w:eastAsia="宋体" w:hint="default"/>
                            <w:color w:val="212121"/>
                            <w:sz w:val="18"/>
                            <w:szCs w:val="18"/>
                          </w:rPr>
                          <w:t>业相关法律法规、初级财务管理知</w:t>
                        </w:r>
                        <w:r>
                          <w:rPr>
                            <w:rFonts w:ascii="宋体" w:hAnsi="宋体" w:cs="宋体" w:eastAsia="宋体" w:hint="default"/>
                            <w:color w:val="212121"/>
                            <w:spacing w:val="-83"/>
                            <w:sz w:val="18"/>
                            <w:szCs w:val="18"/>
                          </w:rPr>
                          <w:t> </w:t>
                        </w:r>
                        <w:r>
                          <w:rPr>
                            <w:rFonts w:ascii="宋体" w:hAnsi="宋体" w:cs="宋体" w:eastAsia="宋体" w:hint="default"/>
                            <w:color w:val="212121"/>
                            <w:spacing w:val="-83"/>
                            <w:sz w:val="18"/>
                            <w:szCs w:val="18"/>
                          </w:rPr>
                        </w:r>
                        <w:r>
                          <w:rPr>
                            <w:rFonts w:ascii="宋体" w:hAnsi="宋体" w:cs="宋体" w:eastAsia="宋体" w:hint="default"/>
                            <w:color w:val="212121"/>
                            <w:sz w:val="18"/>
                            <w:szCs w:val="18"/>
                          </w:rPr>
                          <w:t>识、书面表达、办公技能（高级）</w:t>
                        </w:r>
                        <w:r>
                          <w:rPr>
                            <w:rFonts w:ascii="宋体" w:hAnsi="宋体" w:cs="宋体" w:eastAsia="宋体" w:hint="default"/>
                            <w:color w:val="212121"/>
                            <w:spacing w:val="-83"/>
                            <w:sz w:val="18"/>
                            <w:szCs w:val="18"/>
                          </w:rPr>
                          <w:t> </w:t>
                        </w:r>
                        <w:r>
                          <w:rPr>
                            <w:rFonts w:ascii="宋体" w:hAnsi="宋体" w:cs="宋体" w:eastAsia="宋体" w:hint="default"/>
                            <w:color w:val="212121"/>
                            <w:spacing w:val="-83"/>
                            <w:sz w:val="18"/>
                            <w:szCs w:val="18"/>
                          </w:rPr>
                        </w:r>
                        <w:r>
                          <w:rPr>
                            <w:rFonts w:ascii="宋体" w:hAnsi="宋体" w:cs="宋体" w:eastAsia="宋体" w:hint="default"/>
                            <w:color w:val="212121"/>
                            <w:sz w:val="18"/>
                            <w:szCs w:val="18"/>
                          </w:rPr>
                          <w:t>等</w:t>
                        </w:r>
                        <w:r>
                          <w:rPr>
                            <w:rFonts w:ascii="宋体" w:hAnsi="宋体" w:cs="宋体" w:eastAsia="宋体" w:hint="default"/>
                            <w:sz w:val="18"/>
                            <w:szCs w:val="18"/>
                          </w:rPr>
                        </w:r>
                      </w:p>
                    </w:tc>
                    <w:tc>
                      <w:tcPr>
                        <w:tcW w:w="1800" w:type="dxa"/>
                        <w:vMerge/>
                        <w:tcBorders>
                          <w:left w:val="single" w:sz="6" w:space="0" w:color="000000"/>
                          <w:bottom w:val="single" w:sz="6" w:space="0" w:color="000000"/>
                          <w:right w:val="single" w:sz="6" w:space="0" w:color="000000"/>
                        </w:tcBorders>
                      </w:tcPr>
                      <w:p>
                        <w:pPr/>
                      </w:p>
                    </w:tc>
                  </w:tr>
                  <w:tr>
                    <w:trPr>
                      <w:trHeight w:val="3156" w:hRule="exact"/>
                    </w:trPr>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92" w:right="0"/>
                          <w:jc w:val="left"/>
                          <w:rPr>
                            <w:rFonts w:ascii="宋体" w:hAnsi="宋体" w:cs="宋体" w:eastAsia="宋体" w:hint="default"/>
                            <w:sz w:val="18"/>
                            <w:szCs w:val="18"/>
                          </w:rPr>
                        </w:pPr>
                        <w:r>
                          <w:rPr>
                            <w:rFonts w:ascii="宋体" w:hAnsi="宋体" w:cs="宋体" w:eastAsia="宋体" w:hint="default"/>
                            <w:color w:val="212121"/>
                            <w:sz w:val="18"/>
                            <w:szCs w:val="18"/>
                          </w:rPr>
                          <w:t>专业技术人员</w:t>
                        </w:r>
                        <w:r>
                          <w:rPr>
                            <w:rFonts w:ascii="宋体" w:hAnsi="宋体" w:cs="宋体" w:eastAsia="宋体" w:hint="default"/>
                            <w:sz w:val="18"/>
                            <w:szCs w:val="18"/>
                          </w:rPr>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1"/>
                          <w:jc w:val="left"/>
                          <w:rPr>
                            <w:rFonts w:ascii="宋体" w:hAnsi="宋体" w:cs="宋体" w:eastAsia="宋体" w:hint="default"/>
                            <w:sz w:val="18"/>
                            <w:szCs w:val="18"/>
                          </w:rPr>
                        </w:pPr>
                        <w:r>
                          <w:rPr>
                            <w:rFonts w:ascii="宋体" w:hAnsi="宋体" w:cs="宋体" w:eastAsia="宋体" w:hint="default"/>
                            <w:spacing w:val="-10"/>
                            <w:sz w:val="18"/>
                            <w:szCs w:val="18"/>
                          </w:rPr>
                          <w:t>解决方案、项目管理</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等能力的提升</w:t>
                        </w:r>
                      </w:p>
                    </w:tc>
                    <w:tc>
                      <w:tcPr>
                        <w:tcW w:w="425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62" w:right="0"/>
                          <w:jc w:val="left"/>
                          <w:rPr>
                            <w:rFonts w:ascii="宋体" w:hAnsi="宋体" w:cs="宋体" w:eastAsia="宋体" w:hint="default"/>
                            <w:sz w:val="18"/>
                            <w:szCs w:val="18"/>
                          </w:rPr>
                        </w:pPr>
                        <w:r>
                          <w:rPr>
                            <w:rFonts w:ascii="宋体" w:hAnsi="宋体" w:cs="宋体" w:eastAsia="宋体" w:hint="default"/>
                            <w:sz w:val="18"/>
                            <w:szCs w:val="18"/>
                          </w:rPr>
                          <w:t>·  智慧社会治理解决方案</w:t>
                        </w:r>
                      </w:p>
                      <w:p>
                        <w:pPr>
                          <w:pStyle w:val="TableParagraph"/>
                          <w:spacing w:line="240" w:lineRule="auto" w:before="76"/>
                          <w:ind w:left="62" w:right="0"/>
                          <w:jc w:val="left"/>
                          <w:rPr>
                            <w:rFonts w:ascii="宋体" w:hAnsi="宋体" w:cs="宋体" w:eastAsia="宋体" w:hint="default"/>
                            <w:sz w:val="18"/>
                            <w:szCs w:val="18"/>
                          </w:rPr>
                        </w:pPr>
                        <w:r>
                          <w:rPr>
                            <w:rFonts w:ascii="宋体" w:hAnsi="宋体" w:cs="宋体" w:eastAsia="宋体" w:hint="default"/>
                            <w:sz w:val="18"/>
                            <w:szCs w:val="18"/>
                          </w:rPr>
                          <w:t>·  智慧城市基础设施建设与技术方案</w:t>
                        </w:r>
                      </w:p>
                      <w:p>
                        <w:pPr>
                          <w:pStyle w:val="TableParagraph"/>
                          <w:spacing w:line="240" w:lineRule="auto" w:before="76"/>
                          <w:ind w:left="62" w:right="0"/>
                          <w:jc w:val="left"/>
                          <w:rPr>
                            <w:rFonts w:ascii="宋体" w:hAnsi="宋体" w:cs="宋体" w:eastAsia="宋体" w:hint="default"/>
                            <w:sz w:val="18"/>
                            <w:szCs w:val="18"/>
                          </w:rPr>
                        </w:pPr>
                        <w:r>
                          <w:rPr>
                            <w:rFonts w:ascii="宋体" w:hAnsi="宋体" w:cs="宋体" w:eastAsia="宋体" w:hint="default"/>
                            <w:sz w:val="18"/>
                            <w:szCs w:val="18"/>
                          </w:rPr>
                          <w:t>·  互联网</w:t>
                        </w:r>
                        <w:r>
                          <w:rPr>
                            <w:rFonts w:ascii="Times New Roman" w:hAnsi="Times New Roman" w:cs="Times New Roman" w:eastAsia="Times New Roman" w:hint="default"/>
                            <w:sz w:val="18"/>
                            <w:szCs w:val="18"/>
                          </w:rPr>
                          <w:t>+</w:t>
                        </w:r>
                        <w:r>
                          <w:rPr>
                            <w:rFonts w:ascii="宋体" w:hAnsi="宋体" w:cs="宋体" w:eastAsia="宋体" w:hint="default"/>
                            <w:sz w:val="18"/>
                            <w:szCs w:val="18"/>
                          </w:rPr>
                          <w:t>政务及社会服务解决方案</w:t>
                        </w:r>
                      </w:p>
                      <w:p>
                        <w:pPr>
                          <w:pStyle w:val="TableParagraph"/>
                          <w:spacing w:line="240" w:lineRule="auto" w:before="63"/>
                          <w:ind w:left="62" w:right="0"/>
                          <w:jc w:val="left"/>
                          <w:rPr>
                            <w:rFonts w:ascii="宋体" w:hAnsi="宋体" w:cs="宋体" w:eastAsia="宋体" w:hint="default"/>
                            <w:sz w:val="18"/>
                            <w:szCs w:val="18"/>
                          </w:rPr>
                        </w:pPr>
                        <w:r>
                          <w:rPr>
                            <w:rFonts w:ascii="宋体" w:hAnsi="宋体" w:cs="宋体" w:eastAsia="宋体" w:hint="default"/>
                            <w:sz w:val="18"/>
                            <w:szCs w:val="18"/>
                          </w:rPr>
                          <w:t>·  智能建筑知识</w:t>
                        </w:r>
                      </w:p>
                      <w:p>
                        <w:pPr>
                          <w:pStyle w:val="TableParagraph"/>
                          <w:spacing w:line="240" w:lineRule="auto" w:before="76"/>
                          <w:ind w:left="62" w:right="0"/>
                          <w:jc w:val="left"/>
                          <w:rPr>
                            <w:rFonts w:ascii="宋体" w:hAnsi="宋体" w:cs="宋体" w:eastAsia="宋体" w:hint="default"/>
                            <w:sz w:val="18"/>
                            <w:szCs w:val="18"/>
                          </w:rPr>
                        </w:pPr>
                        <w:r>
                          <w:rPr>
                            <w:rFonts w:ascii="宋体" w:hAnsi="宋体" w:cs="宋体" w:eastAsia="宋体" w:hint="default"/>
                            <w:sz w:val="18"/>
                            <w:szCs w:val="18"/>
                          </w:rPr>
                          <w:t>·  公司产品知识</w:t>
                        </w:r>
                      </w:p>
                      <w:p>
                        <w:pPr>
                          <w:pStyle w:val="TableParagraph"/>
                          <w:spacing w:line="240" w:lineRule="auto" w:before="76"/>
                          <w:ind w:left="62" w:right="0"/>
                          <w:jc w:val="left"/>
                          <w:rPr>
                            <w:rFonts w:ascii="宋体" w:hAnsi="宋体" w:cs="宋体" w:eastAsia="宋体" w:hint="default"/>
                            <w:sz w:val="18"/>
                            <w:szCs w:val="18"/>
                          </w:rPr>
                        </w:pPr>
                        <w:r>
                          <w:rPr>
                            <w:rFonts w:ascii="宋体" w:hAnsi="宋体" w:cs="宋体" w:eastAsia="宋体" w:hint="default"/>
                            <w:sz w:val="18"/>
                            <w:szCs w:val="18"/>
                          </w:rPr>
                          <w:t>·  财务管理知识</w:t>
                        </w:r>
                      </w:p>
                      <w:p>
                        <w:pPr>
                          <w:pStyle w:val="TableParagraph"/>
                          <w:spacing w:line="240" w:lineRule="auto" w:before="76"/>
                          <w:ind w:left="62" w:right="0"/>
                          <w:jc w:val="left"/>
                          <w:rPr>
                            <w:rFonts w:ascii="宋体" w:hAnsi="宋体" w:cs="宋体" w:eastAsia="宋体" w:hint="default"/>
                            <w:sz w:val="18"/>
                            <w:szCs w:val="18"/>
                          </w:rPr>
                        </w:pPr>
                        <w:r>
                          <w:rPr>
                            <w:rFonts w:ascii="宋体" w:hAnsi="宋体" w:cs="宋体" w:eastAsia="宋体" w:hint="default"/>
                            <w:sz w:val="18"/>
                            <w:szCs w:val="18"/>
                          </w:rPr>
                          <w:t>·  项目管理知识</w:t>
                        </w:r>
                      </w:p>
                      <w:p>
                        <w:pPr>
                          <w:pStyle w:val="TableParagraph"/>
                          <w:spacing w:line="240" w:lineRule="auto" w:before="76"/>
                          <w:ind w:left="62" w:right="0"/>
                          <w:jc w:val="left"/>
                          <w:rPr>
                            <w:rFonts w:ascii="宋体" w:hAnsi="宋体" w:cs="宋体" w:eastAsia="宋体" w:hint="default"/>
                            <w:sz w:val="18"/>
                            <w:szCs w:val="18"/>
                          </w:rPr>
                        </w:pPr>
                        <w:r>
                          <w:rPr>
                            <w:rFonts w:ascii="宋体" w:hAnsi="宋体" w:cs="宋体" w:eastAsia="宋体" w:hint="default"/>
                            <w:sz w:val="18"/>
                            <w:szCs w:val="18"/>
                          </w:rPr>
                          <w:t>·  行业法律法规标准规范知识</w:t>
                        </w:r>
                      </w:p>
                      <w:p>
                        <w:pPr>
                          <w:pStyle w:val="TableParagraph"/>
                          <w:numPr>
                            <w:ilvl w:val="0"/>
                            <w:numId w:val="1"/>
                          </w:numPr>
                          <w:tabs>
                            <w:tab w:pos="423" w:val="left" w:leader="none"/>
                          </w:tabs>
                          <w:spacing w:line="240" w:lineRule="auto" w:before="76" w:after="0"/>
                          <w:ind w:left="422" w:right="0" w:hanging="360"/>
                          <w:jc w:val="left"/>
                          <w:rPr>
                            <w:rFonts w:ascii="宋体" w:hAnsi="宋体" w:cs="宋体" w:eastAsia="宋体" w:hint="default"/>
                            <w:sz w:val="18"/>
                            <w:szCs w:val="18"/>
                          </w:rPr>
                        </w:pPr>
                        <w:r>
                          <w:rPr>
                            <w:rFonts w:ascii="Times New Roman" w:hAnsi="Times New Roman" w:cs="Times New Roman" w:eastAsia="Times New Roman" w:hint="default"/>
                            <w:sz w:val="18"/>
                            <w:szCs w:val="18"/>
                          </w:rPr>
                          <w:t>PPP</w:t>
                        </w:r>
                        <w:r>
                          <w:rPr>
                            <w:rFonts w:ascii="宋体" w:hAnsi="宋体" w:cs="宋体" w:eastAsia="宋体" w:hint="default"/>
                            <w:sz w:val="18"/>
                            <w:szCs w:val="18"/>
                          </w:rPr>
                          <w:t>知识</w:t>
                        </w:r>
                      </w:p>
                      <w:p>
                        <w:pPr>
                          <w:pStyle w:val="TableParagraph"/>
                          <w:numPr>
                            <w:ilvl w:val="0"/>
                            <w:numId w:val="1"/>
                          </w:numPr>
                          <w:tabs>
                            <w:tab w:pos="423" w:val="left" w:leader="none"/>
                          </w:tabs>
                          <w:spacing w:line="240" w:lineRule="auto" w:before="63" w:after="0"/>
                          <w:ind w:left="422" w:right="0" w:hanging="360"/>
                          <w:jc w:val="left"/>
                          <w:rPr>
                            <w:rFonts w:ascii="宋体" w:hAnsi="宋体" w:cs="宋体" w:eastAsia="宋体" w:hint="default"/>
                            <w:sz w:val="18"/>
                            <w:szCs w:val="18"/>
                          </w:rPr>
                        </w:pPr>
                        <w:r>
                          <w:rPr>
                            <w:rFonts w:ascii="Times New Roman" w:hAnsi="Times New Roman" w:cs="Times New Roman" w:eastAsia="Times New Roman" w:hint="default"/>
                            <w:sz w:val="18"/>
                            <w:szCs w:val="18"/>
                          </w:rPr>
                          <w:t>CAD</w:t>
                        </w:r>
                        <w:r>
                          <w:rPr>
                            <w:rFonts w:ascii="宋体" w:hAnsi="宋体" w:cs="宋体" w:eastAsia="宋体" w:hint="default"/>
                            <w:sz w:val="18"/>
                            <w:szCs w:val="18"/>
                          </w:rPr>
                          <w:t>技能</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0"/>
                          <w:jc w:val="both"/>
                          <w:rPr>
                            <w:rFonts w:ascii="宋体" w:hAnsi="宋体" w:cs="宋体" w:eastAsia="宋体" w:hint="default"/>
                            <w:sz w:val="18"/>
                            <w:szCs w:val="18"/>
                          </w:rPr>
                        </w:pPr>
                        <w:r>
                          <w:rPr>
                            <w:rFonts w:ascii="宋体" w:hAnsi="宋体" w:cs="宋体" w:eastAsia="宋体" w:hint="default"/>
                            <w:color w:val="212121"/>
                            <w:spacing w:val="-2"/>
                            <w:sz w:val="18"/>
                            <w:szCs w:val="18"/>
                          </w:rPr>
                          <w:t>学习班、师带徒、远程</w:t>
                        </w:r>
                        <w:r>
                          <w:rPr>
                            <w:rFonts w:ascii="宋体" w:hAnsi="宋体" w:cs="宋体" w:eastAsia="宋体" w:hint="default"/>
                            <w:color w:val="212121"/>
                            <w:sz w:val="18"/>
                            <w:szCs w:val="18"/>
                          </w:rPr>
                          <w:t> </w:t>
                        </w:r>
                        <w:r>
                          <w:rPr>
                            <w:rFonts w:ascii="宋体" w:hAnsi="宋体" w:cs="宋体" w:eastAsia="宋体" w:hint="default"/>
                            <w:color w:val="212121"/>
                            <w:spacing w:val="-3"/>
                            <w:sz w:val="18"/>
                            <w:szCs w:val="18"/>
                          </w:rPr>
                          <w:t>教学、轮岗、换岗、外</w:t>
                        </w:r>
                        <w:r>
                          <w:rPr>
                            <w:rFonts w:ascii="宋体" w:hAnsi="宋体" w:cs="宋体" w:eastAsia="宋体" w:hint="default"/>
                            <w:color w:val="212121"/>
                            <w:spacing w:val="-82"/>
                            <w:sz w:val="18"/>
                            <w:szCs w:val="18"/>
                          </w:rPr>
                          <w:t> </w:t>
                        </w:r>
                        <w:r>
                          <w:rPr>
                            <w:rFonts w:ascii="宋体" w:hAnsi="宋体" w:cs="宋体" w:eastAsia="宋体" w:hint="default"/>
                            <w:color w:val="212121"/>
                            <w:spacing w:val="-82"/>
                            <w:sz w:val="18"/>
                            <w:szCs w:val="18"/>
                          </w:rPr>
                        </w:r>
                        <w:r>
                          <w:rPr>
                            <w:rFonts w:ascii="宋体" w:hAnsi="宋体" w:cs="宋体" w:eastAsia="宋体" w:hint="default"/>
                            <w:color w:val="212121"/>
                            <w:sz w:val="18"/>
                            <w:szCs w:val="18"/>
                          </w:rPr>
                          <w:t>送培训、多媒体教学</w:t>
                        </w:r>
                        <w:r>
                          <w:rPr>
                            <w:rFonts w:ascii="宋体" w:hAnsi="宋体" w:cs="宋体" w:eastAsia="宋体" w:hint="default"/>
                            <w:sz w:val="18"/>
                            <w:szCs w:val="18"/>
                          </w:rPr>
                        </w:r>
                      </w:p>
                    </w:tc>
                  </w:tr>
                  <w:tr>
                    <w:trPr>
                      <w:trHeight w:val="738" w:hRule="exact"/>
                    </w:trPr>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72" w:right="0"/>
                          <w:jc w:val="left"/>
                          <w:rPr>
                            <w:rFonts w:ascii="宋体" w:hAnsi="宋体" w:cs="宋体" w:eastAsia="宋体" w:hint="default"/>
                            <w:sz w:val="18"/>
                            <w:szCs w:val="18"/>
                          </w:rPr>
                        </w:pPr>
                        <w:r>
                          <w:rPr>
                            <w:rFonts w:ascii="宋体" w:hAnsi="宋体" w:cs="宋体" w:eastAsia="宋体" w:hint="default"/>
                            <w:color w:val="212121"/>
                            <w:sz w:val="18"/>
                            <w:szCs w:val="18"/>
                          </w:rPr>
                          <w:t>技术工人</w:t>
                        </w:r>
                        <w:r>
                          <w:rPr>
                            <w:rFonts w:ascii="宋体" w:hAnsi="宋体" w:cs="宋体" w:eastAsia="宋体" w:hint="default"/>
                            <w:sz w:val="18"/>
                            <w:szCs w:val="18"/>
                          </w:rPr>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461"/>
                          <w:jc w:val="right"/>
                          <w:rPr>
                            <w:rFonts w:ascii="宋体" w:hAnsi="宋体" w:cs="宋体" w:eastAsia="宋体" w:hint="default"/>
                            <w:sz w:val="18"/>
                            <w:szCs w:val="18"/>
                          </w:rPr>
                        </w:pPr>
                        <w:r>
                          <w:rPr>
                            <w:rFonts w:ascii="宋体" w:hAnsi="宋体" w:cs="宋体" w:eastAsia="宋体" w:hint="default"/>
                            <w:color w:val="212121"/>
                            <w:sz w:val="18"/>
                            <w:szCs w:val="18"/>
                          </w:rPr>
                          <w:t>操作技能升级</w:t>
                        </w:r>
                        <w:r>
                          <w:rPr>
                            <w:rFonts w:ascii="宋体" w:hAnsi="宋体" w:cs="宋体" w:eastAsia="宋体" w:hint="default"/>
                            <w:sz w:val="18"/>
                            <w:szCs w:val="18"/>
                          </w:rPr>
                        </w:r>
                      </w:p>
                    </w:tc>
                    <w:tc>
                      <w:tcPr>
                        <w:tcW w:w="425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color w:val="212121"/>
                            <w:sz w:val="18"/>
                            <w:szCs w:val="18"/>
                          </w:rPr>
                          <w:t>岗位技能、职业资格等级技能、新技术</w:t>
                        </w:r>
                        <w:r>
                          <w:rPr>
                            <w:rFonts w:ascii="宋体" w:hAnsi="宋体" w:cs="宋体" w:eastAsia="宋体" w:hint="default"/>
                            <w:sz w:val="18"/>
                            <w:szCs w:val="18"/>
                          </w:rPr>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2" w:right="0"/>
                          <w:jc w:val="left"/>
                          <w:rPr>
                            <w:rFonts w:ascii="宋体" w:hAnsi="宋体" w:cs="宋体" w:eastAsia="宋体" w:hint="default"/>
                            <w:sz w:val="18"/>
                            <w:szCs w:val="18"/>
                          </w:rPr>
                        </w:pPr>
                        <w:r>
                          <w:rPr>
                            <w:rFonts w:ascii="宋体" w:hAnsi="宋体" w:cs="宋体" w:eastAsia="宋体" w:hint="default"/>
                            <w:color w:val="212121"/>
                            <w:spacing w:val="-2"/>
                            <w:sz w:val="18"/>
                            <w:szCs w:val="18"/>
                          </w:rPr>
                          <w:t>师带徒、工作训练、轮</w:t>
                        </w:r>
                        <w:r>
                          <w:rPr>
                            <w:rFonts w:ascii="宋体" w:hAnsi="宋体" w:cs="宋体" w:eastAsia="宋体" w:hint="default"/>
                            <w:color w:val="212121"/>
                            <w:sz w:val="18"/>
                            <w:szCs w:val="18"/>
                          </w:rPr>
                          <w:t> 岗、换岗</w:t>
                        </w:r>
                        <w:r>
                          <w:rPr>
                            <w:rFonts w:ascii="宋体" w:hAnsi="宋体" w:cs="宋体" w:eastAsia="宋体" w:hint="default"/>
                            <w:sz w:val="18"/>
                            <w:szCs w:val="18"/>
                          </w:rPr>
                        </w:r>
                      </w:p>
                    </w:tc>
                  </w:tr>
                  <w:tr>
                    <w:trPr>
                      <w:trHeight w:val="1051" w:hRule="exact"/>
                    </w:trPr>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color w:val="212121"/>
                            <w:sz w:val="18"/>
                            <w:szCs w:val="18"/>
                          </w:rPr>
                          <w:t>营销服务人员</w:t>
                        </w:r>
                        <w:r>
                          <w:rPr>
                            <w:rFonts w:ascii="宋体" w:hAnsi="宋体" w:cs="宋体" w:eastAsia="宋体" w:hint="default"/>
                            <w:sz w:val="18"/>
                            <w:szCs w:val="18"/>
                          </w:rPr>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61"/>
                          <w:jc w:val="right"/>
                          <w:rPr>
                            <w:rFonts w:ascii="宋体" w:hAnsi="宋体" w:cs="宋体" w:eastAsia="宋体" w:hint="default"/>
                            <w:sz w:val="18"/>
                            <w:szCs w:val="18"/>
                          </w:rPr>
                        </w:pPr>
                        <w:r>
                          <w:rPr>
                            <w:rFonts w:ascii="宋体" w:hAnsi="宋体" w:cs="宋体" w:eastAsia="宋体" w:hint="default"/>
                            <w:color w:val="212121"/>
                            <w:sz w:val="18"/>
                            <w:szCs w:val="18"/>
                          </w:rPr>
                          <w:t>岗位技能升级</w:t>
                        </w:r>
                        <w:r>
                          <w:rPr>
                            <w:rFonts w:ascii="宋体" w:hAnsi="宋体" w:cs="宋体" w:eastAsia="宋体" w:hint="default"/>
                            <w:sz w:val="18"/>
                            <w:szCs w:val="18"/>
                          </w:rPr>
                        </w:r>
                      </w:p>
                    </w:tc>
                    <w:tc>
                      <w:tcPr>
                        <w:tcW w:w="425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color w:val="212121"/>
                            <w:sz w:val="18"/>
                            <w:szCs w:val="18"/>
                          </w:rPr>
                          <w:t>解决方案、产品、营销技能、商务礼仪、岗位技能</w:t>
                        </w:r>
                        <w:r>
                          <w:rPr>
                            <w:rFonts w:ascii="宋体" w:hAnsi="宋体" w:cs="宋体" w:eastAsia="宋体" w:hint="default"/>
                            <w:sz w:val="18"/>
                            <w:szCs w:val="18"/>
                          </w:rPr>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17"/>
                          <w:jc w:val="both"/>
                          <w:rPr>
                            <w:rFonts w:ascii="宋体" w:hAnsi="宋体" w:cs="宋体" w:eastAsia="宋体" w:hint="default"/>
                            <w:sz w:val="18"/>
                            <w:szCs w:val="18"/>
                          </w:rPr>
                        </w:pPr>
                        <w:r>
                          <w:rPr>
                            <w:rFonts w:ascii="宋体" w:hAnsi="宋体" w:cs="宋体" w:eastAsia="宋体" w:hint="default"/>
                            <w:color w:val="212121"/>
                            <w:sz w:val="18"/>
                            <w:szCs w:val="18"/>
                          </w:rPr>
                          <w:t>轮训、专题讲座、多媒 体教学、轮岗、换岗、 外请培训</w:t>
                        </w:r>
                        <w:r>
                          <w:rPr>
                            <w:rFonts w:ascii="宋体" w:hAnsi="宋体" w:cs="宋体" w:eastAsia="宋体" w:hint="default"/>
                            <w:sz w:val="18"/>
                            <w:szCs w:val="18"/>
                          </w:rPr>
                        </w:r>
                      </w:p>
                    </w:tc>
                  </w:tr>
                  <w:tr>
                    <w:trPr>
                      <w:trHeight w:val="739" w:hRule="exact"/>
                    </w:trPr>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15" w:right="0"/>
                          <w:jc w:val="left"/>
                          <w:rPr>
                            <w:rFonts w:ascii="宋体" w:hAnsi="宋体" w:cs="宋体" w:eastAsia="宋体" w:hint="default"/>
                            <w:sz w:val="18"/>
                            <w:szCs w:val="18"/>
                          </w:rPr>
                        </w:pPr>
                        <w:r>
                          <w:rPr>
                            <w:rFonts w:ascii="宋体" w:hAnsi="宋体" w:cs="宋体" w:eastAsia="宋体" w:hint="default"/>
                            <w:color w:val="212121"/>
                            <w:sz w:val="18"/>
                            <w:szCs w:val="18"/>
                          </w:rPr>
                          <w:t>新员工</w:t>
                        </w:r>
                        <w:r>
                          <w:rPr>
                            <w:rFonts w:ascii="宋体" w:hAnsi="宋体" w:cs="宋体" w:eastAsia="宋体" w:hint="default"/>
                            <w:sz w:val="18"/>
                            <w:szCs w:val="18"/>
                          </w:rPr>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61"/>
                          <w:jc w:val="right"/>
                          <w:rPr>
                            <w:rFonts w:ascii="宋体" w:hAnsi="宋体" w:cs="宋体" w:eastAsia="宋体" w:hint="default"/>
                            <w:sz w:val="18"/>
                            <w:szCs w:val="18"/>
                          </w:rPr>
                        </w:pPr>
                        <w:r>
                          <w:rPr>
                            <w:rFonts w:ascii="宋体" w:hAnsi="宋体" w:cs="宋体" w:eastAsia="宋体" w:hint="default"/>
                            <w:sz w:val="18"/>
                            <w:szCs w:val="18"/>
                          </w:rPr>
                          <w:t>岗位必备能力</w:t>
                        </w:r>
                      </w:p>
                    </w:tc>
                    <w:tc>
                      <w:tcPr>
                        <w:tcW w:w="425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color w:val="212121"/>
                            <w:sz w:val="18"/>
                            <w:szCs w:val="18"/>
                          </w:rPr>
                          <w:t>办公技能、沟通表达、公司制度、岗位知识和技能等</w:t>
                        </w:r>
                        <w:r>
                          <w:rPr>
                            <w:rFonts w:ascii="宋体" w:hAnsi="宋体" w:cs="宋体" w:eastAsia="宋体" w:hint="default"/>
                            <w:sz w:val="18"/>
                            <w:szCs w:val="18"/>
                          </w:rPr>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91"/>
                          <w:jc w:val="left"/>
                          <w:rPr>
                            <w:rFonts w:ascii="宋体" w:hAnsi="宋体" w:cs="宋体" w:eastAsia="宋体" w:hint="default"/>
                            <w:sz w:val="18"/>
                            <w:szCs w:val="18"/>
                          </w:rPr>
                        </w:pPr>
                        <w:r>
                          <w:rPr>
                            <w:rFonts w:ascii="宋体" w:hAnsi="宋体" w:cs="宋体" w:eastAsia="宋体" w:hint="default"/>
                            <w:color w:val="212121"/>
                            <w:spacing w:val="-12"/>
                            <w:sz w:val="18"/>
                            <w:szCs w:val="18"/>
                          </w:rPr>
                          <w:t>师带徒、老带新、轮岗</w:t>
                        </w:r>
                        <w:r>
                          <w:rPr>
                            <w:rFonts w:ascii="宋体" w:hAnsi="宋体" w:cs="宋体" w:eastAsia="宋体" w:hint="default"/>
                            <w:color w:val="212121"/>
                            <w:spacing w:val="-82"/>
                            <w:sz w:val="18"/>
                            <w:szCs w:val="18"/>
                          </w:rPr>
                          <w:t> </w:t>
                        </w:r>
                        <w:r>
                          <w:rPr>
                            <w:rFonts w:ascii="宋体" w:hAnsi="宋体" w:cs="宋体" w:eastAsia="宋体" w:hint="default"/>
                            <w:color w:val="212121"/>
                            <w:spacing w:val="-82"/>
                            <w:sz w:val="18"/>
                            <w:szCs w:val="18"/>
                          </w:rPr>
                        </w:r>
                        <w:r>
                          <w:rPr>
                            <w:rFonts w:ascii="宋体" w:hAnsi="宋体" w:cs="宋体" w:eastAsia="宋体" w:hint="default"/>
                            <w:color w:val="212121"/>
                            <w:sz w:val="18"/>
                            <w:szCs w:val="18"/>
                          </w:rPr>
                          <w:t>换岗、实习</w:t>
                        </w:r>
                        <w:r>
                          <w:rPr>
                            <w:rFonts w:ascii="宋体" w:hAnsi="宋体" w:cs="宋体" w:eastAsia="宋体" w:hint="default"/>
                            <w:sz w:val="18"/>
                            <w:szCs w:val="18"/>
                          </w:rPr>
                        </w:r>
                      </w:p>
                    </w:tc>
                  </w:tr>
                </w:tbl>
                <w:p>
                  <w:pPr/>
                </w:p>
              </w:txbxContent>
            </v:textbox>
            <w10:wrap type="none"/>
          </v:shape>
        </w:pict>
      </w:r>
      <w:r>
        <w:rPr>
          <w:color w:val="212121"/>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Heading4"/>
        <w:spacing w:line="240" w:lineRule="auto" w:before="35"/>
        <w:ind w:right="0"/>
        <w:jc w:val="left"/>
        <w:rPr>
          <w:b w:val="0"/>
          <w:bCs w:val="0"/>
        </w:rPr>
      </w:pPr>
      <w:bookmarkStart w:name="4、劳务外包情况" w:id="136"/>
      <w:bookmarkEnd w:id="136"/>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2860"/>
        <w:jc w:val="center"/>
        <w:rPr>
          <w:b w:val="0"/>
          <w:bCs w:val="0"/>
        </w:rPr>
      </w:pPr>
      <w:bookmarkStart w:name="_TOC_250003" w:id="137"/>
      <w:bookmarkStart w:name="第九节 公司治理" w:id="138"/>
      <w:r>
        <w:rPr>
          <w:b w:val="0"/>
          <w:bCs w:val="0"/>
        </w:rPr>
      </w:r>
      <w:r>
        <w:rPr/>
        <w:t>第九节</w:t>
      </w:r>
      <w:r>
        <w:rPr>
          <w:spacing w:val="-5"/>
        </w:rPr>
        <w:t> </w:t>
      </w:r>
      <w:r>
        <w:rPr/>
        <w:t>公司治理</w:t>
      </w:r>
      <w:bookmarkEnd w:id="137"/>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bookmarkStart w:name="一、公司治理的基本状况" w:id="139"/>
      <w:bookmarkEnd w:id="139"/>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before="0"/>
        <w:ind w:right="1131" w:firstLine="345"/>
        <w:jc w:val="both"/>
      </w:pPr>
      <w:r>
        <w:rPr>
          <w:spacing w:val="-2"/>
        </w:rPr>
        <w:t>报告期内，公司严格按照《公司法》、《证券法》、《上市公司治理准则》、《深圳证券交易所股票上市规则》、《深</w:t>
      </w:r>
      <w:r>
        <w:rPr/>
        <w:t> </w:t>
      </w:r>
      <w:r>
        <w:rPr>
          <w:spacing w:val="-2"/>
        </w:rPr>
        <w:t>圳证券交易所中小企业板上市公司规范运作指引》和中国证监会有关法律法规的要求，不断完善公司治理结构，建立健全内</w:t>
      </w:r>
      <w:r>
        <w:rPr>
          <w:spacing w:val="-66"/>
        </w:rPr>
        <w:t> </w:t>
      </w:r>
      <w:r>
        <w:rPr>
          <w:spacing w:val="-66"/>
        </w:rPr>
      </w:r>
      <w:r>
        <w:rPr>
          <w:spacing w:val="-2"/>
        </w:rPr>
        <w:t>部管理和控制制度，进一步提高公司治理水平。截止报告期末，公司治理的实际运行情况与中国证监会、深证证券交易所上</w:t>
      </w:r>
      <w:r>
        <w:rPr>
          <w:spacing w:val="-66"/>
        </w:rPr>
        <w:t> </w:t>
      </w:r>
      <w:r>
        <w:rPr>
          <w:spacing w:val="-66"/>
        </w:rPr>
      </w:r>
      <w:r>
        <w:rPr>
          <w:spacing w:val="-2"/>
        </w:rPr>
        <w:t>市公司治理规范性文件基本相符，不存在尚未解决的治理问题。截止报告期末，公司对照中国证监会发布的有关上市公司治</w:t>
      </w:r>
      <w:r>
        <w:rPr>
          <w:spacing w:val="-66"/>
        </w:rPr>
        <w:t> </w:t>
      </w:r>
      <w:r>
        <w:rPr>
          <w:spacing w:val="-66"/>
        </w:rPr>
      </w:r>
      <w:r>
        <w:rPr/>
        <w:t>理的规范性文件，公司认为：公司法人治理结构的实际状况基本符合中国证监会发布的有关上市公司治理的规范性文件。</w:t>
      </w:r>
    </w:p>
    <w:p>
      <w:pPr>
        <w:pStyle w:val="BodyText"/>
        <w:spacing w:line="240" w:lineRule="auto" w:before="19"/>
        <w:ind w:left="499" w:right="0"/>
        <w:jc w:val="left"/>
      </w:pPr>
      <w:r>
        <w:rPr/>
        <w:t>公司治理的具体情况如下：</w:t>
      </w:r>
    </w:p>
    <w:p>
      <w:pPr>
        <w:pStyle w:val="BodyText"/>
        <w:spacing w:line="300" w:lineRule="auto" w:before="76"/>
        <w:ind w:left="499" w:right="0" w:hanging="72"/>
        <w:jc w:val="left"/>
      </w:pPr>
      <w:r>
        <w:rPr>
          <w:rFonts w:ascii="Times New Roman" w:hAnsi="Times New Roman" w:cs="Times New Roman" w:eastAsia="Times New Roman" w:hint="default"/>
        </w:rPr>
        <w:t>1</w:t>
      </w:r>
      <w:r>
        <w:rPr/>
        <w:t>、关于股东与股东大会 </w:t>
      </w:r>
      <w:r>
        <w:rPr>
          <w:spacing w:val="-2"/>
        </w:rPr>
        <w:t>公司严格按照《公司章程》和《股东大会议事规则》的规定，规范股东大会的召集、召开及表决程序，并聘请律师出席</w:t>
      </w:r>
    </w:p>
    <w:p>
      <w:pPr>
        <w:pStyle w:val="BodyText"/>
        <w:spacing w:line="316" w:lineRule="auto" w:before="31"/>
        <w:ind w:right="1131"/>
        <w:jc w:val="both"/>
      </w:pPr>
      <w:r>
        <w:rPr>
          <w:spacing w:val="-2"/>
        </w:rPr>
        <w:t>见证，确保全体股东、特别是中小股东享有平等地位，公司通过建立与股东沟通的有效渠道，确保全体股东充分地行使自己</w:t>
      </w:r>
      <w:r>
        <w:rPr>
          <w:spacing w:val="-66"/>
        </w:rPr>
        <w:t> </w:t>
      </w:r>
      <w:r>
        <w:rPr>
          <w:spacing w:val="-66"/>
        </w:rPr>
      </w:r>
      <w:r>
        <w:rPr/>
        <w:t>的合法权利。</w:t>
      </w:r>
    </w:p>
    <w:p>
      <w:pPr>
        <w:pStyle w:val="BodyText"/>
        <w:spacing w:line="300" w:lineRule="auto" w:before="19"/>
        <w:ind w:left="499" w:right="1047" w:hanging="72"/>
        <w:jc w:val="left"/>
      </w:pPr>
      <w:r>
        <w:rPr>
          <w:rFonts w:ascii="Times New Roman" w:hAnsi="Times New Roman" w:cs="Times New Roman" w:eastAsia="Times New Roman" w:hint="default"/>
        </w:rPr>
        <w:t>2</w:t>
      </w:r>
      <w:r>
        <w:rPr/>
        <w:t>、关于公司与控股股东 公司控股股东对公司依法通过股东大会行使出资人的权利，没有超越股东大会直接或间接干预公司的决策和经营活动。</w:t>
      </w:r>
    </w:p>
    <w:p>
      <w:pPr>
        <w:pStyle w:val="BodyText"/>
        <w:spacing w:line="316" w:lineRule="auto" w:before="31"/>
        <w:ind w:right="1132"/>
        <w:jc w:val="both"/>
      </w:pPr>
      <w:r>
        <w:rPr>
          <w:spacing w:val="-2"/>
        </w:rPr>
        <w:t>公司拥有独立的业务和经营自主能力，在业务、人员、资产、机构、财务上独立于控股股东，公司董事会、监事会和内部机</w:t>
      </w:r>
      <w:r>
        <w:rPr>
          <w:spacing w:val="-72"/>
        </w:rPr>
        <w:t> </w:t>
      </w:r>
      <w:r>
        <w:rPr>
          <w:spacing w:val="-72"/>
        </w:rPr>
      </w:r>
      <w:r>
        <w:rPr>
          <w:spacing w:val="-2"/>
        </w:rPr>
        <w:t>构独立运作。公司控股股东能严格规范自己的行为，依法行使其权利并承担相应义务，没有超越公司股东大会直接或间接干</w:t>
      </w:r>
      <w:r>
        <w:rPr>
          <w:spacing w:val="-66"/>
        </w:rPr>
        <w:t> </w:t>
      </w:r>
      <w:r>
        <w:rPr>
          <w:spacing w:val="-66"/>
        </w:rPr>
      </w:r>
      <w:r>
        <w:rPr/>
        <w:t>预公司的决策和经营活动的行为。公司不存在控股股东占用公司资金的现象，公司也没有为控股股东提供担保的情形。</w:t>
      </w:r>
    </w:p>
    <w:p>
      <w:pPr>
        <w:pStyle w:val="BodyText"/>
        <w:spacing w:line="300" w:lineRule="auto" w:before="19"/>
        <w:ind w:left="499" w:right="1047" w:hanging="72"/>
        <w:jc w:val="left"/>
      </w:pPr>
      <w:r>
        <w:rPr>
          <w:rFonts w:ascii="Times New Roman" w:hAnsi="Times New Roman" w:cs="Times New Roman" w:eastAsia="Times New Roman" w:hint="default"/>
        </w:rPr>
        <w:t>3</w:t>
      </w:r>
      <w:r>
        <w:rPr/>
        <w:t>、关于董事与董事会 公司严格按照《公司法》、《公司章程》的规定，严格董事的选聘程序，确保公司董事选聘公开、公平、公正、独立。</w:t>
      </w:r>
    </w:p>
    <w:p>
      <w:pPr>
        <w:pStyle w:val="BodyText"/>
        <w:spacing w:line="312" w:lineRule="auto" w:before="31"/>
        <w:ind w:right="1130"/>
        <w:jc w:val="both"/>
      </w:pPr>
      <w:r>
        <w:rPr/>
        <w:t>公司目前有董事</w:t>
      </w:r>
      <w:r>
        <w:rPr>
          <w:rFonts w:ascii="Times New Roman" w:hAnsi="Times New Roman" w:cs="Times New Roman" w:eastAsia="Times New Roman" w:hint="default"/>
        </w:rPr>
        <w:t>9</w:t>
      </w:r>
      <w:r>
        <w:rPr/>
        <w:t>名，其中独立董事三名，占全体董事的三分之一，董事会成员构成符合法律法规的要求。公司全体董事能 </w:t>
      </w:r>
      <w:r>
        <w:rPr>
          <w:spacing w:val="-2"/>
        </w:rPr>
        <w:t>够按照《董事会议事规则》、《公司独立董事制度》、《深圳证券交易所中小企业板上市公司规范运作指引》的要求开展工</w:t>
      </w:r>
      <w:r>
        <w:rPr>
          <w:spacing w:val="-67"/>
        </w:rPr>
        <w:t> </w:t>
      </w:r>
      <w:r>
        <w:rPr>
          <w:spacing w:val="-67"/>
        </w:rPr>
      </w:r>
      <w:r>
        <w:rPr>
          <w:spacing w:val="-2"/>
        </w:rPr>
        <w:t>作，认真出席董事会和股东大会，认真履行董事诚实守信、勤勉尽责的义务。董事会下设战略委员会、审计委员会、薪酬与</w:t>
      </w:r>
      <w:r>
        <w:rPr>
          <w:spacing w:val="-68"/>
        </w:rPr>
        <w:t> </w:t>
      </w:r>
      <w:r>
        <w:rPr>
          <w:spacing w:val="-68"/>
        </w:rPr>
      </w:r>
      <w:r>
        <w:rPr/>
        <w:t>考核委员会、提名委员会四个专门委员会，各尽其责，提高了董事会的办事效率。</w:t>
      </w:r>
    </w:p>
    <w:p>
      <w:pPr>
        <w:pStyle w:val="BodyText"/>
        <w:spacing w:line="300" w:lineRule="auto" w:before="22"/>
        <w:ind w:left="499" w:right="0" w:hanging="72"/>
        <w:jc w:val="left"/>
      </w:pPr>
      <w:r>
        <w:rPr>
          <w:rFonts w:ascii="Times New Roman" w:hAnsi="Times New Roman" w:cs="Times New Roman" w:eastAsia="Times New Roman" w:hint="default"/>
        </w:rPr>
        <w:t>4</w:t>
      </w:r>
      <w:r>
        <w:rPr/>
        <w:t>、关于监事与监事会 </w:t>
      </w:r>
      <w:r>
        <w:rPr>
          <w:spacing w:val="-4"/>
        </w:rPr>
        <w:t>公司严格按照《公司章程》、《监事会议事规则》的规定，严格监事的选聘程序，确保公司监事选聘公开、公平、公正、</w:t>
      </w:r>
    </w:p>
    <w:p>
      <w:pPr>
        <w:pStyle w:val="BodyText"/>
        <w:spacing w:line="316" w:lineRule="auto" w:before="31"/>
        <w:ind w:right="0"/>
        <w:jc w:val="left"/>
      </w:pPr>
      <w:r>
        <w:rPr>
          <w:spacing w:val="-2"/>
        </w:rPr>
        <w:t>独立。公司监事会由三名监事组成，其中一名为职工代表监事，监事会成员构成符合相关法律法规的要求。公司全体监事能</w:t>
      </w:r>
      <w:r>
        <w:rPr>
          <w:spacing w:val="-66"/>
        </w:rPr>
        <w:t> </w:t>
      </w:r>
      <w:r>
        <w:rPr>
          <w:spacing w:val="-66"/>
        </w:rPr>
      </w:r>
      <w:r>
        <w:rPr>
          <w:spacing w:val="-2"/>
        </w:rPr>
        <w:t>够按照《公司章程》、《监事会议事规则》等制度，认真履行自己的职责，能够本着对股东负责的精神，认真出席监事会和</w:t>
      </w:r>
      <w:r>
        <w:rPr>
          <w:spacing w:val="-66"/>
        </w:rPr>
        <w:t> </w:t>
      </w:r>
      <w:r>
        <w:rPr>
          <w:spacing w:val="-66"/>
        </w:rPr>
      </w:r>
      <w:r>
        <w:rPr>
          <w:spacing w:val="-2"/>
        </w:rPr>
        <w:t>股东大会，列席董事会，对公司财务以及公司董事、总经理和其他高级管理人员履行职责的合法合规性进行监督，维护公司</w:t>
      </w:r>
      <w:r>
        <w:rPr>
          <w:spacing w:val="-66"/>
        </w:rPr>
        <w:t> </w:t>
      </w:r>
      <w:r>
        <w:rPr>
          <w:spacing w:val="-66"/>
        </w:rPr>
      </w:r>
      <w:r>
        <w:rPr>
          <w:spacing w:val="-4"/>
        </w:rPr>
        <w:t>及股东的合法权益。对公司运营情况、重大事项、关联交易对关联交易以及公司董事的选举、高级管理人员的聘任履行程序、</w:t>
      </w:r>
      <w:r>
        <w:rPr>
          <w:spacing w:val="-46"/>
        </w:rPr>
        <w:t> </w:t>
      </w:r>
      <w:r>
        <w:rPr>
          <w:spacing w:val="-46"/>
        </w:rPr>
      </w:r>
      <w:r>
        <w:rPr/>
        <w:t>职责的合法合规性进行监督，维护了公司及股东的合法权益。</w:t>
      </w:r>
    </w:p>
    <w:p>
      <w:pPr>
        <w:pStyle w:val="BodyText"/>
        <w:spacing w:line="300" w:lineRule="auto" w:before="19"/>
        <w:ind w:left="499" w:right="0" w:hanging="72"/>
        <w:jc w:val="left"/>
      </w:pPr>
      <w:r>
        <w:rPr>
          <w:rFonts w:ascii="Times New Roman" w:hAnsi="Times New Roman" w:cs="Times New Roman" w:eastAsia="Times New Roman" w:hint="default"/>
        </w:rPr>
        <w:t>5</w:t>
      </w:r>
      <w:r>
        <w:rPr/>
        <w:t>、关于绩效评价与激励约束机制 </w:t>
      </w:r>
      <w:r>
        <w:rPr>
          <w:spacing w:val="-2"/>
        </w:rPr>
        <w:t>公司已建立较为完善的员工绩效评价和激励约束机制，同时建立了公正、透明的董事、监事和经营层人员等的绩效评价</w:t>
      </w:r>
    </w:p>
    <w:p>
      <w:pPr>
        <w:pStyle w:val="BodyText"/>
        <w:spacing w:line="316" w:lineRule="auto" w:before="31"/>
        <w:ind w:right="1132"/>
        <w:jc w:val="both"/>
      </w:pPr>
      <w:r>
        <w:rPr>
          <w:spacing w:val="-2"/>
        </w:rPr>
        <w:t>标准和激励约束机制，公司管理人员的聘任公开、透明，符合法律法规的规定。根据公司的发展，公司将进一步明确高级管</w:t>
      </w:r>
      <w:r>
        <w:rPr>
          <w:spacing w:val="-66"/>
        </w:rPr>
        <w:t> </w:t>
      </w:r>
      <w:r>
        <w:rPr>
          <w:spacing w:val="-66"/>
        </w:rPr>
      </w:r>
      <w:r>
        <w:rPr/>
        <w:t>理人员的职责范围和工作指引。</w:t>
      </w:r>
    </w:p>
    <w:p>
      <w:pPr>
        <w:pStyle w:val="BodyText"/>
        <w:spacing w:line="300" w:lineRule="auto" w:before="19"/>
        <w:ind w:left="499" w:right="0" w:hanging="72"/>
        <w:jc w:val="left"/>
      </w:pPr>
      <w:r>
        <w:rPr>
          <w:rFonts w:ascii="Times New Roman" w:hAnsi="Times New Roman" w:cs="Times New Roman" w:eastAsia="Times New Roman" w:hint="default"/>
        </w:rPr>
        <w:t>6</w:t>
      </w:r>
      <w:r>
        <w:rPr/>
        <w:t>、关于相关利益者 </w:t>
      </w:r>
      <w:r>
        <w:rPr>
          <w:spacing w:val="-2"/>
        </w:rPr>
        <w:t>公司在保持稳健发展、实现股东利益最大化的同时，充分尊重和维护相关利益者的合法利益，积极与相关利益者沟通和</w:t>
      </w:r>
    </w:p>
    <w:p>
      <w:pPr>
        <w:pStyle w:val="BodyText"/>
        <w:spacing w:line="316" w:lineRule="auto" w:before="32"/>
        <w:ind w:right="1133"/>
        <w:jc w:val="both"/>
      </w:pPr>
      <w:r>
        <w:rPr>
          <w:spacing w:val="-2"/>
        </w:rPr>
        <w:t>交流，努力实现股东、员工、社会等各方利益的均衡，在经营中秉承诚实守信，公平公开的原则，共同推进公司持续、健康</w:t>
      </w:r>
      <w:r>
        <w:rPr>
          <w:spacing w:val="-72"/>
        </w:rPr>
        <w:t> </w:t>
      </w:r>
      <w:r>
        <w:rPr>
          <w:spacing w:val="-72"/>
        </w:rPr>
      </w:r>
      <w:r>
        <w:rPr/>
        <w:t>地发展。</w:t>
      </w:r>
    </w:p>
    <w:p>
      <w:pPr>
        <w:pStyle w:val="BodyText"/>
        <w:spacing w:line="300" w:lineRule="auto" w:before="19"/>
        <w:ind w:left="499" w:right="0" w:hanging="72"/>
        <w:jc w:val="left"/>
      </w:pPr>
      <w:r>
        <w:rPr>
          <w:rFonts w:ascii="Times New Roman" w:hAnsi="Times New Roman" w:cs="Times New Roman" w:eastAsia="Times New Roman" w:hint="default"/>
        </w:rPr>
        <w:t>7</w:t>
      </w:r>
      <w:r>
        <w:rPr/>
        <w:t>、关于信息披露与透明度 </w:t>
      </w:r>
      <w:r>
        <w:rPr>
          <w:spacing w:val="-2"/>
        </w:rPr>
        <w:t>公司已指定董事会秘书为公司的投资者关系管理负责人，负责公司的信息披露与投资者关系的管理，接待股东的来访和</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2" w:lineRule="auto"/>
        <w:ind w:right="0"/>
        <w:jc w:val="left"/>
      </w:pPr>
      <w:r>
        <w:rPr>
          <w:spacing w:val="-1"/>
        </w:rPr>
        <w:t>咨询；指定《证券时报》、《中国证券报》、《上海证券报》和巨潮资讯网</w:t>
      </w:r>
      <w:r>
        <w:rPr>
          <w:rFonts w:ascii="Times New Roman" w:hAnsi="Times New Roman" w:cs="Times New Roman" w:eastAsia="Times New Roman" w:hint="default"/>
          <w:spacing w:val="-1"/>
        </w:rPr>
        <w:t>(www.cinfo.com.cn)</w:t>
      </w:r>
      <w:r>
        <w:rPr>
          <w:spacing w:val="-1"/>
        </w:rPr>
        <w:t>作为公司指定信息披露媒体，</w:t>
      </w:r>
      <w:r>
        <w:rPr>
          <w:spacing w:val="-79"/>
        </w:rPr>
        <w:t> </w:t>
      </w:r>
      <w:r>
        <w:rPr>
          <w:spacing w:val="-79"/>
        </w:rPr>
      </w:r>
      <w:r>
        <w:rPr>
          <w:spacing w:val="-2"/>
        </w:rPr>
        <w:t>公司严格按照有关法律法规和《公司信息披露管理制度》的规定，做到公平、真实、准确、及时、完整的披露公司信息，并</w:t>
      </w:r>
      <w:r>
        <w:rPr>
          <w:spacing w:val="-68"/>
        </w:rPr>
        <w:t> </w:t>
      </w:r>
      <w:r>
        <w:rPr>
          <w:spacing w:val="-68"/>
        </w:rPr>
      </w:r>
      <w:r>
        <w:rPr>
          <w:spacing w:val="-2"/>
        </w:rPr>
        <w:t>确保所有股东有公平的机会获得信息。公司注重与投资者沟通交流，并通过深圳证券交易所互动平台和接待来访等方式与投</w:t>
      </w:r>
      <w:r>
        <w:rPr>
          <w:spacing w:val="-65"/>
        </w:rPr>
        <w:t> </w:t>
      </w:r>
      <w:r>
        <w:rPr>
          <w:spacing w:val="-65"/>
        </w:rPr>
      </w:r>
      <w:r>
        <w:rPr/>
        <w:t>资者的沟通和交流。</w:t>
      </w:r>
    </w:p>
    <w:p>
      <w:pPr>
        <w:pStyle w:val="BodyText"/>
        <w:spacing w:line="240" w:lineRule="auto" w:before="63"/>
        <w:ind w:right="0"/>
        <w:jc w:val="left"/>
      </w:pPr>
      <w:r>
        <w:rPr/>
        <w:t>公司治理的实际状况与中国证监会发布的有关上市公司治理的规范性文件是否存在重大差异</w:t>
      </w:r>
    </w:p>
    <w:p>
      <w:pPr>
        <w:pStyle w:val="BodyText"/>
        <w:spacing w:line="338" w:lineRule="auto" w:before="117"/>
        <w:ind w:right="355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二、公司相对于控股股东在业务、人员、资产、机构、财务等方面的独立情况" w:id="140"/>
      <w:bookmarkEnd w:id="140"/>
      <w:r>
        <w:rPr>
          <w:b w:val="0"/>
          <w:bCs w:val="0"/>
        </w:rPr>
      </w: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0" w:firstLine="343"/>
        <w:jc w:val="left"/>
      </w:pPr>
      <w:r>
        <w:rPr>
          <w:spacing w:val="-2"/>
        </w:rPr>
        <w:t>公司与控股股东在业务、资产、人员、财务、机构等方面完全分开，具有独立完整的业务及自主经营能力。具体的独立</w:t>
      </w:r>
      <w:r>
        <w:rPr/>
        <w:t> 运营情况如下：</w:t>
      </w:r>
    </w:p>
    <w:p>
      <w:pPr>
        <w:pStyle w:val="BodyText"/>
        <w:spacing w:line="300" w:lineRule="auto" w:before="19"/>
        <w:ind w:right="0" w:firstLine="343"/>
        <w:jc w:val="left"/>
      </w:pPr>
      <w:r>
        <w:rPr>
          <w:rFonts w:ascii="Times New Roman" w:hAnsi="Times New Roman" w:cs="Times New Roman" w:eastAsia="Times New Roman" w:hint="default"/>
          <w:spacing w:val="-2"/>
        </w:rPr>
        <w:t>1</w:t>
      </w:r>
      <w:r>
        <w:rPr>
          <w:spacing w:val="-2"/>
        </w:rPr>
        <w:t>、人员方面：公司在劳动、人事及工资管理与控股股东完全分开，公司高级管理人员均未在股东单位兼职或领取薪酬；</w:t>
      </w:r>
      <w:r>
        <w:rPr/>
        <w:t> 公司在员工管理、社会保障、工资报酬等方面均独立于股东和其他关联方。</w:t>
      </w:r>
    </w:p>
    <w:p>
      <w:pPr>
        <w:pStyle w:val="BodyText"/>
        <w:spacing w:line="300" w:lineRule="auto" w:before="31"/>
        <w:ind w:right="1139" w:firstLine="343"/>
        <w:jc w:val="left"/>
      </w:pPr>
      <w:r>
        <w:rPr>
          <w:rFonts w:ascii="Times New Roman" w:hAnsi="Times New Roman" w:cs="Times New Roman" w:eastAsia="Times New Roman" w:hint="default"/>
        </w:rPr>
        <w:t>2</w:t>
      </w:r>
      <w:r>
        <w:rPr/>
        <w:t>、资产方面：公司拥有独立的采购、销售、研发、服务体系及配套设施，公司股东与公司的资产产权界定明确。公司 拥有的土地使用权证、房屋所有权证、商标注册证及其他产权证明的取得手续完备，资产完整、权属清晰。</w:t>
      </w:r>
    </w:p>
    <w:p>
      <w:pPr>
        <w:pStyle w:val="BodyText"/>
        <w:spacing w:line="300" w:lineRule="auto" w:before="31"/>
        <w:ind w:right="1139" w:firstLine="343"/>
        <w:jc w:val="left"/>
      </w:pPr>
      <w:r>
        <w:rPr>
          <w:rFonts w:ascii="Times New Roman" w:hAnsi="Times New Roman" w:cs="Times New Roman" w:eastAsia="Times New Roman" w:hint="default"/>
        </w:rPr>
        <w:t>3</w:t>
      </w:r>
      <w:r>
        <w:rPr/>
        <w:t>、财务方面：公司设有独立的财务会计部门，配备了专门的财务人员，建立了符合有关会计制度要求、独立的会计核 算体系和财务管理制度。</w:t>
      </w:r>
    </w:p>
    <w:p>
      <w:pPr>
        <w:pStyle w:val="BodyText"/>
        <w:spacing w:line="300" w:lineRule="auto" w:before="31"/>
        <w:ind w:right="1139" w:firstLine="343"/>
        <w:jc w:val="left"/>
      </w:pPr>
      <w:r>
        <w:rPr>
          <w:rFonts w:ascii="Times New Roman" w:hAnsi="Times New Roman" w:cs="Times New Roman" w:eastAsia="Times New Roman" w:hint="default"/>
        </w:rPr>
        <w:t>4</w:t>
      </w:r>
      <w:r>
        <w:rPr/>
        <w:t>、机构方面：公司健全了股东大会、董事会、监事会、经理层等法人治理机构，各组织机构依法行使各自的职权；建 立了独立的、适应自身发展需要的组织机构，制订了完善的岗位职责和管理制度，各部门按照规定的职责独立运作。</w:t>
      </w:r>
    </w:p>
    <w:p>
      <w:pPr>
        <w:pStyle w:val="BodyText"/>
        <w:spacing w:line="300" w:lineRule="auto" w:before="31"/>
        <w:ind w:right="1139" w:firstLine="343"/>
        <w:jc w:val="left"/>
      </w:pPr>
      <w:r>
        <w:rPr>
          <w:rFonts w:ascii="Times New Roman" w:hAnsi="Times New Roman" w:cs="Times New Roman" w:eastAsia="Times New Roman" w:hint="default"/>
        </w:rPr>
        <w:t>5</w:t>
      </w:r>
      <w:r>
        <w:rPr/>
        <w:t>、内控独立：公司设立独立的审计部门，配备专职的审计人员，审计部直属于公司董事会领导，在业务、人员等方面 完全独立，对董事会负责，向董事会报告。</w:t>
      </w:r>
    </w:p>
    <w:p>
      <w:pPr>
        <w:pStyle w:val="BodyText"/>
        <w:spacing w:line="300" w:lineRule="auto" w:before="32"/>
        <w:ind w:right="1139" w:firstLine="343"/>
        <w:jc w:val="left"/>
      </w:pPr>
      <w:r>
        <w:rPr>
          <w:rFonts w:ascii="Times New Roman" w:hAnsi="Times New Roman" w:cs="Times New Roman" w:eastAsia="Times New Roman" w:hint="default"/>
        </w:rPr>
        <w:t>6</w:t>
      </w:r>
      <w:r>
        <w:rPr/>
        <w:t>、业务方面：公司在经营管理上独立运作，独立对外签订合同，开展业务，形成了独立完整的业务体系，具备面向市 场自主经营的能力。</w:t>
      </w:r>
    </w:p>
    <w:p>
      <w:pPr>
        <w:spacing w:line="240" w:lineRule="auto" w:before="9"/>
        <w:rPr>
          <w:rFonts w:ascii="宋体" w:hAnsi="宋体" w:cs="宋体" w:eastAsia="宋体" w:hint="default"/>
          <w:sz w:val="21"/>
          <w:szCs w:val="21"/>
        </w:rPr>
      </w:pPr>
    </w:p>
    <w:p>
      <w:pPr>
        <w:pStyle w:val="Heading2"/>
        <w:spacing w:line="240" w:lineRule="auto"/>
        <w:ind w:right="0"/>
        <w:jc w:val="left"/>
        <w:rPr>
          <w:b w:val="0"/>
          <w:bCs w:val="0"/>
        </w:rPr>
      </w:pPr>
      <w:bookmarkStart w:name="三、同业竞争情况" w:id="141"/>
      <w:bookmarkEnd w:id="141"/>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报告期内召开的年度股东大会和临时股东大会的有关情况" w:id="142"/>
      <w:bookmarkEnd w:id="142"/>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本报告期股东大会情况" w:id="143"/>
      <w:bookmarkEnd w:id="143"/>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65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20"/>
              <w:jc w:val="both"/>
              <w:rPr>
                <w:rFonts w:ascii="宋体" w:hAnsi="宋体" w:cs="宋体" w:eastAsia="宋体" w:hint="default"/>
                <w:sz w:val="18"/>
                <w:szCs w:val="18"/>
              </w:rPr>
            </w:pPr>
            <w:r>
              <w:rPr>
                <w:rFonts w:ascii="宋体" w:hAnsi="宋体" w:cs="宋体" w:eastAsia="宋体" w:hint="default"/>
                <w:spacing w:val="-27"/>
                <w:sz w:val="18"/>
                <w:szCs w:val="18"/>
              </w:rPr>
              <w:t>《证券时报》、《中国</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7"/>
                <w:sz w:val="18"/>
                <w:szCs w:val="18"/>
              </w:rPr>
              <w:t>证券报》、《上海证券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报》和巨潮资讯网</w:t>
            </w:r>
          </w:p>
          <w:p>
            <w:pPr>
              <w:pStyle w:val="TableParagraph"/>
              <w:spacing w:line="302" w:lineRule="auto" w:before="19"/>
              <w:ind w:left="23" w:right="97"/>
              <w:jc w:val="both"/>
              <w:rPr>
                <w:rFonts w:ascii="宋体" w:hAnsi="宋体" w:cs="宋体" w:eastAsia="宋体" w:hint="default"/>
                <w:sz w:val="18"/>
                <w:szCs w:val="18"/>
              </w:rPr>
            </w:pPr>
            <w:r>
              <w:rPr>
                <w:rFonts w:ascii="宋体" w:hAnsi="宋体" w:cs="宋体" w:eastAsia="宋体" w:hint="default"/>
                <w:spacing w:val="-1"/>
                <w:sz w:val="18"/>
                <w:szCs w:val="18"/>
              </w:rPr>
              <w:t>（</w:t>
            </w:r>
            <w:hyperlink r:id="rId13">
              <w:r>
                <w:rPr>
                  <w:rFonts w:ascii="Times New Roman" w:hAnsi="Times New Roman" w:cs="Times New Roman" w:eastAsia="Times New Roman" w:hint="default"/>
                  <w:spacing w:val="-1"/>
                  <w:sz w:val="18"/>
                  <w:szCs w:val="18"/>
                </w:rPr>
                <w:t>www.cninfo.com.</w:t>
              </w:r>
            </w:hyperlink>
            <w:r>
              <w:rPr>
                <w:rFonts w:ascii="Times New Roman" w:hAnsi="Times New Roman" w:cs="Times New Roman" w:eastAsia="Times New Roman" w:hint="default"/>
                <w:sz w:val="18"/>
                <w:szCs w:val="18"/>
              </w:rPr>
              <w:t> cn</w:t>
            </w:r>
            <w:r>
              <w:rPr>
                <w:rFonts w:ascii="宋体" w:hAnsi="宋体" w:cs="宋体" w:eastAsia="宋体" w:hint="default"/>
                <w:sz w:val="18"/>
                <w:szCs w:val="18"/>
              </w:rPr>
              <w:t>）</w:t>
            </w:r>
          </w:p>
        </w:tc>
      </w:tr>
      <w:tr>
        <w:trPr>
          <w:trHeight w:val="1299"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6"/>
                <w:szCs w:val="26"/>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20"/>
              <w:jc w:val="both"/>
              <w:rPr>
                <w:rFonts w:ascii="宋体" w:hAnsi="宋体" w:cs="宋体" w:eastAsia="宋体" w:hint="default"/>
                <w:sz w:val="18"/>
                <w:szCs w:val="18"/>
              </w:rPr>
            </w:pPr>
            <w:r>
              <w:rPr>
                <w:rFonts w:ascii="宋体" w:hAnsi="宋体" w:cs="宋体" w:eastAsia="宋体" w:hint="default"/>
                <w:spacing w:val="-27"/>
                <w:sz w:val="18"/>
                <w:szCs w:val="18"/>
              </w:rPr>
              <w:t>《证券时报》、《中国</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7"/>
                <w:sz w:val="18"/>
                <w:szCs w:val="18"/>
              </w:rPr>
              <w:t>证券报》、《上海证券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报》和巨潮资讯网</w:t>
            </w:r>
          </w:p>
          <w:p>
            <w:pPr>
              <w:pStyle w:val="TableParagraph"/>
              <w:spacing w:line="240" w:lineRule="auto" w:before="19"/>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13">
              <w:r>
                <w:rPr>
                  <w:rFonts w:ascii="Times New Roman" w:hAnsi="Times New Roman" w:cs="Times New Roman" w:eastAsia="Times New Roman" w:hint="default"/>
                  <w:sz w:val="18"/>
                  <w:szCs w:val="18"/>
                </w:rPr>
                <w:t>www.cninfo.com.</w:t>
              </w:r>
            </w:hyperlink>
          </w:p>
        </w:tc>
      </w:tr>
    </w:tbl>
    <w:p>
      <w:pPr>
        <w:spacing w:after="0" w:line="240" w:lineRule="auto"/>
        <w:jc w:val="both"/>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362"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cn</w:t>
            </w:r>
            <w:r>
              <w:rPr>
                <w:rFonts w:ascii="宋体" w:hAnsi="宋体" w:cs="宋体" w:eastAsia="宋体" w:hint="default"/>
                <w:sz w:val="18"/>
                <w:szCs w:val="18"/>
              </w:rPr>
              <w:t>）</w:t>
            </w:r>
          </w:p>
        </w:tc>
      </w:tr>
      <w:tr>
        <w:trPr>
          <w:trHeight w:val="165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both"/>
              <w:rPr>
                <w:rFonts w:ascii="宋体" w:hAnsi="宋体" w:cs="宋体" w:eastAsia="宋体" w:hint="default"/>
                <w:sz w:val="18"/>
                <w:szCs w:val="18"/>
              </w:rPr>
            </w:pPr>
            <w:r>
              <w:rPr>
                <w:rFonts w:ascii="宋体" w:hAnsi="宋体" w:cs="宋体" w:eastAsia="宋体" w:hint="default"/>
                <w:spacing w:val="-27"/>
                <w:sz w:val="18"/>
                <w:szCs w:val="18"/>
              </w:rPr>
              <w:t>《证券时报》、《中国</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7"/>
                <w:sz w:val="18"/>
                <w:szCs w:val="18"/>
              </w:rPr>
              <w:t>证券报》、《上海证券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报》和巨潮资讯网</w:t>
            </w:r>
          </w:p>
          <w:p>
            <w:pPr>
              <w:pStyle w:val="TableParagraph"/>
              <w:spacing w:line="302" w:lineRule="auto" w:before="19"/>
              <w:ind w:left="23" w:right="97"/>
              <w:jc w:val="both"/>
              <w:rPr>
                <w:rFonts w:ascii="宋体" w:hAnsi="宋体" w:cs="宋体" w:eastAsia="宋体" w:hint="default"/>
                <w:sz w:val="18"/>
                <w:szCs w:val="18"/>
              </w:rPr>
            </w:pPr>
            <w:r>
              <w:rPr>
                <w:rFonts w:ascii="宋体" w:hAnsi="宋体" w:cs="宋体" w:eastAsia="宋体" w:hint="default"/>
                <w:spacing w:val="-1"/>
                <w:sz w:val="18"/>
                <w:szCs w:val="18"/>
              </w:rPr>
              <w:t>（</w:t>
            </w:r>
            <w:hyperlink r:id="rId13">
              <w:r>
                <w:rPr>
                  <w:rFonts w:ascii="Times New Roman" w:hAnsi="Times New Roman" w:cs="Times New Roman" w:eastAsia="Times New Roman" w:hint="default"/>
                  <w:spacing w:val="-1"/>
                  <w:sz w:val="18"/>
                  <w:szCs w:val="18"/>
                </w:rPr>
                <w:t>www.cninfo.com.</w:t>
              </w:r>
            </w:hyperlink>
            <w:r>
              <w:rPr>
                <w:rFonts w:ascii="Times New Roman" w:hAnsi="Times New Roman" w:cs="Times New Roman" w:eastAsia="Times New Roman" w:hint="default"/>
                <w:sz w:val="18"/>
                <w:szCs w:val="18"/>
              </w:rPr>
              <w:t> cn</w:t>
            </w:r>
            <w:r>
              <w:rPr>
                <w:rFonts w:ascii="宋体" w:hAnsi="宋体" w:cs="宋体" w:eastAsia="宋体" w:hint="default"/>
                <w:sz w:val="18"/>
                <w:szCs w:val="18"/>
              </w:rPr>
              <w:t>）</w:t>
            </w:r>
          </w:p>
        </w:tc>
      </w:tr>
      <w:tr>
        <w:trPr>
          <w:trHeight w:val="165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both"/>
              <w:rPr>
                <w:rFonts w:ascii="宋体" w:hAnsi="宋体" w:cs="宋体" w:eastAsia="宋体" w:hint="default"/>
                <w:sz w:val="18"/>
                <w:szCs w:val="18"/>
              </w:rPr>
            </w:pPr>
            <w:r>
              <w:rPr>
                <w:rFonts w:ascii="宋体" w:hAnsi="宋体" w:cs="宋体" w:eastAsia="宋体" w:hint="default"/>
                <w:spacing w:val="-27"/>
                <w:sz w:val="18"/>
                <w:szCs w:val="18"/>
              </w:rPr>
              <w:t>《证券时报》、《中国</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7"/>
                <w:sz w:val="18"/>
                <w:szCs w:val="18"/>
              </w:rPr>
              <w:t>证券报》、《上海证券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报》和巨潮资讯网</w:t>
            </w:r>
          </w:p>
          <w:p>
            <w:pPr>
              <w:pStyle w:val="TableParagraph"/>
              <w:spacing w:line="302" w:lineRule="auto" w:before="19"/>
              <w:ind w:left="23" w:right="97"/>
              <w:jc w:val="both"/>
              <w:rPr>
                <w:rFonts w:ascii="宋体" w:hAnsi="宋体" w:cs="宋体" w:eastAsia="宋体" w:hint="default"/>
                <w:sz w:val="18"/>
                <w:szCs w:val="18"/>
              </w:rPr>
            </w:pPr>
            <w:r>
              <w:rPr>
                <w:rFonts w:ascii="宋体" w:hAnsi="宋体" w:cs="宋体" w:eastAsia="宋体" w:hint="default"/>
                <w:spacing w:val="-1"/>
                <w:sz w:val="18"/>
                <w:szCs w:val="18"/>
              </w:rPr>
              <w:t>（</w:t>
            </w:r>
            <w:hyperlink r:id="rId13">
              <w:r>
                <w:rPr>
                  <w:rFonts w:ascii="Times New Roman" w:hAnsi="Times New Roman" w:cs="Times New Roman" w:eastAsia="Times New Roman" w:hint="default"/>
                  <w:spacing w:val="-1"/>
                  <w:sz w:val="18"/>
                  <w:szCs w:val="18"/>
                </w:rPr>
                <w:t>www.cninfo.com.</w:t>
              </w:r>
            </w:hyperlink>
            <w:r>
              <w:rPr>
                <w:rFonts w:ascii="Times New Roman" w:hAnsi="Times New Roman" w:cs="Times New Roman" w:eastAsia="Times New Roman" w:hint="default"/>
                <w:sz w:val="18"/>
                <w:szCs w:val="18"/>
              </w:rPr>
              <w:t> cn</w:t>
            </w:r>
            <w:r>
              <w:rPr>
                <w:rFonts w:ascii="宋体" w:hAnsi="宋体" w:cs="宋体" w:eastAsia="宋体" w:hint="default"/>
                <w:sz w:val="18"/>
                <w:szCs w:val="18"/>
              </w:rPr>
              <w:t>）</w:t>
            </w:r>
          </w:p>
        </w:tc>
      </w:tr>
      <w:tr>
        <w:trPr>
          <w:trHeight w:val="165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both"/>
              <w:rPr>
                <w:rFonts w:ascii="宋体" w:hAnsi="宋体" w:cs="宋体" w:eastAsia="宋体" w:hint="default"/>
                <w:sz w:val="18"/>
                <w:szCs w:val="18"/>
              </w:rPr>
            </w:pPr>
            <w:r>
              <w:rPr>
                <w:rFonts w:ascii="宋体" w:hAnsi="宋体" w:cs="宋体" w:eastAsia="宋体" w:hint="default"/>
                <w:spacing w:val="-27"/>
                <w:sz w:val="18"/>
                <w:szCs w:val="18"/>
              </w:rPr>
              <w:t>《证券时报》、《中国</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7"/>
                <w:sz w:val="18"/>
                <w:szCs w:val="18"/>
              </w:rPr>
              <w:t>证券报》、《上海证券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报》和巨潮资讯网</w:t>
            </w:r>
          </w:p>
          <w:p>
            <w:pPr>
              <w:pStyle w:val="TableParagraph"/>
              <w:spacing w:line="302" w:lineRule="auto" w:before="19"/>
              <w:ind w:left="23" w:right="97"/>
              <w:jc w:val="both"/>
              <w:rPr>
                <w:rFonts w:ascii="宋体" w:hAnsi="宋体" w:cs="宋体" w:eastAsia="宋体" w:hint="default"/>
                <w:sz w:val="18"/>
                <w:szCs w:val="18"/>
              </w:rPr>
            </w:pPr>
            <w:r>
              <w:rPr>
                <w:rFonts w:ascii="宋体" w:hAnsi="宋体" w:cs="宋体" w:eastAsia="宋体" w:hint="default"/>
                <w:spacing w:val="-1"/>
                <w:sz w:val="18"/>
                <w:szCs w:val="18"/>
              </w:rPr>
              <w:t>（</w:t>
            </w:r>
            <w:hyperlink r:id="rId13">
              <w:r>
                <w:rPr>
                  <w:rFonts w:ascii="Times New Roman" w:hAnsi="Times New Roman" w:cs="Times New Roman" w:eastAsia="Times New Roman" w:hint="default"/>
                  <w:spacing w:val="-1"/>
                  <w:sz w:val="18"/>
                  <w:szCs w:val="18"/>
                </w:rPr>
                <w:t>www.cninfo.com.</w:t>
              </w:r>
            </w:hyperlink>
            <w:r>
              <w:rPr>
                <w:rFonts w:ascii="Times New Roman" w:hAnsi="Times New Roman" w:cs="Times New Roman" w:eastAsia="Times New Roman" w:hint="default"/>
                <w:sz w:val="18"/>
                <w:szCs w:val="18"/>
              </w:rPr>
              <w:t> cn</w:t>
            </w:r>
            <w:r>
              <w:rPr>
                <w:rFonts w:ascii="宋体" w:hAnsi="宋体" w:cs="宋体" w:eastAsia="宋体" w:hint="default"/>
                <w:sz w:val="18"/>
                <w:szCs w:val="18"/>
              </w:rPr>
              <w:t>）</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2、表决权恢复的优先股股东请求召开临时股东大会" w:id="144"/>
      <w:bookmarkEnd w:id="144"/>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五、报告期内独立董事履行职责的情况" w:id="145"/>
      <w:bookmarkEnd w:id="145"/>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独立董事出席董事会及股东大会的情况" w:id="146"/>
      <w:bookmarkEnd w:id="146"/>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5"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05"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485"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5"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95"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韦俊</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汪和俊</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w:t>
            </w:r>
          </w:p>
        </w:tc>
      </w:tr>
      <w:tr>
        <w:trPr>
          <w:trHeight w:val="403"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葛愿</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w:t>
            </w:r>
          </w:p>
        </w:tc>
      </w:tr>
    </w:tbl>
    <w:p>
      <w:pPr>
        <w:pStyle w:val="BodyText"/>
        <w:spacing w:line="240" w:lineRule="auto" w:before="51"/>
        <w:ind w:right="0"/>
        <w:jc w:val="left"/>
      </w:pPr>
      <w:r>
        <w:rPr/>
        <w:t>连续两次未亲自出席董事会的说明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独立董事对公司有关事项提出异议的情况" w:id="147"/>
      <w:bookmarkEnd w:id="147"/>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独立董事对公司有关事项是否提出异议</w:t>
      </w:r>
    </w:p>
    <w:p>
      <w:pPr>
        <w:pStyle w:val="BodyText"/>
        <w:spacing w:line="340" w:lineRule="auto" w:before="116"/>
        <w:ind w:right="697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after="0" w:line="3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both"/>
        <w:rPr>
          <w:b w:val="0"/>
          <w:bCs w:val="0"/>
        </w:rPr>
      </w:pPr>
      <w:bookmarkStart w:name="3、独立董事履行职责的其他说明" w:id="148"/>
      <w:bookmarkEnd w:id="148"/>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both"/>
      </w:pPr>
      <w:r>
        <w:rPr/>
        <w:t>独立董事对公司有关建议是否被采纳</w:t>
      </w:r>
    </w:p>
    <w:p>
      <w:pPr>
        <w:pStyle w:val="BodyText"/>
        <w:spacing w:line="340" w:lineRule="auto" w:before="116"/>
        <w:ind w:right="67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316" w:lineRule="auto" w:before="39"/>
        <w:ind w:right="1129" w:firstLine="290"/>
        <w:jc w:val="both"/>
      </w:pPr>
      <w:r>
        <w:rPr>
          <w:spacing w:val="-1"/>
        </w:rPr>
        <w:t>报告期内，公司独立董事根据《公司法》、《证券法》、《股票上市规则》、《上市公司治理准则》、《公司章程》等</w:t>
      </w:r>
      <w:r>
        <w:rPr/>
        <w:t> </w:t>
      </w:r>
      <w:r>
        <w:rPr>
          <w:spacing w:val="-2"/>
        </w:rPr>
        <w:t>规定，关注公司运作的规范性，认真独立履行职责，对公司的制度完善和日常经营决策等方面提出了很多专业性建议，对报</w:t>
      </w:r>
      <w:r>
        <w:rPr>
          <w:spacing w:val="-66"/>
        </w:rPr>
        <w:t> </w:t>
      </w:r>
      <w:r>
        <w:rPr>
          <w:spacing w:val="-66"/>
        </w:rPr>
      </w:r>
      <w:r>
        <w:rPr>
          <w:spacing w:val="-2"/>
        </w:rPr>
        <w:t>告期内公司发生的日常关联及其他需要独立董事发表意见的事项进行审核并出具了独立董事意见，为完善公司监督机制，切</w:t>
      </w:r>
      <w:r>
        <w:rPr>
          <w:spacing w:val="-62"/>
        </w:rPr>
        <w:t> </w:t>
      </w:r>
      <w:r>
        <w:rPr>
          <w:spacing w:val="-62"/>
        </w:rPr>
      </w:r>
      <w:r>
        <w:rPr/>
        <w:t>实维护了公司和中小股东的利益。</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6"/>
          <w:szCs w:val="26"/>
        </w:rPr>
      </w:pPr>
    </w:p>
    <w:p>
      <w:pPr>
        <w:pStyle w:val="Heading2"/>
        <w:spacing w:line="240" w:lineRule="auto"/>
        <w:ind w:right="0"/>
        <w:jc w:val="both"/>
        <w:rPr>
          <w:b w:val="0"/>
          <w:bCs w:val="0"/>
        </w:rPr>
      </w:pPr>
      <w:bookmarkStart w:name="六、董事会下设专门委员会在报告期内履行职责情况" w:id="149"/>
      <w:bookmarkEnd w:id="149"/>
      <w:r>
        <w:rPr>
          <w:b w:val="0"/>
          <w:bCs w:val="0"/>
        </w:rPr>
      </w: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left="499" w:right="0"/>
        <w:jc w:val="left"/>
      </w:pPr>
      <w:r>
        <w:rPr/>
        <w:t>公司董事会下设审计委员会、提名委员会、薪酬与考核委员会、战略委员会四个专业委员会，</w:t>
      </w:r>
      <w:r>
        <w:rPr>
          <w:rFonts w:ascii="Times New Roman" w:hAnsi="Times New Roman" w:cs="Times New Roman" w:eastAsia="Times New Roman" w:hint="default"/>
        </w:rPr>
        <w:t>2018</w:t>
      </w:r>
      <w:r>
        <w:rPr/>
        <w:t>年，专业委员会根据</w:t>
      </w:r>
    </w:p>
    <w:p>
      <w:pPr>
        <w:pStyle w:val="BodyText"/>
        <w:spacing w:line="316" w:lineRule="auto" w:before="63"/>
        <w:ind w:right="1133"/>
        <w:jc w:val="both"/>
      </w:pPr>
      <w:r>
        <w:rPr>
          <w:spacing w:val="-2"/>
        </w:rPr>
        <w:t>《上市公司治理准则》、《公司章程》、《董事会议事规则》以及各专业委员会实施细则赋予的职权和义务，认真履行了职</w:t>
      </w:r>
      <w:r>
        <w:rPr>
          <w:spacing w:val="-67"/>
        </w:rPr>
        <w:t> </w:t>
      </w:r>
      <w:r>
        <w:rPr>
          <w:spacing w:val="-67"/>
        </w:rPr>
      </w:r>
      <w:r>
        <w:rPr/>
        <w:t>责。现将各专门委员会具体工作报告如下：</w:t>
      </w:r>
    </w:p>
    <w:p>
      <w:pPr>
        <w:pStyle w:val="BodyText"/>
        <w:spacing w:line="300" w:lineRule="auto" w:before="19"/>
        <w:ind w:left="514" w:right="3462" w:hanging="15"/>
        <w:jc w:val="left"/>
      </w:pPr>
      <w:r>
        <w:rPr>
          <w:rFonts w:ascii="Times New Roman" w:hAnsi="Times New Roman" w:cs="Times New Roman" w:eastAsia="Times New Roman" w:hint="default"/>
        </w:rPr>
        <w:t>1</w:t>
      </w:r>
      <w:r>
        <w:rPr/>
        <w:t>、董事会审计委员会的履职情况 公司董事会审计委员会由</w:t>
      </w:r>
      <w:r>
        <w:rPr>
          <w:rFonts w:ascii="Times New Roman" w:hAnsi="Times New Roman" w:cs="Times New Roman" w:eastAsia="Times New Roman" w:hint="default"/>
        </w:rPr>
        <w:t>3</w:t>
      </w:r>
      <w:r>
        <w:rPr/>
        <w:t>名董事组成，其中主任委员由专业会计人士汪和俊先生担任。</w:t>
      </w:r>
    </w:p>
    <w:p>
      <w:pPr>
        <w:pStyle w:val="BodyText"/>
        <w:spacing w:line="300" w:lineRule="auto" w:before="13"/>
        <w:ind w:left="534" w:right="1192" w:hanging="180"/>
        <w:jc w:val="left"/>
      </w:pPr>
      <w:r>
        <w:rPr/>
        <w:t>（</w:t>
      </w:r>
      <w:r>
        <w:rPr>
          <w:rFonts w:ascii="Times New Roman" w:hAnsi="Times New Roman" w:cs="Times New Roman" w:eastAsia="Times New Roman" w:hint="default"/>
        </w:rPr>
        <w:t>1</w:t>
      </w:r>
      <w:r>
        <w:rPr/>
        <w:t>）对会计师事务所审计工作的督促情况 在本次年度审计前，审计委员会与会计师事务所协商制订了公司</w:t>
      </w:r>
      <w:r>
        <w:rPr>
          <w:rFonts w:ascii="Times New Roman" w:hAnsi="Times New Roman" w:cs="Times New Roman" w:eastAsia="Times New Roman" w:hint="default"/>
        </w:rPr>
        <w:t>2018</w:t>
      </w:r>
      <w:r>
        <w:rPr/>
        <w:t>年度财务报告审计工作计划，并进行了深入沟通</w:t>
      </w:r>
    </w:p>
    <w:p>
      <w:pPr>
        <w:pStyle w:val="BodyText"/>
        <w:spacing w:line="300" w:lineRule="auto" w:before="13"/>
        <w:ind w:right="1131"/>
        <w:jc w:val="both"/>
      </w:pPr>
      <w:r>
        <w:rPr>
          <w:spacing w:val="-2"/>
        </w:rPr>
        <w:t>和交流。审计委员会认为大华会计师事务所（特殊普通合伙）</w:t>
      </w:r>
      <w:r>
        <w:rPr>
          <w:rFonts w:ascii="Times New Roman" w:hAnsi="Times New Roman" w:cs="Times New Roman" w:eastAsia="Times New Roman" w:hint="default"/>
          <w:spacing w:val="-2"/>
        </w:rPr>
        <w:t>2018</w:t>
      </w:r>
      <w:r>
        <w:rPr>
          <w:spacing w:val="-2"/>
        </w:rPr>
        <w:t>年度审计工作完全按照审计工作安排时间表进行，会计师</w:t>
      </w:r>
      <w:r>
        <w:rPr>
          <w:spacing w:val="-61"/>
        </w:rPr>
        <w:t> </w:t>
      </w:r>
      <w:r>
        <w:rPr>
          <w:spacing w:val="-61"/>
        </w:rPr>
      </w:r>
      <w:r>
        <w:rPr/>
        <w:t>事务所完全履行其审计责任。</w:t>
      </w:r>
    </w:p>
    <w:p>
      <w:pPr>
        <w:pStyle w:val="BodyText"/>
        <w:spacing w:line="300" w:lineRule="auto" w:before="32"/>
        <w:ind w:right="1208" w:firstLine="380"/>
        <w:jc w:val="both"/>
      </w:pPr>
      <w:r>
        <w:rPr/>
        <w:t>本年度审计工作进展顺利，大华会计师事务所（特殊普通合伙）在双方约定时间内完成了公司</w:t>
      </w:r>
      <w:r>
        <w:rPr>
          <w:rFonts w:ascii="Times New Roman" w:hAnsi="Times New Roman" w:cs="Times New Roman" w:eastAsia="Times New Roman" w:hint="default"/>
        </w:rPr>
        <w:t>2018</w:t>
      </w:r>
      <w:r>
        <w:rPr/>
        <w:t>年年度审计工作， 并出具了审计意见，审计委员会对审计结果进行了审核。</w:t>
      </w:r>
    </w:p>
    <w:p>
      <w:pPr>
        <w:pStyle w:val="BodyText"/>
        <w:spacing w:line="300" w:lineRule="auto" w:before="31"/>
        <w:ind w:left="534" w:right="1192" w:hanging="180"/>
        <w:jc w:val="left"/>
      </w:pPr>
      <w:r>
        <w:rPr/>
        <w:t>（</w:t>
      </w:r>
      <w:r>
        <w:rPr>
          <w:rFonts w:ascii="Times New Roman" w:hAnsi="Times New Roman" w:cs="Times New Roman" w:eastAsia="Times New Roman" w:hint="default"/>
        </w:rPr>
        <w:t>2</w:t>
      </w:r>
      <w:r>
        <w:rPr/>
        <w:t>）对会计师事务所出具的财务报告的审计意见 大华会计师事务所（特殊普通合伙）审计小组在本年度审计中按照中国注册会计师审计准则的要求执行了恰当的审计</w:t>
      </w:r>
    </w:p>
    <w:p>
      <w:pPr>
        <w:pStyle w:val="BodyText"/>
        <w:spacing w:line="316" w:lineRule="auto" w:before="31"/>
        <w:ind w:right="1131"/>
        <w:jc w:val="both"/>
      </w:pPr>
      <w:r>
        <w:rPr>
          <w:spacing w:val="-2"/>
        </w:rPr>
        <w:t>程序。董事会审计委员会根据会计师事务所对相关财务报表审计后出具的初步审计意见，对相关财务会计报表及附注进行了</w:t>
      </w:r>
      <w:r>
        <w:rPr>
          <w:spacing w:val="-64"/>
        </w:rPr>
        <w:t> </w:t>
      </w:r>
      <w:r>
        <w:rPr>
          <w:spacing w:val="-64"/>
        </w:rPr>
      </w:r>
      <w:r>
        <w:rPr>
          <w:spacing w:val="-2"/>
        </w:rPr>
        <w:t>审阅，认为：公司财务报表已经按照《企业会计准则》的规定编制，符合国家颁布的《企业会计准则》的要求，在所有重大</w:t>
      </w:r>
      <w:r>
        <w:rPr>
          <w:spacing w:val="-67"/>
        </w:rPr>
        <w:t> </w:t>
      </w:r>
      <w:r>
        <w:rPr>
          <w:spacing w:val="-67"/>
        </w:rPr>
      </w:r>
      <w:r>
        <w:rPr/>
        <w:t>方面公允地反映了公司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日的财务状况以及</w:t>
      </w:r>
      <w:r>
        <w:rPr>
          <w:rFonts w:ascii="Times New Roman" w:hAnsi="Times New Roman" w:cs="Times New Roman" w:eastAsia="Times New Roman" w:hint="default"/>
        </w:rPr>
        <w:t>2018</w:t>
      </w:r>
      <w:r>
        <w:rPr/>
        <w:t>年度的经营成果和现金流量。</w:t>
      </w:r>
    </w:p>
    <w:p>
      <w:pPr>
        <w:pStyle w:val="BodyText"/>
        <w:spacing w:line="300" w:lineRule="auto" w:before="0"/>
        <w:ind w:left="534" w:right="1192" w:hanging="180"/>
        <w:jc w:val="left"/>
      </w:pPr>
      <w:r>
        <w:rPr/>
        <w:t>（</w:t>
      </w:r>
      <w:r>
        <w:rPr>
          <w:rFonts w:ascii="Times New Roman" w:hAnsi="Times New Roman" w:cs="Times New Roman" w:eastAsia="Times New Roman" w:hint="default"/>
        </w:rPr>
        <w:t>3</w:t>
      </w:r>
      <w:r>
        <w:rPr/>
        <w:t>）关于续聘会计师事务所决议 大华会计师事务所（特殊普通合伙）在担任公司审计机构以来，公司与该所保持了良好的合作关系，审计委员会同意</w:t>
      </w:r>
    </w:p>
    <w:p>
      <w:pPr>
        <w:pStyle w:val="BodyText"/>
        <w:spacing w:line="240" w:lineRule="auto" w:before="31"/>
        <w:ind w:right="0"/>
        <w:jc w:val="both"/>
      </w:pPr>
      <w:r>
        <w:rPr/>
        <w:t>公司续聘大华会计师事务所（特殊普通合伙）为公司</w:t>
      </w:r>
      <w:r>
        <w:rPr>
          <w:rFonts w:ascii="Times New Roman" w:hAnsi="Times New Roman" w:cs="Times New Roman" w:eastAsia="Times New Roman" w:hint="default"/>
        </w:rPr>
        <w:t>2019</w:t>
      </w:r>
      <w:r>
        <w:rPr/>
        <w:t>年度财务审计机构。</w:t>
      </w:r>
    </w:p>
    <w:p>
      <w:pPr>
        <w:pStyle w:val="BodyText"/>
        <w:spacing w:line="300" w:lineRule="auto" w:before="63"/>
        <w:ind w:left="534" w:right="1030" w:hanging="35"/>
        <w:jc w:val="left"/>
      </w:pPr>
      <w:r>
        <w:rPr>
          <w:rFonts w:ascii="Times New Roman" w:hAnsi="Times New Roman" w:cs="Times New Roman" w:eastAsia="Times New Roman" w:hint="default"/>
        </w:rPr>
        <w:t>2</w:t>
      </w:r>
      <w:r>
        <w:rPr/>
        <w:t>、董事会提名委员会的履职情况 </w:t>
      </w:r>
      <w:r>
        <w:rPr>
          <w:spacing w:val="-2"/>
        </w:rPr>
        <w:t>为强化董事会决策功能，董事会下设提名委员会，由</w:t>
      </w:r>
      <w:r>
        <w:rPr>
          <w:rFonts w:ascii="Times New Roman" w:hAnsi="Times New Roman" w:cs="Times New Roman" w:eastAsia="Times New Roman" w:hint="default"/>
          <w:spacing w:val="-2"/>
        </w:rPr>
        <w:t>3</w:t>
      </w:r>
      <w:r>
        <w:rPr>
          <w:spacing w:val="-2"/>
        </w:rPr>
        <w:t>名董事组成，其中</w:t>
      </w:r>
      <w:r>
        <w:rPr>
          <w:rFonts w:ascii="Times New Roman" w:hAnsi="Times New Roman" w:cs="Times New Roman" w:eastAsia="Times New Roman" w:hint="default"/>
          <w:spacing w:val="-2"/>
        </w:rPr>
        <w:t>2</w:t>
      </w:r>
      <w:r>
        <w:rPr>
          <w:spacing w:val="-2"/>
        </w:rPr>
        <w:t>名为独立董事、并由</w:t>
      </w:r>
      <w:r>
        <w:rPr>
          <w:rFonts w:ascii="Times New Roman" w:hAnsi="Times New Roman" w:cs="Times New Roman" w:eastAsia="Times New Roman" w:hint="default"/>
          <w:spacing w:val="-2"/>
        </w:rPr>
        <w:t>1</w:t>
      </w:r>
      <w:r>
        <w:rPr>
          <w:spacing w:val="-2"/>
        </w:rPr>
        <w:t>名独立董事担任召集人，</w:t>
      </w:r>
    </w:p>
    <w:p>
      <w:pPr>
        <w:pStyle w:val="BodyText"/>
        <w:spacing w:line="316" w:lineRule="auto" w:before="13"/>
        <w:ind w:left="534" w:right="1192" w:hanging="381"/>
        <w:jc w:val="left"/>
      </w:pPr>
      <w:r>
        <w:rPr/>
        <w:t>主要负责对公司董事、高级管理人员的人选、选择标准和程序审核并提出建议。 报告期内，公司董事会提名委员会严格按照《独立董事制度》、《董事会提名委员会实施细则》等相关制度的规定工</w:t>
      </w:r>
    </w:p>
    <w:p>
      <w:pPr>
        <w:pStyle w:val="BodyText"/>
        <w:spacing w:line="309" w:lineRule="auto" w:before="19"/>
        <w:ind w:left="499" w:right="1033" w:hanging="346"/>
        <w:jc w:val="left"/>
      </w:pPr>
      <w:r>
        <w:rPr/>
        <w:t>作，持续研究与关注董事、高级管理人员选拔制度，认真审核与评价公司董事、高级管理人员候选，勤勉尽责地履行职责。 </w:t>
      </w:r>
      <w:r>
        <w:rPr>
          <w:rFonts w:ascii="Times New Roman" w:hAnsi="Times New Roman" w:cs="Times New Roman" w:eastAsia="Times New Roman" w:hint="default"/>
        </w:rPr>
        <w:t>3</w:t>
      </w:r>
      <w:r>
        <w:rPr/>
        <w:t>、董事会薪酬与考核委员会履职情况 为强化董事会决策功能，董事会下设薪酬与考核委员会，由</w:t>
      </w:r>
      <w:r>
        <w:rPr>
          <w:rFonts w:ascii="Times New Roman" w:hAnsi="Times New Roman" w:cs="Times New Roman" w:eastAsia="Times New Roman" w:hint="default"/>
        </w:rPr>
        <w:t>3</w:t>
      </w:r>
      <w:r>
        <w:rPr/>
        <w:t>名董事组成，其中</w:t>
      </w:r>
      <w:r>
        <w:rPr>
          <w:rFonts w:ascii="Times New Roman" w:hAnsi="Times New Roman" w:cs="Times New Roman" w:eastAsia="Times New Roman" w:hint="default"/>
        </w:rPr>
        <w:t>2</w:t>
      </w:r>
      <w:r>
        <w:rPr/>
        <w:t>名为独立董事、并由</w:t>
      </w:r>
      <w:r>
        <w:rPr>
          <w:rFonts w:ascii="Times New Roman" w:hAnsi="Times New Roman" w:cs="Times New Roman" w:eastAsia="Times New Roman" w:hint="default"/>
        </w:rPr>
        <w:t>1</w:t>
      </w:r>
      <w:r>
        <w:rPr/>
        <w:t>名独立董事担任</w:t>
      </w:r>
    </w:p>
    <w:p>
      <w:pPr>
        <w:pStyle w:val="BodyText"/>
        <w:spacing w:line="319" w:lineRule="auto" w:before="5"/>
        <w:ind w:right="1131"/>
        <w:jc w:val="both"/>
      </w:pPr>
      <w:r>
        <w:rPr>
          <w:spacing w:val="-2"/>
        </w:rPr>
        <w:t>召集人，主要负责制定公司董事及高级管理人员的考核标准并进行考核、制定和审查公司董事及高级管理人员的薪酬政策与</w:t>
      </w:r>
      <w:r>
        <w:rPr>
          <w:spacing w:val="-64"/>
        </w:rPr>
        <w:t> </w:t>
      </w:r>
      <w:r>
        <w:rPr>
          <w:spacing w:val="-64"/>
        </w:rPr>
      </w:r>
      <w:r>
        <w:rPr>
          <w:spacing w:val="-2"/>
        </w:rPr>
        <w:t>方案等。公司董事会薪酬与考核委员会成立以来，积极参加公司关于薪酬与考核方面的会议，委员会成员积极工作，指导公</w:t>
      </w:r>
      <w:r>
        <w:rPr>
          <w:spacing w:val="-66"/>
        </w:rPr>
        <w:t> </w:t>
      </w:r>
      <w:r>
        <w:rPr>
          <w:spacing w:val="-66"/>
        </w:rPr>
      </w:r>
      <w:r>
        <w:rPr/>
        <w:t>司董事会完善了公司薪酬体系。</w:t>
      </w:r>
    </w:p>
    <w:p>
      <w:pPr>
        <w:pStyle w:val="BodyText"/>
        <w:spacing w:line="300" w:lineRule="auto" w:before="17"/>
        <w:ind w:left="534" w:right="0" w:hanging="35"/>
        <w:jc w:val="left"/>
      </w:pPr>
      <w:r>
        <w:rPr>
          <w:rFonts w:ascii="Times New Roman" w:hAnsi="Times New Roman" w:cs="Times New Roman" w:eastAsia="Times New Roman" w:hint="default"/>
        </w:rPr>
        <w:t>4</w:t>
      </w:r>
      <w:r>
        <w:rPr/>
        <w:t>、董事会战略委员会履职情况 </w:t>
      </w:r>
      <w:r>
        <w:rPr>
          <w:spacing w:val="-1"/>
        </w:rPr>
        <w:t>为强化董事会决策功能，董事会下设战略委员会，由</w:t>
      </w:r>
      <w:r>
        <w:rPr>
          <w:rFonts w:ascii="Times New Roman" w:hAnsi="Times New Roman" w:cs="Times New Roman" w:eastAsia="Times New Roman" w:hint="default"/>
          <w:spacing w:val="-1"/>
        </w:rPr>
        <w:t>5</w:t>
      </w:r>
      <w:r>
        <w:rPr>
          <w:spacing w:val="-1"/>
        </w:rPr>
        <w:t>名董事组成，主要负责公司长期发展战略和重大投资决策研究并</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ind w:right="0"/>
        <w:jc w:val="left"/>
      </w:pPr>
      <w:r>
        <w:rPr>
          <w:spacing w:val="-2"/>
        </w:rPr>
        <w:t>提出建议。报告期内，公司董事会战略委员会密切跟踪和关注国家宏观经济政策、结构调整对公司的影响，结合公司战略发</w:t>
      </w:r>
      <w:r>
        <w:rPr>
          <w:spacing w:val="-65"/>
        </w:rPr>
        <w:t> </w:t>
      </w:r>
      <w:r>
        <w:rPr>
          <w:spacing w:val="-65"/>
        </w:rPr>
      </w:r>
      <w:r>
        <w:rPr>
          <w:spacing w:val="-4"/>
        </w:rPr>
        <w:t>展要求，向公司董事会提出有关结构调整、资本运作、长远发展等事项的建议，对促进公司持续、稳定发展，规避市场风险，</w:t>
      </w:r>
      <w:r>
        <w:rPr>
          <w:spacing w:val="-44"/>
        </w:rPr>
        <w:t> </w:t>
      </w:r>
      <w:r>
        <w:rPr>
          <w:spacing w:val="-44"/>
        </w:rPr>
      </w:r>
      <w:r>
        <w:rPr/>
        <w:t>起到了积极良好的作用。</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七、监事会工作情况" w:id="150"/>
      <w:bookmarkEnd w:id="150"/>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监事会在报告期内的监督活动中发现公司是否存在风险</w:t>
      </w:r>
    </w:p>
    <w:p>
      <w:pPr>
        <w:pStyle w:val="BodyText"/>
        <w:spacing w:line="340" w:lineRule="auto" w:before="116"/>
        <w:ind w:right="76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监事会对报告期内的监督事项无异议。</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八、高级管理人员的考评及激励情况" w:id="151"/>
      <w:bookmarkEnd w:id="151"/>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2" w:lineRule="auto" w:before="0"/>
        <w:ind w:right="1032" w:firstLine="345"/>
        <w:jc w:val="left"/>
      </w:pPr>
      <w:r>
        <w:rPr>
          <w:rFonts w:ascii="Times New Roman" w:hAnsi="Times New Roman" w:cs="Times New Roman" w:eastAsia="Times New Roman" w:hint="default"/>
        </w:rPr>
        <w:t>1</w:t>
      </w:r>
      <w:r>
        <w:rPr/>
        <w:t>、公司根据年度财务预算、生产经营指标、管理目标的完成情况，对高级管理人员的绩效进行全面综合考核，将工作 绩效与其收入直接挂钩，完善了绩效考核体系。为了加快企业发展，促进公司的规范运作，增强公司高管人员的诚信意识， </w:t>
      </w:r>
      <w:r>
        <w:rPr>
          <w:spacing w:val="-2"/>
        </w:rPr>
        <w:t>责任意识，提升公司法人治理水平，建立和健全年薪绩效评价和激励、约束机制，最大限度地调动公司高管人员的积极性及</w:t>
      </w:r>
      <w:r>
        <w:rPr>
          <w:spacing w:val="-66"/>
        </w:rPr>
        <w:t> </w:t>
      </w:r>
      <w:r>
        <w:rPr>
          <w:spacing w:val="-66"/>
        </w:rPr>
      </w:r>
      <w:r>
        <w:rPr/>
        <w:t>创造性。</w:t>
      </w:r>
    </w:p>
    <w:p>
      <w:pPr>
        <w:pStyle w:val="BodyText"/>
        <w:spacing w:line="309" w:lineRule="auto" w:before="22"/>
        <w:ind w:right="1132" w:firstLine="360"/>
        <w:jc w:val="both"/>
      </w:pPr>
      <w:r>
        <w:rPr>
          <w:rFonts w:ascii="Times New Roman" w:hAnsi="Times New Roman" w:cs="Times New Roman" w:eastAsia="Times New Roman" w:hint="default"/>
        </w:rPr>
        <w:t>2</w:t>
      </w:r>
      <w:r>
        <w:rPr/>
        <w:t>、为了更好激发管理团队的积极，提高经营效率，促进公司业绩提升，对高级管理人员、核心技术及业务骨干人员实 </w:t>
      </w:r>
      <w:r>
        <w:rPr>
          <w:spacing w:val="-2"/>
        </w:rPr>
        <w:t>施员工持股计划或股权激励计划，激发管理人才团队在推动公司战略实现的核心作用，激励公司核心管理人员为公司创造更</w:t>
      </w:r>
      <w:r>
        <w:rPr>
          <w:spacing w:val="-64"/>
        </w:rPr>
        <w:t> </w:t>
      </w:r>
      <w:r>
        <w:rPr>
          <w:spacing w:val="-64"/>
        </w:rPr>
      </w:r>
      <w:r>
        <w:rPr/>
        <w:t>大的价值，促进公司的长期稳定可持续发展。</w:t>
      </w:r>
    </w:p>
    <w:p>
      <w:pPr>
        <w:spacing w:line="240" w:lineRule="auto" w:before="2"/>
        <w:rPr>
          <w:rFonts w:ascii="宋体" w:hAnsi="宋体" w:cs="宋体" w:eastAsia="宋体" w:hint="default"/>
          <w:sz w:val="21"/>
          <w:szCs w:val="21"/>
        </w:rPr>
      </w:pPr>
    </w:p>
    <w:p>
      <w:pPr>
        <w:pStyle w:val="Heading2"/>
        <w:spacing w:line="240" w:lineRule="auto"/>
        <w:ind w:right="0"/>
        <w:jc w:val="left"/>
        <w:rPr>
          <w:b w:val="0"/>
          <w:bCs w:val="0"/>
        </w:rPr>
      </w:pPr>
      <w:bookmarkStart w:name="九、内部控制评价报告" w:id="152"/>
      <w:bookmarkEnd w:id="152"/>
      <w:r>
        <w:rPr>
          <w:b w:val="0"/>
          <w:bCs w:val="0"/>
        </w:rPr>
      </w:r>
      <w:r>
        <w:rPr/>
        <w:t>九、内部控制评价报告</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报告期内发现的内部控制重大缺陷的具体情况" w:id="153"/>
      <w:bookmarkEnd w:id="153"/>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内控自我评价报告" w:id="154"/>
      <w:bookmarkEnd w:id="154"/>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2"/>
          <w:szCs w:val="22"/>
        </w:rPr>
      </w:pPr>
    </w:p>
    <w:p>
      <w:pPr>
        <w:pStyle w:val="BodyText"/>
        <w:spacing w:line="240" w:lineRule="auto"/>
        <w:ind w:left="7524" w:right="1139"/>
        <w:jc w:val="right"/>
      </w:pPr>
      <w:r>
        <w:rPr/>
        <w:pict>
          <v:shape style="position:absolute;margin-left:57.029999pt;margin-top:-168.248291pt;width:478.6pt;height:248.45pt;mso-position-horizontal-relative:page;mso-position-vertical-relative:paragraph;z-index:17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3"/>
                    <w:gridCol w:w="3323"/>
                    <w:gridCol w:w="3051"/>
                  </w:tblGrid>
                  <w:tr>
                    <w:trPr>
                      <w:trHeight w:val="402"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61" w:hRule="exact"/>
                    </w:trPr>
                    <w:tc>
                      <w:tcPr>
                        <w:tcW w:w="3183" w:type="dxa"/>
                        <w:tcBorders>
                          <w:top w:val="single" w:sz="4" w:space="0" w:color="000000"/>
                          <w:left w:val="single" w:sz="4" w:space="0" w:color="000000"/>
                          <w:bottom w:val="nil" w:sz="6" w:space="0" w:color="auto"/>
                          <w:right w:val="single" w:sz="4" w:space="0" w:color="000000"/>
                        </w:tcBorders>
                        <w:shd w:val="clear" w:color="auto" w:fill="D2D2D2"/>
                      </w:tcPr>
                      <w:p>
                        <w:pPr/>
                      </w:p>
                    </w:tc>
                    <w:tc>
                      <w:tcPr>
                        <w:tcW w:w="6374" w:type="dxa"/>
                        <w:gridSpan w:val="2"/>
                        <w:vMerge w:val="restart"/>
                        <w:tcBorders>
                          <w:top w:val="single" w:sz="4" w:space="0" w:color="000000"/>
                          <w:left w:val="single" w:sz="9" w:space="0" w:color="D2D2D2"/>
                          <w:right w:val="single" w:sz="4" w:space="0" w:color="000000"/>
                        </w:tcBorders>
                      </w:tcPr>
                      <w:p>
                        <w:pPr>
                          <w:pStyle w:val="TableParagraph"/>
                          <w:spacing w:line="302" w:lineRule="auto" w:before="51"/>
                          <w:ind w:left="16" w:right="46"/>
                          <w:jc w:val="left"/>
                          <w:rPr>
                            <w:rFonts w:ascii="宋体" w:hAnsi="宋体" w:cs="宋体" w:eastAsia="宋体" w:hint="default"/>
                            <w:sz w:val="18"/>
                            <w:szCs w:val="18"/>
                          </w:rPr>
                        </w:pPr>
                        <w:r>
                          <w:rPr>
                            <w:rFonts w:ascii="宋体" w:hAnsi="宋体" w:cs="宋体" w:eastAsia="宋体" w:hint="default"/>
                            <w:sz w:val="18"/>
                            <w:szCs w:val="18"/>
                          </w:rPr>
                          <w:t>刊登于巨潮资讯网</w:t>
                        </w:r>
                        <w:r>
                          <w:rPr>
                            <w:rFonts w:ascii="宋体" w:hAnsi="宋体" w:cs="宋体" w:eastAsia="宋体" w:hint="default"/>
                            <w:spacing w:val="-52"/>
                            <w:sz w:val="18"/>
                            <w:szCs w:val="18"/>
                          </w:rPr>
                          <w:t> </w:t>
                        </w:r>
                        <w:hyperlink r:id="rId8">
                          <w:r>
                            <w:rPr>
                              <w:rFonts w:ascii="Times New Roman" w:hAnsi="Times New Roman" w:cs="Times New Roman" w:eastAsia="Times New Roman" w:hint="default"/>
                              <w:sz w:val="18"/>
                              <w:szCs w:val="18"/>
                            </w:rPr>
                            <w:t>http://www.cninfo.com.cn</w:t>
                          </w:r>
                        </w:hyperlink>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上的《安徽中电兴发与鑫龙科技股份 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pacing w:val="-8"/>
                            <w:sz w:val="18"/>
                            <w:szCs w:val="18"/>
                          </w:rPr>
                          <w:t>年度内部控制评价报告》。</w:t>
                        </w:r>
                      </w:p>
                    </w:tc>
                  </w:tr>
                  <w:tr>
                    <w:trPr>
                      <w:trHeight w:val="392" w:hRule="exact"/>
                    </w:trPr>
                    <w:tc>
                      <w:tcPr>
                        <w:tcW w:w="31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4" w:type="dxa"/>
                        <w:gridSpan w:val="2"/>
                        <w:vMerge/>
                        <w:tcBorders>
                          <w:left w:val="single" w:sz="9" w:space="0" w:color="D2D2D2"/>
                          <w:right w:val="single" w:sz="4" w:space="0" w:color="000000"/>
                        </w:tcBorders>
                      </w:tcPr>
                      <w:p>
                        <w:pPr/>
                      </w:p>
                    </w:tc>
                  </w:tr>
                  <w:tr>
                    <w:trPr>
                      <w:trHeight w:val="161" w:hRule="exact"/>
                    </w:trPr>
                    <w:tc>
                      <w:tcPr>
                        <w:tcW w:w="3183" w:type="dxa"/>
                        <w:tcBorders>
                          <w:top w:val="nil" w:sz="6" w:space="0" w:color="auto"/>
                          <w:left w:val="single" w:sz="4" w:space="0" w:color="000000"/>
                          <w:bottom w:val="single" w:sz="4" w:space="0" w:color="000000"/>
                          <w:right w:val="single" w:sz="4" w:space="0" w:color="000000"/>
                        </w:tcBorders>
                        <w:shd w:val="clear" w:color="auto" w:fill="D2D2D2"/>
                      </w:tcPr>
                      <w:p>
                        <w:pPr/>
                      </w:p>
                    </w:tc>
                    <w:tc>
                      <w:tcPr>
                        <w:tcW w:w="6374" w:type="dxa"/>
                        <w:gridSpan w:val="2"/>
                        <w:vMerge/>
                        <w:tcBorders>
                          <w:left w:val="single" w:sz="9" w:space="0" w:color="D2D2D2"/>
                          <w:bottom w:val="single" w:sz="4" w:space="0" w:color="000000"/>
                          <w:right w:val="single" w:sz="4" w:space="0" w:color="000000"/>
                        </w:tcBorders>
                      </w:tcPr>
                      <w:p>
                        <w:pPr/>
                      </w:p>
                    </w:tc>
                  </w:tr>
                  <w:tr>
                    <w:trPr>
                      <w:trHeight w:val="714"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0"/>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7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4"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0"/>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7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397" w:hRule="exact"/>
                    </w:trPr>
                    <w:tc>
                      <w:tcPr>
                        <w:tcW w:w="955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7"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3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610" w:hRule="exact"/>
                    </w:trPr>
                    <w:tc>
                      <w:tcPr>
                        <w:tcW w:w="31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3" w:type="dxa"/>
                        <w:vMerge w:val="restart"/>
                        <w:tcBorders>
                          <w:top w:val="single" w:sz="4" w:space="0" w:color="000000"/>
                          <w:left w:val="single" w:sz="9" w:space="0" w:color="D2D2D2"/>
                          <w:right w:val="single" w:sz="4" w:space="0" w:color="000000"/>
                        </w:tcBorders>
                      </w:tcPr>
                      <w:p>
                        <w:pPr>
                          <w:pStyle w:val="TableParagraph"/>
                          <w:spacing w:line="314" w:lineRule="auto" w:before="51"/>
                          <w:ind w:left="16" w:right="20"/>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）财务报告重大缺陷的迹象包括：①公</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司董事、监事和高级管理人员舞弊；②公 司更正已公布的财务报告；③注册会计师 发现当期财务报告存在重大错报，而内部 控制在运行过程中未能发现该错报；④公</w:t>
                        </w:r>
                      </w:p>
                    </w:tc>
                    <w:tc>
                      <w:tcPr>
                        <w:tcW w:w="3051"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）非财务报告重大缺陷的迹象包括</w:t>
                        </w:r>
                      </w:p>
                      <w:p>
                        <w:pPr>
                          <w:pStyle w:val="TableParagraph"/>
                          <w:spacing w:line="240" w:lineRule="auto" w:before="63"/>
                          <w:ind w:left="22" w:right="-42"/>
                          <w:jc w:val="left"/>
                          <w:rPr>
                            <w:rFonts w:ascii="宋体" w:hAnsi="宋体" w:cs="宋体" w:eastAsia="宋体" w:hint="default"/>
                            <w:sz w:val="18"/>
                            <w:szCs w:val="18"/>
                          </w:rPr>
                        </w:pPr>
                        <w:r>
                          <w:rPr>
                            <w:rFonts w:ascii="宋体" w:hAnsi="宋体" w:cs="宋体" w:eastAsia="宋体" w:hint="default"/>
                            <w:sz w:val="18"/>
                            <w:szCs w:val="18"/>
                          </w:rPr>
                          <w:t>①违反国家法律、法规或规范性文件；</w:t>
                        </w:r>
                      </w:p>
                      <w:p>
                        <w:pPr>
                          <w:pStyle w:val="TableParagraph"/>
                          <w:spacing w:line="240" w:lineRule="auto" w:before="76"/>
                          <w:ind w:left="22" w:right="-42"/>
                          <w:jc w:val="left"/>
                          <w:rPr>
                            <w:rFonts w:ascii="宋体" w:hAnsi="宋体" w:cs="宋体" w:eastAsia="宋体" w:hint="default"/>
                            <w:sz w:val="18"/>
                            <w:szCs w:val="18"/>
                          </w:rPr>
                        </w:pPr>
                        <w:r>
                          <w:rPr>
                            <w:rFonts w:ascii="宋体" w:hAnsi="宋体" w:cs="宋体" w:eastAsia="宋体" w:hint="default"/>
                            <w:sz w:val="18"/>
                            <w:szCs w:val="18"/>
                          </w:rPr>
                          <w:t>②决策程序不科学导致重大决策失误；</w:t>
                        </w:r>
                      </w:p>
                      <w:p>
                        <w:pPr>
                          <w:pStyle w:val="TableParagraph"/>
                          <w:spacing w:line="240" w:lineRule="auto" w:before="76"/>
                          <w:ind w:left="22" w:right="-42"/>
                          <w:jc w:val="left"/>
                          <w:rPr>
                            <w:rFonts w:ascii="宋体" w:hAnsi="宋体" w:cs="宋体" w:eastAsia="宋体" w:hint="default"/>
                            <w:sz w:val="18"/>
                            <w:szCs w:val="18"/>
                          </w:rPr>
                        </w:pPr>
                        <w:r>
                          <w:rPr>
                            <w:rFonts w:ascii="宋体" w:hAnsi="宋体" w:cs="宋体" w:eastAsia="宋体" w:hint="default"/>
                            <w:sz w:val="18"/>
                            <w:szCs w:val="18"/>
                          </w:rPr>
                          <w:t>③重要业务制度性缺失或系统性失效；</w:t>
                        </w:r>
                      </w:p>
                      <w:p>
                        <w:pPr>
                          <w:pStyle w:val="TableParagraph"/>
                          <w:spacing w:line="240" w:lineRule="auto" w:before="76"/>
                          <w:ind w:left="22" w:right="-42"/>
                          <w:jc w:val="left"/>
                          <w:rPr>
                            <w:rFonts w:ascii="宋体" w:hAnsi="宋体" w:cs="宋体" w:eastAsia="宋体" w:hint="default"/>
                            <w:sz w:val="18"/>
                            <w:szCs w:val="18"/>
                          </w:rPr>
                        </w:pPr>
                        <w:r>
                          <w:rPr>
                            <w:rFonts w:ascii="宋体" w:hAnsi="宋体" w:cs="宋体" w:eastAsia="宋体" w:hint="default"/>
                            <w:sz w:val="18"/>
                            <w:szCs w:val="18"/>
                          </w:rPr>
                          <w:t>④重大或重要缺陷不能得到有效整改；</w:t>
                        </w:r>
                      </w:p>
                    </w:tc>
                  </w:tr>
                  <w:tr>
                    <w:trPr>
                      <w:trHeight w:val="391" w:hRule="exact"/>
                    </w:trPr>
                    <w:tc>
                      <w:tcPr>
                        <w:tcW w:w="31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3" w:type="dxa"/>
                        <w:vMerge/>
                        <w:tcBorders>
                          <w:left w:val="single" w:sz="9"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610" w:hRule="exact"/>
                    </w:trPr>
                    <w:tc>
                      <w:tcPr>
                        <w:tcW w:w="3183"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3" w:type="dxa"/>
                        <w:vMerge/>
                        <w:tcBorders>
                          <w:left w:val="single" w:sz="9"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bl>
                <w:p>
                  <w:pPr/>
                </w:p>
              </w:txbxContent>
            </v:textbox>
            <w10:wrap type="none"/>
          </v:shape>
        </w:pict>
      </w:r>
      <w:r>
        <w:rPr/>
        <w:t>：</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4"/>
        <w:gridCol w:w="3324"/>
        <w:gridCol w:w="3051"/>
      </w:tblGrid>
      <w:tr>
        <w:trPr>
          <w:trHeight w:val="3795"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3" w:right="48"/>
              <w:jc w:val="left"/>
              <w:rPr>
                <w:rFonts w:ascii="宋体" w:hAnsi="宋体" w:cs="宋体" w:eastAsia="宋体" w:hint="default"/>
                <w:sz w:val="18"/>
                <w:szCs w:val="18"/>
              </w:rPr>
            </w:pPr>
            <w:r>
              <w:rPr>
                <w:rFonts w:ascii="宋体" w:hAnsi="宋体" w:cs="宋体" w:eastAsia="宋体" w:hint="default"/>
                <w:sz w:val="18"/>
                <w:szCs w:val="18"/>
              </w:rPr>
              <w:t>司审计委员会和内部审计机构对内部控制 </w:t>
            </w:r>
            <w:r>
              <w:rPr>
                <w:rFonts w:ascii="宋体" w:hAnsi="宋体" w:cs="宋体" w:eastAsia="宋体" w:hint="default"/>
                <w:spacing w:val="-5"/>
                <w:sz w:val="18"/>
                <w:szCs w:val="18"/>
              </w:rPr>
              <w:t>的监督无效。（</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）财务报告重要缺陷的迹</w:t>
            </w:r>
            <w:r>
              <w:rPr>
                <w:rFonts w:ascii="宋体" w:hAnsi="宋体" w:cs="宋体" w:eastAsia="宋体" w:hint="default"/>
                <w:spacing w:val="-85"/>
                <w:sz w:val="18"/>
                <w:szCs w:val="18"/>
              </w:rPr>
              <w:t> </w:t>
            </w:r>
            <w:r>
              <w:rPr>
                <w:rFonts w:ascii="宋体" w:hAnsi="宋体" w:cs="宋体" w:eastAsia="宋体" w:hint="default"/>
                <w:sz w:val="18"/>
                <w:szCs w:val="18"/>
              </w:rPr>
              <w:t>象包括</w:t>
            </w:r>
            <w:r>
              <w:rPr>
                <w:rFonts w:ascii="Times New Roman" w:hAnsi="Times New Roman" w:cs="Times New Roman" w:eastAsia="Times New Roman" w:hint="default"/>
                <w:sz w:val="18"/>
                <w:szCs w:val="18"/>
              </w:rPr>
              <w:t>:</w:t>
            </w:r>
            <w:r>
              <w:rPr>
                <w:rFonts w:ascii="宋体" w:hAnsi="宋体" w:cs="宋体" w:eastAsia="宋体" w:hint="default"/>
                <w:sz w:val="18"/>
                <w:szCs w:val="18"/>
              </w:rPr>
              <w:t>①未依照公认会计准则选择和应 用会计政策；②未建立反舞弊程序和控制 措施；③对于非常规或特殊交易的账务处 理没有建立相应的控制机制或没有实施且 没有相应的补偿性控制；④对于期末财务 报告过程的控制存在一项或多项缺陷且不 能合理保证编制的财务报表达到真实、准 </w:t>
            </w:r>
            <w:r>
              <w:rPr>
                <w:rFonts w:ascii="宋体" w:hAnsi="宋体" w:cs="宋体" w:eastAsia="宋体" w:hint="default"/>
                <w:spacing w:val="-5"/>
                <w:sz w:val="18"/>
                <w:szCs w:val="18"/>
              </w:rPr>
              <w:t>确的目标。（</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）财务报告一般缺陷是指除</w:t>
            </w:r>
            <w:r>
              <w:rPr>
                <w:rFonts w:ascii="宋体" w:hAnsi="宋体" w:cs="宋体" w:eastAsia="宋体" w:hint="default"/>
                <w:spacing w:val="-85"/>
                <w:sz w:val="18"/>
                <w:szCs w:val="18"/>
              </w:rPr>
              <w:t> </w:t>
            </w:r>
            <w:r>
              <w:rPr>
                <w:rFonts w:ascii="宋体" w:hAnsi="宋体" w:cs="宋体" w:eastAsia="宋体" w:hint="default"/>
                <w:sz w:val="18"/>
                <w:szCs w:val="18"/>
              </w:rPr>
              <w:t>上述重大缺陷、重要缺陷之外的其他控制 缺陷。</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20"/>
              <w:jc w:val="left"/>
              <w:rPr>
                <w:rFonts w:ascii="宋体" w:hAnsi="宋体" w:cs="宋体" w:eastAsia="宋体" w:hint="default"/>
                <w:sz w:val="18"/>
                <w:szCs w:val="18"/>
              </w:rPr>
            </w:pPr>
            <w:r>
              <w:rPr>
                <w:rFonts w:ascii="宋体" w:hAnsi="宋体" w:cs="宋体" w:eastAsia="宋体" w:hint="default"/>
                <w:spacing w:val="-4"/>
                <w:sz w:val="18"/>
                <w:szCs w:val="18"/>
              </w:rPr>
              <w:t>⑤安全、环保事故对公司造成重大负面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影响的情形。（</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）非财务报告重要缺陷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的迹象包括</w:t>
            </w:r>
            <w:r>
              <w:rPr>
                <w:rFonts w:ascii="Times New Roman" w:hAnsi="Times New Roman" w:cs="Times New Roman" w:eastAsia="Times New Roman" w:hint="default"/>
                <w:sz w:val="18"/>
                <w:szCs w:val="18"/>
              </w:rPr>
              <w:t>:</w:t>
            </w:r>
            <w:r>
              <w:rPr>
                <w:rFonts w:ascii="宋体" w:hAnsi="宋体" w:cs="宋体" w:eastAsia="宋体" w:hint="default"/>
                <w:sz w:val="18"/>
                <w:szCs w:val="18"/>
              </w:rPr>
              <w:t>①重要业务制度或系统存 </w:t>
            </w:r>
            <w:r>
              <w:rPr>
                <w:rFonts w:ascii="宋体" w:hAnsi="宋体" w:cs="宋体" w:eastAsia="宋体" w:hint="default"/>
                <w:spacing w:val="-4"/>
                <w:sz w:val="18"/>
                <w:szCs w:val="18"/>
              </w:rPr>
              <w:t>在的缺陷；②内部控制内部监督发现的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重要缺陷未及时整改；③重要业务系统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运转效率低下；④关键岗位业务人员流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失严重。（</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）非财务报告一般缺陷的迹</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象包括：①一般业务制度或系统存在缺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陷；②内部控制内部监督发现的一般缺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陷未得到整改；③一般业务系统运转效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率低下；④一般岗位业务人员流失严 重。</w:t>
            </w:r>
          </w:p>
        </w:tc>
      </w:tr>
      <w:tr>
        <w:trPr>
          <w:trHeight w:val="4146"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）重大缺陷：资产总额潜在错报金额</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资产总额的</w:t>
            </w:r>
            <w:r>
              <w:rPr>
                <w:rFonts w:ascii="宋体" w:hAnsi="宋体" w:cs="宋体" w:eastAsia="宋体" w:hint="default"/>
                <w:spacing w:val="-36"/>
                <w:sz w:val="18"/>
                <w:szCs w:val="18"/>
              </w:rPr>
              <w:t> </w:t>
            </w:r>
            <w:r>
              <w:rPr>
                <w:rFonts w:ascii="Times New Roman" w:hAnsi="Times New Roman" w:cs="Times New Roman" w:eastAsia="Times New Roman" w:hint="default"/>
                <w:spacing w:val="-3"/>
                <w:sz w:val="18"/>
                <w:szCs w:val="18"/>
              </w:rPr>
              <w:t>2.5%</w:t>
            </w:r>
            <w:r>
              <w:rPr>
                <w:rFonts w:ascii="宋体" w:hAnsi="宋体" w:cs="宋体" w:eastAsia="宋体" w:hint="default"/>
                <w:spacing w:val="-3"/>
                <w:sz w:val="18"/>
                <w:szCs w:val="18"/>
              </w:rPr>
              <w:t>；营业收入潜在错报金额</w:t>
            </w:r>
          </w:p>
          <w:p>
            <w:pPr>
              <w:pStyle w:val="TableParagraph"/>
              <w:tabs>
                <w:tab w:pos="2326" w:val="left" w:leader="none"/>
              </w:tabs>
              <w:spacing w:line="304" w:lineRule="auto" w:before="13"/>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主营业务收入的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；利润总额潜在错报 金额</w:t>
            </w:r>
            <w:r>
              <w:rPr>
                <w:rFonts w:ascii="Times New Roman" w:hAnsi="Times New Roman" w:cs="Times New Roman" w:eastAsia="Times New Roman" w:hint="default"/>
                <w:sz w:val="18"/>
                <w:szCs w:val="18"/>
              </w:rPr>
              <w:t>≥</w:t>
            </w:r>
            <w:r>
              <w:rPr>
                <w:rFonts w:ascii="宋体" w:hAnsi="宋体" w:cs="宋体" w:eastAsia="宋体" w:hint="default"/>
                <w:sz w:val="18"/>
                <w:szCs w:val="18"/>
              </w:rPr>
              <w:t>利润总额的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tab/>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）重要缺</w:t>
            </w:r>
            <w:r>
              <w:rPr>
                <w:rFonts w:ascii="宋体" w:hAnsi="宋体" w:cs="宋体" w:eastAsia="宋体" w:hint="default"/>
                <w:sz w:val="18"/>
                <w:szCs w:val="18"/>
              </w:rPr>
              <w:t> 陷：资产总额的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z w:val="18"/>
                <w:szCs w:val="18"/>
              </w:rPr>
              <w:t>≤</w:t>
            </w:r>
            <w:r>
              <w:rPr>
                <w:rFonts w:ascii="宋体" w:hAnsi="宋体" w:cs="宋体" w:eastAsia="宋体" w:hint="default"/>
                <w:sz w:val="18"/>
                <w:szCs w:val="18"/>
              </w:rPr>
              <w:t>资产总额潜在错报金 额＜资产总额的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营业收入潜在错报金额＜主营业务收入的 </w:t>
            </w:r>
            <w:r>
              <w:rPr>
                <w:rFonts w:ascii="Times New Roman" w:hAnsi="Times New Roman" w:cs="Times New Roman" w:eastAsia="Times New Roman" w:hint="default"/>
                <w:spacing w:val="-8"/>
                <w:sz w:val="18"/>
                <w:szCs w:val="18"/>
              </w:rPr>
              <w:t>5%</w:t>
            </w:r>
            <w:r>
              <w:rPr>
                <w:rFonts w:ascii="宋体" w:hAnsi="宋体" w:cs="宋体" w:eastAsia="宋体" w:hint="default"/>
                <w:spacing w:val="-8"/>
                <w:sz w:val="18"/>
                <w:szCs w:val="18"/>
              </w:rPr>
              <w:t>；利润总额的</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z w:val="18"/>
                <w:szCs w:val="18"/>
              </w:rPr>
              <w:t>≤</w:t>
            </w:r>
            <w:r>
              <w:rPr>
                <w:rFonts w:ascii="宋体" w:hAnsi="宋体" w:cs="宋体" w:eastAsia="宋体" w:hint="default"/>
                <w:sz w:val="18"/>
                <w:szCs w:val="18"/>
              </w:rPr>
              <w:t>利润总额潜在错报金 额＜利润总额的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tab/>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）一般缺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陷：资产总额潜在错报金额＜资产总额的 </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；营业收入潜在错报金额＜主营业务收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入的</w:t>
            </w:r>
            <w:r>
              <w:rPr>
                <w:rFonts w:ascii="宋体" w:hAnsi="宋体" w:cs="宋体" w:eastAsia="宋体" w:hint="default"/>
                <w:spacing w:val="-41"/>
                <w:sz w:val="18"/>
                <w:szCs w:val="18"/>
              </w:rPr>
              <w:t> </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；利润总额潜在错报金额＜利润总</w:t>
            </w:r>
            <w:r>
              <w:rPr>
                <w:rFonts w:ascii="宋体" w:hAnsi="宋体" w:cs="宋体" w:eastAsia="宋体" w:hint="default"/>
                <w:sz w:val="18"/>
                <w:szCs w:val="18"/>
              </w:rPr>
              <w:t> 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8"/>
              <w:ind w:left="22" w:right="136"/>
              <w:jc w:val="left"/>
              <w:rPr>
                <w:rFonts w:ascii="宋体" w:hAnsi="宋体" w:cs="宋体" w:eastAsia="宋体" w:hint="default"/>
                <w:sz w:val="18"/>
                <w:szCs w:val="18"/>
              </w:rPr>
            </w:pPr>
            <w:r>
              <w:rPr>
                <w:rFonts w:ascii="宋体" w:hAnsi="宋体" w:cs="宋体" w:eastAsia="宋体" w:hint="default"/>
                <w:sz w:val="18"/>
                <w:szCs w:val="18"/>
              </w:rPr>
              <w:t>参照财务报告内部控制缺陷评价的定 量标准执行。</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十、内部控制审计报告或鉴证报告" w:id="155"/>
      <w:bookmarkEnd w:id="155"/>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内部控制鉴证报告</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0"/>
              <w:jc w:val="left"/>
              <w:rPr>
                <w:rFonts w:ascii="宋体" w:hAnsi="宋体" w:cs="宋体" w:eastAsia="宋体" w:hint="default"/>
                <w:sz w:val="18"/>
                <w:szCs w:val="18"/>
              </w:rPr>
            </w:pPr>
            <w:r>
              <w:rPr>
                <w:rFonts w:ascii="宋体" w:hAnsi="宋体" w:cs="宋体" w:eastAsia="宋体" w:hint="default"/>
                <w:spacing w:val="-5"/>
                <w:sz w:val="18"/>
                <w:szCs w:val="18"/>
              </w:rPr>
              <w:t>我们认为，中电兴发按照《内部会计控制规范</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基本规范（试行）》和相关规定于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日在所有重大方面保持了 与财务报表相关的有效的内部控制。</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3" w:right="39"/>
              <w:jc w:val="left"/>
              <w:rPr>
                <w:rFonts w:ascii="宋体" w:hAnsi="宋体" w:cs="宋体" w:eastAsia="宋体" w:hint="default"/>
                <w:sz w:val="18"/>
                <w:szCs w:val="18"/>
              </w:rPr>
            </w:pPr>
            <w:r>
              <w:rPr>
                <w:rFonts w:ascii="宋体" w:hAnsi="宋体" w:cs="宋体" w:eastAsia="宋体" w:hint="default"/>
                <w:sz w:val="18"/>
                <w:szCs w:val="18"/>
              </w:rPr>
              <w:t>刊登于巨潮资讯网</w:t>
            </w:r>
            <w:r>
              <w:rPr>
                <w:rFonts w:ascii="宋体" w:hAnsi="宋体" w:cs="宋体" w:eastAsia="宋体" w:hint="default"/>
                <w:spacing w:val="-53"/>
                <w:sz w:val="18"/>
                <w:szCs w:val="18"/>
              </w:rPr>
              <w:t> </w:t>
            </w:r>
            <w:hyperlink r:id="rId8">
              <w:r>
                <w:rPr>
                  <w:rFonts w:ascii="Times New Roman" w:hAnsi="Times New Roman" w:cs="Times New Roman" w:eastAsia="Times New Roman" w:hint="default"/>
                  <w:sz w:val="18"/>
                  <w:szCs w:val="18"/>
                </w:rPr>
                <w:t>http://www.cninfo.com.cn</w:t>
              </w:r>
            </w:hyperlink>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上的《安徽中电兴发与鑫龙科技股份有限公 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年度内部控制鉴证报告》</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标准意见的内部控制鉴证报告</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332" w:hRule="exact"/>
        </w:trPr>
        <w:tc>
          <w:tcPr>
            <w:tcW w:w="2662" w:type="dxa"/>
            <w:tcBorders>
              <w:top w:val="nil" w:sz="6" w:space="0" w:color="auto"/>
              <w:left w:val="nil" w:sz="6" w:space="0" w:color="auto"/>
              <w:bottom w:val="single" w:sz="4" w:space="0" w:color="000000"/>
              <w:right w:val="nil" w:sz="6" w:space="0" w:color="auto"/>
            </w:tcBorders>
          </w:tcPr>
          <w:p>
            <w:pPr/>
          </w:p>
        </w:tc>
        <w:tc>
          <w:tcPr>
            <w:tcW w:w="6907" w:type="dxa"/>
            <w:tcBorders>
              <w:top w:val="nil" w:sz="6" w:space="0" w:color="auto"/>
              <w:left w:val="nil" w:sz="6" w:space="0" w:color="auto"/>
              <w:bottom w:val="single" w:sz="4" w:space="0" w:color="000000"/>
              <w:right w:val="nil" w:sz="6" w:space="0" w:color="auto"/>
            </w:tcBorders>
          </w:tcPr>
          <w:p>
            <w:pP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0"/>
        <w:jc w:val="left"/>
      </w:pPr>
      <w:r>
        <w:rPr/>
        <w:pict>
          <v:group style="position:absolute;margin-left:55.200001pt;margin-top:-36.978271pt;width:485pt;height:.1pt;mso-position-horizontal-relative:page;mso-position-vertical-relative:paragraph;z-index:-1195816" coordorigin="1104,-740" coordsize="9700,2">
            <v:shape style="position:absolute;left:1104;top:-740;width:9700;height:2" coordorigin="1104,-740" coordsize="9700,0" path="m1104,-740l10804,-740e" filled="false" stroked="true" strokeweight=".72pt" strokecolor="#000000">
              <v:path arrowok="t"/>
            </v:shape>
            <w10:wrap type="none"/>
          </v:group>
        </w:pict>
      </w:r>
      <w:r>
        <w:rPr/>
        <w:t>会计师事务所是否出具非标准意见的内部控制鉴证报告</w:t>
      </w:r>
    </w:p>
    <w:p>
      <w:pPr>
        <w:pStyle w:val="BodyText"/>
        <w:spacing w:line="338" w:lineRule="auto" w:before="117"/>
        <w:ind w:right="463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会计师事务所出具的内部控制鉴证报告与董事会的自我评价报告意见是否一致</w:t>
      </w:r>
    </w:p>
    <w:p>
      <w:pPr>
        <w:pStyle w:val="BodyText"/>
        <w:spacing w:line="240" w:lineRule="auto" w:before="4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Heading1"/>
        <w:spacing w:line="240" w:lineRule="auto"/>
        <w:ind w:left="3126" w:right="0"/>
        <w:jc w:val="left"/>
        <w:rPr>
          <w:b w:val="0"/>
          <w:bCs w:val="0"/>
        </w:rPr>
      </w:pPr>
      <w:bookmarkStart w:name="_TOC_250002" w:id="156"/>
      <w:bookmarkStart w:name="第十节 公司债券相关情况" w:id="157"/>
      <w:r>
        <w:rPr>
          <w:b w:val="0"/>
          <w:bCs w:val="0"/>
        </w:rPr>
      </w:r>
      <w:r>
        <w:rPr/>
        <w:t>第十节</w:t>
      </w:r>
      <w:r>
        <w:rPr>
          <w:spacing w:val="-9"/>
        </w:rPr>
        <w:t> </w:t>
      </w:r>
      <w:r>
        <w:rPr/>
        <w:t>公司债券相关情况</w:t>
      </w:r>
      <w:bookmarkEnd w:id="156"/>
      <w:r>
        <w:rPr>
          <w:b w:val="0"/>
          <w:bCs w:val="0"/>
        </w:rPr>
      </w:r>
    </w:p>
    <w:p>
      <w:pPr>
        <w:spacing w:line="240" w:lineRule="auto" w:before="8"/>
        <w:rPr>
          <w:rFonts w:ascii="宋体" w:hAnsi="宋体" w:cs="宋体" w:eastAsia="宋体" w:hint="default"/>
          <w:b/>
          <w:bCs/>
          <w:sz w:val="42"/>
          <w:szCs w:val="42"/>
        </w:rPr>
      </w:pPr>
    </w:p>
    <w:p>
      <w:pPr>
        <w:pStyle w:val="BodyText"/>
        <w:spacing w:line="357" w:lineRule="auto" w:before="0"/>
        <w:ind w:right="2112"/>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608" w:right="0"/>
        <w:jc w:val="left"/>
        <w:rPr>
          <w:b w:val="0"/>
          <w:bCs w:val="0"/>
        </w:rPr>
      </w:pPr>
      <w:bookmarkStart w:name="_TOC_250001" w:id="158"/>
      <w:bookmarkStart w:name="第十一节 财务报告" w:id="159"/>
      <w:r>
        <w:rPr>
          <w:b w:val="0"/>
          <w:bCs w:val="0"/>
        </w:rPr>
      </w:r>
      <w:r>
        <w:rPr/>
        <w:t>第十一节</w:t>
      </w:r>
      <w:r>
        <w:rPr>
          <w:spacing w:val="-6"/>
        </w:rPr>
        <w:t> </w:t>
      </w:r>
      <w:r>
        <w:rPr/>
        <w:t>财务报告</w:t>
      </w:r>
      <w:bookmarkEnd w:id="158"/>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60"/>
      <w:bookmarkEnd w:id="160"/>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大华审字</w:t>
            </w:r>
            <w:r>
              <w:rPr>
                <w:rFonts w:ascii="Times New Roman" w:hAnsi="Times New Roman" w:cs="Times New Roman" w:eastAsia="Times New Roman" w:hint="default"/>
                <w:sz w:val="18"/>
                <w:szCs w:val="18"/>
              </w:rPr>
              <w:t>[2019]006969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吕勇军、王海涛、高山</w:t>
            </w:r>
          </w:p>
        </w:tc>
      </w:tr>
    </w:tbl>
    <w:p>
      <w:pPr>
        <w:spacing w:line="357" w:lineRule="auto" w:before="51"/>
        <w:ind w:left="574" w:right="5392" w:firstLine="3860"/>
        <w:jc w:val="left"/>
        <w:rPr>
          <w:rFonts w:ascii="宋体" w:hAnsi="宋体" w:cs="宋体" w:eastAsia="宋体" w:hint="default"/>
          <w:sz w:val="18"/>
          <w:szCs w:val="18"/>
        </w:rPr>
      </w:pPr>
      <w:r>
        <w:rPr>
          <w:rFonts w:ascii="宋体" w:hAnsi="宋体" w:cs="宋体" w:eastAsia="宋体" w:hint="default"/>
          <w:sz w:val="18"/>
          <w:szCs w:val="18"/>
        </w:rPr>
        <w:t>审计报告正文 </w:t>
      </w:r>
      <w:r>
        <w:rPr>
          <w:rFonts w:ascii="宋体" w:hAnsi="宋体" w:cs="宋体" w:eastAsia="宋体" w:hint="default"/>
          <w:b/>
          <w:bCs/>
          <w:sz w:val="18"/>
          <w:szCs w:val="18"/>
        </w:rPr>
        <w:t>安徽中电兴发与鑫龙科技股份有限公司全体股东：</w:t>
      </w:r>
      <w:r>
        <w:rPr>
          <w:rFonts w:ascii="宋体" w:hAnsi="宋体" w:cs="宋体" w:eastAsia="宋体" w:hint="default"/>
          <w:sz w:val="18"/>
          <w:szCs w:val="18"/>
        </w:rPr>
      </w:r>
    </w:p>
    <w:p>
      <w:pPr>
        <w:pStyle w:val="Heading5"/>
        <w:spacing w:line="224" w:lineRule="exact"/>
        <w:ind w:left="935" w:right="0"/>
        <w:jc w:val="left"/>
        <w:rPr>
          <w:b w:val="0"/>
          <w:bCs w:val="0"/>
        </w:rPr>
      </w:pPr>
      <w:r>
        <w:rPr/>
        <w:t>一、审计意见</w:t>
      </w:r>
      <w:r>
        <w:rPr>
          <w:b w:val="0"/>
          <w:bCs w:val="0"/>
        </w:rPr>
      </w:r>
    </w:p>
    <w:p>
      <w:pPr>
        <w:pStyle w:val="BodyText"/>
        <w:spacing w:line="300" w:lineRule="auto" w:before="76"/>
        <w:ind w:left="574" w:right="1130" w:firstLine="360"/>
        <w:jc w:val="both"/>
      </w:pPr>
      <w:r>
        <w:rPr>
          <w:spacing w:val="-2"/>
        </w:rPr>
        <w:t>我们审计了安徽中电兴发与鑫龙科技股份有限公司</w:t>
      </w:r>
      <w:r>
        <w:rPr>
          <w:rFonts w:ascii="Times New Roman" w:hAnsi="Times New Roman" w:cs="Times New Roman" w:eastAsia="Times New Roman" w:hint="default"/>
          <w:spacing w:val="-2"/>
        </w:rPr>
        <w:t>(</w:t>
      </w:r>
      <w:r>
        <w:rPr>
          <w:spacing w:val="-2"/>
        </w:rPr>
        <w:t>以下简称中电兴发公司</w:t>
      </w:r>
      <w:r>
        <w:rPr>
          <w:rFonts w:ascii="Times New Roman" w:hAnsi="Times New Roman" w:cs="Times New Roman" w:eastAsia="Times New Roman" w:hint="default"/>
          <w:spacing w:val="-2"/>
        </w:rPr>
        <w:t>)</w:t>
      </w:r>
      <w:r>
        <w:rPr>
          <w:spacing w:val="-2"/>
        </w:rPr>
        <w:t>财务报表，包括</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w:t>
      </w:r>
      <w:r>
        <w:rPr/>
        <w:t> 及母公司资产负债表，</w:t>
      </w:r>
      <w:r>
        <w:rPr>
          <w:rFonts w:ascii="Times New Roman" w:hAnsi="Times New Roman" w:cs="Times New Roman" w:eastAsia="Times New Roman" w:hint="default"/>
        </w:rPr>
        <w:t>2018</w:t>
      </w:r>
      <w:r>
        <w:rPr/>
        <w:t>年度的合并及母公司利润表、合并及母公司现金流量表、合并及母公司股东权益变动表以</w:t>
      </w:r>
      <w:r>
        <w:rPr>
          <w:spacing w:val="-58"/>
        </w:rPr>
        <w:t> </w:t>
      </w:r>
      <w:r>
        <w:rPr>
          <w:spacing w:val="-58"/>
        </w:rPr>
      </w:r>
      <w:r>
        <w:rPr/>
        <w:t>及相关财务报表附注。</w:t>
      </w:r>
    </w:p>
    <w:p>
      <w:pPr>
        <w:pStyle w:val="BodyText"/>
        <w:spacing w:line="240" w:lineRule="auto" w:before="31"/>
        <w:ind w:left="934" w:right="0"/>
        <w:jc w:val="left"/>
      </w:pPr>
      <w:r>
        <w:rPr/>
        <w:t>我们认为，后附的财务报表在所有重大方面按照企业会计准则的规定编制，公允反映了中电兴发公司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p>
    <w:p>
      <w:pPr>
        <w:spacing w:line="300" w:lineRule="auto" w:before="63"/>
        <w:ind w:left="935" w:right="3853" w:hanging="362"/>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宋体" w:hAnsi="宋体" w:cs="宋体" w:eastAsia="宋体" w:hint="default"/>
          <w:sz w:val="18"/>
          <w:szCs w:val="18"/>
        </w:rPr>
        <w:t>日的合并及母公司财务状况以及</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年度的合并及母公司经营成果和现金流量。 </w:t>
      </w:r>
      <w:r>
        <w:rPr>
          <w:rFonts w:ascii="宋体" w:hAnsi="宋体" w:cs="宋体" w:eastAsia="宋体" w:hint="default"/>
          <w:b/>
          <w:bCs/>
          <w:sz w:val="18"/>
          <w:szCs w:val="18"/>
        </w:rPr>
        <w:t>二、形成审计意见的基础</w:t>
      </w:r>
      <w:r>
        <w:rPr>
          <w:rFonts w:ascii="宋体" w:hAnsi="宋体" w:cs="宋体" w:eastAsia="宋体" w:hint="default"/>
          <w:sz w:val="18"/>
          <w:szCs w:val="18"/>
        </w:rPr>
      </w:r>
    </w:p>
    <w:p>
      <w:pPr>
        <w:pStyle w:val="BodyText"/>
        <w:spacing w:line="309" w:lineRule="auto" w:before="32"/>
        <w:ind w:left="574" w:right="1129" w:firstLine="360"/>
        <w:jc w:val="both"/>
      </w:pPr>
      <w:r>
        <w:rPr/>
        <w:t>我们按照中国注册会计师审计准则的规定执行了审计工作。审计报告的</w:t>
      </w:r>
      <w:r>
        <w:rPr>
          <w:rFonts w:ascii="Times New Roman" w:hAnsi="Times New Roman" w:cs="Times New Roman" w:eastAsia="Times New Roman" w:hint="default"/>
        </w:rPr>
        <w:t>“</w:t>
      </w:r>
      <w:r>
        <w:rPr/>
        <w:t>注册会计师对财务报表审计的责任</w:t>
      </w:r>
      <w:r>
        <w:rPr>
          <w:rFonts w:ascii="Times New Roman" w:hAnsi="Times New Roman" w:cs="Times New Roman" w:eastAsia="Times New Roman" w:hint="default"/>
        </w:rPr>
        <w:t>”</w:t>
      </w:r>
      <w:r>
        <w:rPr/>
        <w:t>部分</w:t>
      </w:r>
      <w:r>
        <w:rPr>
          <w:spacing w:val="1"/>
        </w:rPr>
        <w:t> </w:t>
      </w:r>
      <w:r>
        <w:rPr/>
        <w:t>进一步阐述了我们在这些准则下的责任。按照中国注册会计师职业道德守则，我们独立于中电兴发公司，并履行了职</w:t>
      </w:r>
      <w:r>
        <w:rPr>
          <w:spacing w:val="-57"/>
        </w:rPr>
        <w:t> </w:t>
      </w:r>
      <w:r>
        <w:rPr>
          <w:spacing w:val="-57"/>
        </w:rPr>
      </w:r>
      <w:r>
        <w:rPr/>
        <w:t>业道德方面的其他责任。我们相信，我们获取的审计证据是充分、适当的，为发表审计意见提供了基础。</w:t>
      </w:r>
    </w:p>
    <w:p>
      <w:pPr>
        <w:pStyle w:val="BodyText"/>
        <w:spacing w:line="316" w:lineRule="auto" w:before="24"/>
        <w:ind w:left="934" w:right="0" w:firstLine="1"/>
        <w:jc w:val="left"/>
      </w:pPr>
      <w:r>
        <w:rPr>
          <w:rFonts w:ascii="宋体" w:hAnsi="宋体" w:cs="宋体" w:eastAsia="宋体" w:hint="default"/>
          <w:b/>
          <w:bCs/>
        </w:rPr>
        <w:t>三、关键审计事项</w:t>
      </w:r>
      <w:r>
        <w:rPr>
          <w:rFonts w:ascii="宋体" w:hAnsi="宋体" w:cs="宋体" w:eastAsia="宋体" w:hint="default"/>
          <w:b/>
          <w:bCs/>
          <w:w w:val="99"/>
        </w:rPr>
        <w:t> </w:t>
      </w:r>
      <w:r>
        <w:rPr/>
        <w:t>关键审计事项是我们根据职业判断，认为对本期财务报表审计最为重要的事项。这些事项的应对以对财务报表整</w:t>
      </w:r>
    </w:p>
    <w:p>
      <w:pPr>
        <w:pStyle w:val="BodyText"/>
        <w:spacing w:line="309" w:lineRule="auto" w:before="19"/>
        <w:ind w:left="934" w:right="4753" w:hanging="361"/>
        <w:jc w:val="left"/>
      </w:pPr>
      <w:r>
        <w:rPr/>
        <w:t>体进行审计并形成审计意见为背景，我们不对这些事项单独发表意见。 我们确定下列事项是需要在审计报告中沟通的关键审计事项</w:t>
      </w:r>
      <w:r>
        <w:rPr>
          <w:rFonts w:ascii="Times New Roman" w:hAnsi="Times New Roman" w:cs="Times New Roman" w:eastAsia="Times New Roman" w:hint="default"/>
        </w:rPr>
        <w:t>: 1.</w:t>
      </w:r>
      <w:r>
        <w:rPr/>
        <w:t>主营业务收入确认</w:t>
      </w:r>
    </w:p>
    <w:p>
      <w:pPr>
        <w:pStyle w:val="BodyText"/>
        <w:spacing w:line="240" w:lineRule="auto" w:before="5"/>
        <w:ind w:left="934" w:right="0"/>
        <w:jc w:val="left"/>
      </w:pPr>
      <w:r>
        <w:rPr>
          <w:rFonts w:ascii="Times New Roman" w:hAnsi="Times New Roman" w:cs="Times New Roman" w:eastAsia="Times New Roman" w:hint="default"/>
        </w:rPr>
        <w:t>2.</w:t>
      </w:r>
      <w:r>
        <w:rPr/>
        <w:t>应收账款坏账准备计提</w:t>
      </w:r>
    </w:p>
    <w:p>
      <w:pPr>
        <w:pStyle w:val="BodyText"/>
        <w:spacing w:line="240" w:lineRule="auto" w:before="63"/>
        <w:ind w:left="934" w:right="0"/>
        <w:jc w:val="left"/>
      </w:pPr>
      <w:r>
        <w:rPr>
          <w:rFonts w:ascii="Times New Roman" w:hAnsi="Times New Roman" w:cs="Times New Roman" w:eastAsia="Times New Roman" w:hint="default"/>
        </w:rPr>
        <w:t>3.</w:t>
      </w:r>
      <w:r>
        <w:rPr/>
        <w:t>商誉减值测试事项</w:t>
      </w:r>
    </w:p>
    <w:p>
      <w:pPr>
        <w:pStyle w:val="BodyText"/>
        <w:spacing w:line="240" w:lineRule="auto" w:before="63"/>
        <w:ind w:left="934" w:right="0"/>
        <w:jc w:val="left"/>
      </w:pPr>
      <w:r>
        <w:rPr/>
        <w:t>（一）主营业务收入确认</w:t>
      </w:r>
    </w:p>
    <w:p>
      <w:pPr>
        <w:pStyle w:val="BodyText"/>
        <w:spacing w:line="300" w:lineRule="auto" w:before="76"/>
        <w:ind w:left="934" w:right="1112"/>
        <w:jc w:val="left"/>
      </w:pPr>
      <w:r>
        <w:rPr>
          <w:rFonts w:ascii="Times New Roman" w:hAnsi="Times New Roman" w:cs="Times New Roman" w:eastAsia="Times New Roman" w:hint="default"/>
        </w:rPr>
        <w:t>1</w:t>
      </w:r>
      <w:r>
        <w:rPr/>
        <w:t>、事项描述 本年度中电兴发公司的收入确认会计政策及账面金额信息请参阅合并财务报表附注四</w:t>
      </w:r>
      <w:r>
        <w:rPr>
          <w:rFonts w:ascii="Times New Roman" w:hAnsi="Times New Roman" w:cs="Times New Roman" w:eastAsia="Times New Roman" w:hint="default"/>
        </w:rPr>
        <w:t>/(</w:t>
      </w:r>
      <w:r>
        <w:rPr/>
        <w:t>二十六</w:t>
      </w:r>
      <w:r>
        <w:rPr>
          <w:rFonts w:ascii="Times New Roman" w:hAnsi="Times New Roman" w:cs="Times New Roman" w:eastAsia="Times New Roman" w:hint="default"/>
        </w:rPr>
        <w:t>)</w:t>
      </w:r>
      <w:r>
        <w:rPr/>
        <w:t>及附注六</w:t>
      </w:r>
      <w:r>
        <w:rPr>
          <w:rFonts w:ascii="Times New Roman" w:hAnsi="Times New Roman" w:cs="Times New Roman" w:eastAsia="Times New Roman" w:hint="default"/>
        </w:rPr>
        <w:t>/</w:t>
      </w:r>
      <w:r>
        <w:rPr/>
        <w:t>注释</w:t>
      </w:r>
      <w:r>
        <w:rPr>
          <w:rFonts w:ascii="Times New Roman" w:hAnsi="Times New Roman" w:cs="Times New Roman" w:eastAsia="Times New Roman" w:hint="default"/>
        </w:rPr>
        <w:t>34</w:t>
      </w:r>
      <w:r>
        <w:rPr/>
        <w:t>、</w:t>
      </w:r>
    </w:p>
    <w:p>
      <w:pPr>
        <w:pStyle w:val="BodyText"/>
        <w:spacing w:line="300" w:lineRule="auto" w:before="13"/>
        <w:ind w:left="574" w:right="1118"/>
        <w:jc w:val="left"/>
      </w:pPr>
      <w:r>
        <w:rPr/>
        <w:t>附注十四</w:t>
      </w:r>
      <w:r>
        <w:rPr>
          <w:rFonts w:ascii="Times New Roman" w:hAnsi="Times New Roman" w:cs="Times New Roman" w:eastAsia="Times New Roman" w:hint="default"/>
        </w:rPr>
        <w:t>/</w:t>
      </w:r>
      <w:r>
        <w:rPr/>
        <w:t>注释</w:t>
      </w:r>
      <w:r>
        <w:rPr>
          <w:rFonts w:ascii="Times New Roman" w:hAnsi="Times New Roman" w:cs="Times New Roman" w:eastAsia="Times New Roman" w:hint="default"/>
        </w:rPr>
        <w:t>4</w:t>
      </w:r>
      <w:r>
        <w:rPr/>
        <w:t>。中电兴发公司的收入主要是成套开关设备收入和系统集成收入。中电兴发公司</w:t>
      </w:r>
      <w:r>
        <w:rPr>
          <w:rFonts w:ascii="Times New Roman" w:hAnsi="Times New Roman" w:cs="Times New Roman" w:eastAsia="Times New Roman" w:hint="default"/>
        </w:rPr>
        <w:t>2018</w:t>
      </w:r>
      <w:r>
        <w:rPr/>
        <w:t>年度合并营业收</w:t>
      </w:r>
      <w:r>
        <w:rPr>
          <w:spacing w:val="-20"/>
        </w:rPr>
        <w:t> </w:t>
      </w:r>
      <w:r>
        <w:rPr>
          <w:spacing w:val="-20"/>
        </w:rPr>
      </w:r>
      <w:r>
        <w:rPr/>
        <w:t>入为</w:t>
      </w:r>
      <w:r>
        <w:rPr>
          <w:spacing w:val="-21"/>
        </w:rPr>
        <w:t> </w:t>
      </w:r>
      <w:r>
        <w:rPr>
          <w:rFonts w:ascii="Times New Roman" w:hAnsi="Times New Roman" w:cs="Times New Roman" w:eastAsia="Times New Roman" w:hint="default"/>
        </w:rPr>
        <w:t>245,595.85</w:t>
      </w:r>
      <w:r>
        <w:rPr/>
        <w:t>万元。</w:t>
      </w:r>
    </w:p>
    <w:p>
      <w:pPr>
        <w:pStyle w:val="BodyText"/>
        <w:spacing w:line="316" w:lineRule="auto" w:before="13"/>
        <w:ind w:left="574" w:right="0" w:firstLine="360"/>
        <w:jc w:val="left"/>
      </w:pPr>
      <w:r>
        <w:rPr/>
        <w:t>由于收入是中电兴发公司的关键业绩指标之一，从而存在管理层为了达到特定目标或期望而操纵收入确认时点的 固有风险，因此，我们将中电兴发公司主营业务收入的确认识别为关键审计事项。</w:t>
      </w:r>
    </w:p>
    <w:p>
      <w:pPr>
        <w:pStyle w:val="BodyText"/>
        <w:spacing w:line="300" w:lineRule="auto" w:before="19"/>
        <w:ind w:left="934" w:right="6192"/>
        <w:jc w:val="left"/>
      </w:pPr>
      <w:r>
        <w:rPr>
          <w:rFonts w:ascii="Times New Roman" w:hAnsi="Times New Roman" w:cs="Times New Roman" w:eastAsia="Times New Roman" w:hint="default"/>
        </w:rPr>
        <w:t>2</w:t>
      </w:r>
      <w:r>
        <w:rPr/>
        <w:t>、审计应对 我们对于收入确认所实施的重要审计程序包括：</w:t>
      </w:r>
    </w:p>
    <w:p>
      <w:pPr>
        <w:pStyle w:val="BodyText"/>
        <w:spacing w:line="240" w:lineRule="auto" w:before="31"/>
        <w:ind w:left="934" w:right="0"/>
        <w:jc w:val="left"/>
      </w:pPr>
      <w:r>
        <w:rPr/>
        <w:t>（</w:t>
      </w:r>
      <w:r>
        <w:rPr>
          <w:rFonts w:ascii="Times New Roman" w:hAnsi="Times New Roman" w:cs="Times New Roman" w:eastAsia="Times New Roman" w:hint="default"/>
        </w:rPr>
        <w:t>1</w:t>
      </w:r>
      <w:r>
        <w:rPr/>
        <w:t>）对中电兴发公司收入与收款业务的关键内部控制进行了解和测试，评估内控设计是否合理并得到有效执行；</w:t>
      </w:r>
    </w:p>
    <w:p>
      <w:pPr>
        <w:pStyle w:val="BodyText"/>
        <w:spacing w:line="240" w:lineRule="auto" w:before="63"/>
        <w:ind w:left="934" w:right="0"/>
        <w:jc w:val="left"/>
      </w:pPr>
      <w:r>
        <w:rPr/>
        <w:t>（</w:t>
      </w:r>
      <w:r>
        <w:rPr>
          <w:rFonts w:ascii="Times New Roman" w:hAnsi="Times New Roman" w:cs="Times New Roman" w:eastAsia="Times New Roman" w:hint="default"/>
        </w:rPr>
        <w:t>2</w:t>
      </w:r>
      <w:r>
        <w:rPr/>
        <w:t>）对主要客户的交易额及期末应收账款余额进行函证；</w:t>
      </w:r>
    </w:p>
    <w:p>
      <w:pPr>
        <w:pStyle w:val="BodyText"/>
        <w:spacing w:line="240" w:lineRule="auto" w:before="63"/>
        <w:ind w:left="934" w:right="0"/>
        <w:jc w:val="left"/>
      </w:pPr>
      <w:r>
        <w:rPr/>
        <w:t>（</w:t>
      </w:r>
      <w:r>
        <w:rPr>
          <w:rFonts w:ascii="Times New Roman" w:hAnsi="Times New Roman" w:cs="Times New Roman" w:eastAsia="Times New Roman" w:hint="default"/>
        </w:rPr>
        <w:t>3</w:t>
      </w:r>
      <w:r>
        <w:rPr/>
        <w:t>）检查主要收入的支持性文件，如：合同、安装调试单、发货单等；</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ind w:left="934" w:right="0"/>
        <w:jc w:val="left"/>
      </w:pPr>
      <w:r>
        <w:rPr/>
        <w:t>（</w:t>
      </w:r>
      <w:r>
        <w:rPr>
          <w:rFonts w:ascii="Times New Roman" w:hAnsi="Times New Roman" w:cs="Times New Roman" w:eastAsia="Times New Roman" w:hint="default"/>
        </w:rPr>
        <w:t>4</w:t>
      </w:r>
      <w:r>
        <w:rPr/>
        <w:t>）对毛利率进行分析性复核；</w:t>
      </w:r>
    </w:p>
    <w:p>
      <w:pPr>
        <w:pStyle w:val="BodyText"/>
        <w:spacing w:line="240" w:lineRule="auto" w:before="63"/>
        <w:ind w:left="934" w:right="0"/>
        <w:jc w:val="left"/>
      </w:pPr>
      <w:r>
        <w:rPr/>
        <w:t>（</w:t>
      </w:r>
      <w:r>
        <w:rPr>
          <w:rFonts w:ascii="Times New Roman" w:hAnsi="Times New Roman" w:cs="Times New Roman" w:eastAsia="Times New Roman" w:hint="default"/>
        </w:rPr>
        <w:t>5</w:t>
      </w:r>
      <w:r>
        <w:rPr/>
        <w:t>）进行截止测试，确认收入是否记录于恰当的会计期间；</w:t>
      </w:r>
    </w:p>
    <w:p>
      <w:pPr>
        <w:pStyle w:val="BodyText"/>
        <w:spacing w:line="300" w:lineRule="auto" w:before="63"/>
        <w:ind w:left="574" w:right="0" w:firstLine="360"/>
        <w:jc w:val="left"/>
      </w:pPr>
      <w:r>
        <w:rPr>
          <w:spacing w:val="-2"/>
        </w:rPr>
        <w:t>（</w:t>
      </w:r>
      <w:r>
        <w:rPr>
          <w:rFonts w:ascii="Times New Roman" w:hAnsi="Times New Roman" w:cs="Times New Roman" w:eastAsia="Times New Roman" w:hint="default"/>
          <w:spacing w:val="-2"/>
        </w:rPr>
        <w:t>6</w:t>
      </w:r>
      <w:r>
        <w:rPr>
          <w:spacing w:val="-2"/>
        </w:rPr>
        <w:t>）对按完工百分比法确认收入部分，首先了解和评价重大项目的预算总成本是否合理，是否有遗漏；不同年份</w:t>
      </w:r>
      <w:r>
        <w:rPr/>
        <w:t> 间是否有重大异常变动；同时检查项目的合同等文件。</w:t>
      </w:r>
    </w:p>
    <w:p>
      <w:pPr>
        <w:pStyle w:val="BodyText"/>
        <w:spacing w:line="300" w:lineRule="auto" w:before="32"/>
        <w:ind w:left="934" w:right="0"/>
        <w:jc w:val="left"/>
      </w:pPr>
      <w:r>
        <w:rPr/>
        <w:t>（</w:t>
      </w:r>
      <w:r>
        <w:rPr>
          <w:rFonts w:ascii="Times New Roman" w:hAnsi="Times New Roman" w:cs="Times New Roman" w:eastAsia="Times New Roman" w:hint="default"/>
        </w:rPr>
        <w:t>7</w:t>
      </w:r>
      <w:r>
        <w:rPr/>
        <w:t>）评估管理层对营业收入的财务报表披露是否恰当。 基于已执行的审计工作，我们认为，中电兴发公司主营业务收入的确认符合会计政策的规定，相关信息在财务报</w:t>
      </w:r>
    </w:p>
    <w:p>
      <w:pPr>
        <w:pStyle w:val="BodyText"/>
        <w:spacing w:line="240" w:lineRule="auto" w:before="31"/>
        <w:ind w:left="574" w:right="0"/>
        <w:jc w:val="left"/>
      </w:pPr>
      <w:r>
        <w:rPr/>
        <w:t>表及财务报表附注中的列报和披露是适当的。</w:t>
      </w:r>
    </w:p>
    <w:p>
      <w:pPr>
        <w:pStyle w:val="BodyText"/>
        <w:spacing w:line="240" w:lineRule="auto" w:before="76"/>
        <w:ind w:left="934" w:right="0"/>
        <w:jc w:val="left"/>
      </w:pPr>
      <w:r>
        <w:rPr/>
        <w:t>（二）应收账款坏账准备计提</w:t>
      </w:r>
    </w:p>
    <w:p>
      <w:pPr>
        <w:pStyle w:val="BodyText"/>
        <w:spacing w:line="300" w:lineRule="auto" w:before="76"/>
        <w:ind w:left="934" w:right="1118"/>
        <w:jc w:val="left"/>
      </w:pPr>
      <w:r>
        <w:rPr>
          <w:rFonts w:ascii="Times New Roman" w:hAnsi="Times New Roman" w:cs="Times New Roman" w:eastAsia="Times New Roman" w:hint="default"/>
        </w:rPr>
        <w:t>1.</w:t>
      </w:r>
      <w:r>
        <w:rPr/>
        <w:t>事项描述 本年度中电兴发公司与应收账款坏账准备计提相关会计政策及账面金额信息请参阅合并财务报表附注四</w:t>
      </w:r>
      <w:r>
        <w:rPr>
          <w:rFonts w:ascii="Times New Roman" w:hAnsi="Times New Roman" w:cs="Times New Roman" w:eastAsia="Times New Roman" w:hint="default"/>
        </w:rPr>
        <w:t>/(</w:t>
      </w:r>
      <w:r>
        <w:rPr/>
        <w:t>十</w:t>
      </w:r>
      <w:r>
        <w:rPr>
          <w:rFonts w:ascii="Times New Roman" w:hAnsi="Times New Roman" w:cs="Times New Roman" w:eastAsia="Times New Roman" w:hint="default"/>
        </w:rPr>
        <w:t>)</w:t>
      </w:r>
      <w:r>
        <w:rPr/>
        <w:t>及附</w:t>
      </w:r>
    </w:p>
    <w:p>
      <w:pPr>
        <w:pStyle w:val="BodyText"/>
        <w:spacing w:line="300" w:lineRule="auto" w:before="13"/>
        <w:ind w:left="934" w:right="0" w:hanging="361"/>
        <w:jc w:val="left"/>
      </w:pPr>
      <w:r>
        <w:rPr/>
        <w:t>注六</w:t>
      </w:r>
      <w:r>
        <w:rPr>
          <w:rFonts w:ascii="Times New Roman" w:hAnsi="Times New Roman" w:cs="Times New Roman" w:eastAsia="Times New Roman" w:hint="default"/>
        </w:rPr>
        <w:t>/</w:t>
      </w:r>
      <w:r>
        <w:rPr/>
        <w:t>注释</w:t>
      </w:r>
      <w:r>
        <w:rPr>
          <w:rFonts w:ascii="Times New Roman" w:hAnsi="Times New Roman" w:cs="Times New Roman" w:eastAsia="Times New Roman" w:hint="default"/>
        </w:rPr>
        <w:t>2</w:t>
      </w:r>
      <w:r>
        <w:rPr/>
        <w:t>、附注十四</w:t>
      </w:r>
      <w:r>
        <w:rPr>
          <w:rFonts w:ascii="Times New Roman" w:hAnsi="Times New Roman" w:cs="Times New Roman" w:eastAsia="Times New Roman" w:hint="default"/>
        </w:rPr>
        <w:t>/</w:t>
      </w:r>
      <w:r>
        <w:rPr/>
        <w:t>注释</w:t>
      </w:r>
      <w:r>
        <w:rPr>
          <w:rFonts w:ascii="Times New Roman" w:hAnsi="Times New Roman" w:cs="Times New Roman" w:eastAsia="Times New Roman" w:hint="default"/>
        </w:rPr>
        <w:t>1</w:t>
      </w:r>
      <w:r>
        <w:rPr/>
        <w:t>。截止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日，中电兴发公司应收账款坏账准备余额为</w:t>
      </w:r>
      <w:r>
        <w:rPr>
          <w:rFonts w:ascii="Times New Roman" w:hAnsi="Times New Roman" w:cs="Times New Roman" w:eastAsia="Times New Roman" w:hint="default"/>
        </w:rPr>
        <w:t>19,029.25</w:t>
      </w:r>
      <w:r>
        <w:rPr/>
        <w:t>万元。 应收账款坏账准备的计提，是基于应收款项的可回收性评估计算得出的，评估可回收性需进行大量判断，包括评</w:t>
      </w:r>
    </w:p>
    <w:p>
      <w:pPr>
        <w:pStyle w:val="BodyText"/>
        <w:spacing w:line="316" w:lineRule="auto" w:before="31"/>
        <w:ind w:left="574" w:right="0"/>
        <w:jc w:val="left"/>
      </w:pPr>
      <w:r>
        <w:rPr/>
        <w:t>估客户的历史还款记录、当前的经营情况和市场情况等。这些都涉及重大的会计估计，存在潜在错报风险，因此，我</w:t>
      </w:r>
      <w:r>
        <w:rPr>
          <w:spacing w:val="-57"/>
        </w:rPr>
        <w:t> </w:t>
      </w:r>
      <w:r>
        <w:rPr>
          <w:spacing w:val="-57"/>
        </w:rPr>
      </w:r>
      <w:r>
        <w:rPr/>
        <w:t>们将中电兴发公司应收账款坏账准备的计提识别为关键审计事项。</w:t>
      </w:r>
    </w:p>
    <w:p>
      <w:pPr>
        <w:pStyle w:val="BodyText"/>
        <w:spacing w:line="240" w:lineRule="auto" w:before="19"/>
        <w:ind w:left="934" w:right="0"/>
        <w:jc w:val="left"/>
      </w:pPr>
      <w:r>
        <w:rPr>
          <w:rFonts w:ascii="Times New Roman" w:hAnsi="Times New Roman" w:cs="Times New Roman" w:eastAsia="Times New Roman" w:hint="default"/>
        </w:rPr>
        <w:t>2.</w:t>
      </w:r>
      <w:r>
        <w:rPr/>
        <w:t>我们针对应收账款坏账准备计提所实施的重要审计程序包括：</w:t>
      </w:r>
    </w:p>
    <w:p>
      <w:pPr>
        <w:pStyle w:val="BodyText"/>
        <w:spacing w:line="300" w:lineRule="auto" w:before="63"/>
        <w:ind w:left="574" w:right="1118" w:firstLine="360"/>
        <w:jc w:val="left"/>
      </w:pPr>
      <w:r>
        <w:rPr>
          <w:spacing w:val="-2"/>
        </w:rPr>
        <w:t>（</w:t>
      </w:r>
      <w:r>
        <w:rPr>
          <w:rFonts w:ascii="Times New Roman" w:hAnsi="Times New Roman" w:cs="Times New Roman" w:eastAsia="Times New Roman" w:hint="default"/>
          <w:spacing w:val="-2"/>
        </w:rPr>
        <w:t>1</w:t>
      </w:r>
      <w:r>
        <w:rPr>
          <w:spacing w:val="-2"/>
        </w:rPr>
        <w:t>）对中电兴发公司应收账款坏账准备计相关的关键内部控制进行了解和测试，评估内控设计是否合理并得到有</w:t>
      </w:r>
      <w:r>
        <w:rPr/>
        <w:t> 效执行；</w:t>
      </w:r>
    </w:p>
    <w:p>
      <w:pPr>
        <w:pStyle w:val="BodyText"/>
        <w:spacing w:line="240" w:lineRule="auto" w:before="31"/>
        <w:ind w:left="934" w:right="0"/>
        <w:jc w:val="left"/>
      </w:pPr>
      <w:r>
        <w:rPr/>
        <w:t>（</w:t>
      </w:r>
      <w:r>
        <w:rPr>
          <w:rFonts w:ascii="Times New Roman" w:hAnsi="Times New Roman" w:cs="Times New Roman" w:eastAsia="Times New Roman" w:hint="default"/>
        </w:rPr>
        <w:t>2</w:t>
      </w:r>
      <w:r>
        <w:rPr/>
        <w:t>）检查了应收账款坏账准备计提相关的会计政策，确认所用方法的恰当性及计提比例的合理性；</w:t>
      </w:r>
    </w:p>
    <w:p>
      <w:pPr>
        <w:pStyle w:val="BodyText"/>
        <w:spacing w:line="240" w:lineRule="auto" w:before="63"/>
        <w:ind w:left="934" w:right="0"/>
        <w:jc w:val="left"/>
      </w:pPr>
      <w:r>
        <w:rPr/>
        <w:t>（</w:t>
      </w:r>
      <w:r>
        <w:rPr>
          <w:rFonts w:ascii="Times New Roman" w:hAnsi="Times New Roman" w:cs="Times New Roman" w:eastAsia="Times New Roman" w:hint="default"/>
        </w:rPr>
        <w:t>3</w:t>
      </w:r>
      <w:r>
        <w:rPr/>
        <w:t>）对应收账款进行账龄分析，复核其准确性；</w:t>
      </w:r>
    </w:p>
    <w:p>
      <w:pPr>
        <w:pStyle w:val="BodyText"/>
        <w:spacing w:line="240" w:lineRule="auto" w:before="63"/>
        <w:ind w:left="934" w:right="0"/>
        <w:jc w:val="left"/>
      </w:pPr>
      <w:r>
        <w:rPr/>
        <w:t>（</w:t>
      </w:r>
      <w:r>
        <w:rPr>
          <w:rFonts w:ascii="Times New Roman" w:hAnsi="Times New Roman" w:cs="Times New Roman" w:eastAsia="Times New Roman" w:hint="default"/>
        </w:rPr>
        <w:t>4</w:t>
      </w:r>
      <w:r>
        <w:rPr/>
        <w:t>）对账龄较长、客户出现财务困难及存在诉讼的大额应收账款，复核其未来可能回款的金额，判断是否存在减</w:t>
      </w:r>
    </w:p>
    <w:p>
      <w:pPr>
        <w:pStyle w:val="BodyText"/>
        <w:spacing w:line="240" w:lineRule="auto" w:before="63"/>
        <w:ind w:left="574" w:right="0"/>
        <w:jc w:val="left"/>
      </w:pPr>
      <w:r>
        <w:rPr/>
        <w:t>值；</w:t>
      </w:r>
    </w:p>
    <w:p>
      <w:pPr>
        <w:pStyle w:val="BodyText"/>
        <w:spacing w:line="240" w:lineRule="auto" w:before="76"/>
        <w:ind w:left="934" w:right="0"/>
        <w:jc w:val="left"/>
      </w:pPr>
      <w:r>
        <w:rPr/>
        <w:t>（</w:t>
      </w:r>
      <w:r>
        <w:rPr>
          <w:rFonts w:ascii="Times New Roman" w:hAnsi="Times New Roman" w:cs="Times New Roman" w:eastAsia="Times New Roman" w:hint="default"/>
        </w:rPr>
        <w:t>5</w:t>
      </w:r>
      <w:r>
        <w:rPr/>
        <w:t>）审阅应收账款减值测试的支持性文件，评估坏账准备计提是否充分；</w:t>
      </w:r>
    </w:p>
    <w:p>
      <w:pPr>
        <w:pStyle w:val="BodyText"/>
        <w:spacing w:line="300" w:lineRule="auto" w:before="63"/>
        <w:ind w:left="934" w:right="0"/>
        <w:jc w:val="left"/>
      </w:pPr>
      <w:r>
        <w:rPr/>
        <w:t>（</w:t>
      </w:r>
      <w:r>
        <w:rPr>
          <w:rFonts w:ascii="Times New Roman" w:hAnsi="Times New Roman" w:cs="Times New Roman" w:eastAsia="Times New Roman" w:hint="default"/>
        </w:rPr>
        <w:t>6</w:t>
      </w:r>
      <w:r>
        <w:rPr/>
        <w:t>）评估管理层对应收账款坏账准备的财务报表披露是否恰当。 基于已执行的审计工作，我们认为，中电兴发公司应收账款坏账准备的计提符合会计政策的规定，相关信息在财</w:t>
      </w:r>
    </w:p>
    <w:p>
      <w:pPr>
        <w:pStyle w:val="BodyText"/>
        <w:spacing w:line="240" w:lineRule="auto" w:before="31"/>
        <w:ind w:left="574" w:right="0"/>
        <w:jc w:val="both"/>
      </w:pPr>
      <w:r>
        <w:rPr/>
        <w:t>务报表及财务报表附注中的列报和披露是适当的。</w:t>
      </w:r>
    </w:p>
    <w:p>
      <w:pPr>
        <w:pStyle w:val="BodyText"/>
        <w:spacing w:line="316" w:lineRule="auto" w:before="76"/>
        <w:ind w:left="934" w:right="1122"/>
        <w:jc w:val="left"/>
      </w:pPr>
      <w:r>
        <w:rPr/>
        <w:t>（三）商誉减值测试事项 </w:t>
      </w:r>
      <w:r>
        <w:rPr>
          <w:spacing w:val="-1"/>
        </w:rPr>
        <w:t>中电兴发公司合并财务报表附注六注释</w:t>
      </w:r>
      <w:r>
        <w:rPr>
          <w:rFonts w:ascii="Times New Roman" w:hAnsi="Times New Roman" w:cs="Times New Roman" w:eastAsia="Times New Roman" w:hint="default"/>
          <w:spacing w:val="-1"/>
        </w:rPr>
        <w:t>11</w:t>
      </w:r>
      <w:r>
        <w:rPr>
          <w:spacing w:val="-1"/>
        </w:rPr>
        <w:t>所述，截至</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日，合并报表商誉为</w:t>
      </w:r>
      <w:r>
        <w:rPr>
          <w:rFonts w:ascii="Times New Roman" w:hAnsi="Times New Roman" w:cs="Times New Roman" w:eastAsia="Times New Roman" w:hint="default"/>
          <w:spacing w:val="-1"/>
        </w:rPr>
        <w:t>152,494.75</w:t>
      </w:r>
      <w:r>
        <w:rPr>
          <w:spacing w:val="-1"/>
        </w:rPr>
        <w:t>万元。中电兴发</w:t>
      </w:r>
    </w:p>
    <w:p>
      <w:pPr>
        <w:pStyle w:val="BodyText"/>
        <w:spacing w:line="316" w:lineRule="auto" w:before="0"/>
        <w:ind w:left="574" w:right="1133"/>
        <w:jc w:val="both"/>
      </w:pPr>
      <w:r>
        <w:rPr/>
        <w:t>公司需每年按照包含商誉的相关资产组的预计未来现金流量及折现率计算现值，确定可收回金额进行商誉减值测算。</w:t>
      </w:r>
      <w:r>
        <w:rPr>
          <w:spacing w:val="-57"/>
        </w:rPr>
        <w:t> </w:t>
      </w:r>
      <w:r>
        <w:rPr>
          <w:spacing w:val="-57"/>
        </w:rPr>
      </w:r>
      <w:r>
        <w:rPr/>
        <w:t>由于商誉的减值测试需要评估相关资产组预计未来现金流量的现值，涉及管理层的重大判断和估计，故将商誉的减值</w:t>
      </w:r>
      <w:r>
        <w:rPr>
          <w:spacing w:val="-57"/>
        </w:rPr>
        <w:t> </w:t>
      </w:r>
      <w:r>
        <w:rPr>
          <w:spacing w:val="-57"/>
        </w:rPr>
      </w:r>
      <w:r>
        <w:rPr/>
        <w:t>测试识别为关键审计事项。</w:t>
      </w:r>
    </w:p>
    <w:p>
      <w:pPr>
        <w:pStyle w:val="BodyText"/>
        <w:spacing w:line="300" w:lineRule="auto" w:before="19"/>
        <w:ind w:left="934" w:right="5832"/>
        <w:jc w:val="left"/>
      </w:pPr>
      <w:r>
        <w:rPr>
          <w:rFonts w:ascii="Times New Roman" w:hAnsi="Times New Roman" w:cs="Times New Roman" w:eastAsia="Times New Roman" w:hint="default"/>
        </w:rPr>
        <w:t>2.</w:t>
      </w:r>
      <w:r>
        <w:rPr/>
        <w:t>审计应对 针对商誉减值测试，我们实施的审计程序主要包括：</w:t>
      </w:r>
    </w:p>
    <w:p>
      <w:pPr>
        <w:pStyle w:val="BodyText"/>
        <w:spacing w:line="300" w:lineRule="auto" w:before="31"/>
        <w:ind w:left="574" w:right="1112" w:firstLine="360"/>
        <w:jc w:val="left"/>
      </w:pPr>
      <w:r>
        <w:rPr>
          <w:spacing w:val="-1"/>
        </w:rPr>
        <w:t>（</w:t>
      </w:r>
      <w:r>
        <w:rPr>
          <w:rFonts w:ascii="Times New Roman" w:hAnsi="Times New Roman" w:cs="Times New Roman" w:eastAsia="Times New Roman" w:hint="default"/>
          <w:spacing w:val="-1"/>
        </w:rPr>
        <w:t>1</w:t>
      </w:r>
      <w:r>
        <w:rPr>
          <w:spacing w:val="-1"/>
        </w:rPr>
        <w:t>）与管理层及其聘请的外部评估机构专家等讨论商誉减值测试过程中所使用的方法、关键评估的假设、参数的</w:t>
      </w:r>
      <w:r>
        <w:rPr/>
        <w:t> 选择、预测未来收入及现金流折现率等的合理性；</w:t>
      </w:r>
    </w:p>
    <w:p>
      <w:pPr>
        <w:pStyle w:val="BodyText"/>
        <w:spacing w:line="300" w:lineRule="auto" w:before="31"/>
        <w:ind w:left="574" w:right="0" w:firstLine="360"/>
        <w:jc w:val="left"/>
      </w:pPr>
      <w:r>
        <w:rPr>
          <w:spacing w:val="-2"/>
        </w:rPr>
        <w:t>（</w:t>
      </w:r>
      <w:r>
        <w:rPr>
          <w:rFonts w:ascii="Times New Roman" w:hAnsi="Times New Roman" w:cs="Times New Roman" w:eastAsia="Times New Roman" w:hint="default"/>
          <w:spacing w:val="-2"/>
        </w:rPr>
        <w:t>2</w:t>
      </w:r>
      <w:r>
        <w:rPr>
          <w:spacing w:val="-2"/>
        </w:rPr>
        <w:t>）获取中电兴发公司资产组可收回金额预测的相关资料，评估可收回金额预测的模式、销售收入增长率、毛利</w:t>
      </w:r>
      <w:r>
        <w:rPr/>
        <w:t> 率以及折现率等关键参数的选择是否合理；</w:t>
      </w:r>
    </w:p>
    <w:p>
      <w:pPr>
        <w:pStyle w:val="BodyText"/>
        <w:spacing w:line="240" w:lineRule="auto" w:before="31"/>
        <w:ind w:left="934" w:right="0"/>
        <w:jc w:val="left"/>
      </w:pPr>
      <w:r>
        <w:rPr/>
        <w:t>（</w:t>
      </w:r>
      <w:r>
        <w:rPr>
          <w:rFonts w:ascii="Times New Roman" w:hAnsi="Times New Roman" w:cs="Times New Roman" w:eastAsia="Times New Roman" w:hint="default"/>
        </w:rPr>
        <w:t>3</w:t>
      </w:r>
      <w:r>
        <w:rPr/>
        <w:t>）评价由管理层聘请的外部评估机构的独立性、客观性、经验和资质；</w:t>
      </w:r>
    </w:p>
    <w:p>
      <w:pPr>
        <w:pStyle w:val="BodyText"/>
        <w:spacing w:line="300" w:lineRule="auto" w:before="63"/>
        <w:ind w:left="574" w:right="1118" w:firstLine="360"/>
        <w:jc w:val="left"/>
      </w:pPr>
      <w:r>
        <w:rPr>
          <w:spacing w:val="-2"/>
        </w:rPr>
        <w:t>（</w:t>
      </w:r>
      <w:r>
        <w:rPr>
          <w:rFonts w:ascii="Times New Roman" w:hAnsi="Times New Roman" w:cs="Times New Roman" w:eastAsia="Times New Roman" w:hint="default"/>
          <w:spacing w:val="-2"/>
        </w:rPr>
        <w:t>4</w:t>
      </w:r>
      <w:r>
        <w:rPr>
          <w:spacing w:val="-2"/>
        </w:rPr>
        <w:t>）将相关资产组本年的实际经营成果与本年度的预测进行比较，以评价管理层对资产组可收回现金流量的预测</w:t>
      </w:r>
      <w:r>
        <w:rPr/>
        <w:t> 的可靠性；</w:t>
      </w:r>
    </w:p>
    <w:p>
      <w:pPr>
        <w:pStyle w:val="BodyText"/>
        <w:spacing w:line="300" w:lineRule="auto" w:before="31"/>
        <w:ind w:left="574" w:right="0" w:firstLine="360"/>
        <w:jc w:val="left"/>
      </w:pPr>
      <w:r>
        <w:rPr>
          <w:spacing w:val="-2"/>
        </w:rPr>
        <w:t>（</w:t>
      </w:r>
      <w:r>
        <w:rPr>
          <w:rFonts w:ascii="Times New Roman" w:hAnsi="Times New Roman" w:cs="Times New Roman" w:eastAsia="Times New Roman" w:hint="default"/>
          <w:spacing w:val="-2"/>
        </w:rPr>
        <w:t>5</w:t>
      </w:r>
      <w:r>
        <w:rPr>
          <w:spacing w:val="-2"/>
        </w:rPr>
        <w:t>）重新复核商誉减值测试相关资产组可收回金额的计算过程并与包括商誉在内的可辨认资产组的账面价值进行</w:t>
      </w:r>
      <w:r>
        <w:rPr/>
        <w:t> 比较，判断是否需要计提商誉减值准备；</w:t>
      </w:r>
    </w:p>
    <w:p>
      <w:pPr>
        <w:pStyle w:val="BodyText"/>
        <w:spacing w:line="309" w:lineRule="auto" w:before="31"/>
        <w:ind w:left="934" w:right="2232"/>
        <w:jc w:val="left"/>
        <w:rPr>
          <w:rFonts w:ascii="宋体" w:hAnsi="宋体" w:cs="宋体" w:eastAsia="宋体" w:hint="default"/>
        </w:rPr>
      </w:pPr>
      <w:r>
        <w:rPr/>
        <w:t>（</w:t>
      </w:r>
      <w:r>
        <w:rPr>
          <w:rFonts w:ascii="Times New Roman" w:hAnsi="Times New Roman" w:cs="Times New Roman" w:eastAsia="Times New Roman" w:hint="default"/>
        </w:rPr>
        <w:t>6</w:t>
      </w:r>
      <w:r>
        <w:rPr/>
        <w:t>）评估管理层对商誉减值的财务报表披露是否恰当。 基于已执行的审计工作，我们认为，管理层对商誉确认和减值测试中的相关判断及估计是合理的。 </w:t>
      </w:r>
      <w:r>
        <w:rPr>
          <w:rFonts w:ascii="宋体" w:hAnsi="宋体" w:cs="宋体" w:eastAsia="宋体" w:hint="default"/>
          <w:b/>
          <w:bCs/>
        </w:rPr>
        <w:t>四、其他信息</w:t>
      </w:r>
      <w:r>
        <w:rPr>
          <w:rFonts w:ascii="宋体" w:hAnsi="宋体" w:cs="宋体" w:eastAsia="宋体" w:hint="default"/>
        </w:rPr>
      </w:r>
    </w:p>
    <w:p>
      <w:pPr>
        <w:spacing w:after="0" w:line="309" w:lineRule="auto"/>
        <w:jc w:val="left"/>
        <w:rPr>
          <w:rFonts w:ascii="宋体" w:hAnsi="宋体" w:cs="宋体" w:eastAsia="宋体" w:hint="default"/>
        </w:rPr>
        <w:sectPr>
          <w:pgSz w:w="11910" w:h="16840"/>
          <w:pgMar w:header="747" w:footer="979" w:top="1060" w:bottom="1160" w:left="980" w:right="0"/>
        </w:sectPr>
      </w:pPr>
    </w:p>
    <w:p>
      <w:pPr>
        <w:spacing w:line="240" w:lineRule="auto" w:before="12"/>
        <w:rPr>
          <w:rFonts w:ascii="宋体" w:hAnsi="宋体" w:cs="宋体" w:eastAsia="宋体" w:hint="default"/>
          <w:b/>
          <w:bCs/>
          <w:sz w:val="25"/>
          <w:szCs w:val="25"/>
        </w:rPr>
      </w:pPr>
    </w:p>
    <w:p>
      <w:pPr>
        <w:pStyle w:val="BodyText"/>
        <w:spacing w:line="240" w:lineRule="auto"/>
        <w:ind w:left="934" w:right="0"/>
        <w:jc w:val="left"/>
      </w:pPr>
      <w:r>
        <w:rPr/>
        <w:t>中电兴发公司管理层对其他信息负责。其他信息包括年度报告中涵盖的信息，但不包括财务报表和我们的审计报</w:t>
      </w:r>
    </w:p>
    <w:p>
      <w:pPr>
        <w:pStyle w:val="BodyText"/>
        <w:spacing w:line="240" w:lineRule="auto" w:before="76"/>
        <w:ind w:left="574" w:right="0"/>
        <w:jc w:val="left"/>
      </w:pPr>
      <w:r>
        <w:rPr/>
        <w:t>告。</w:t>
      </w:r>
    </w:p>
    <w:p>
      <w:pPr>
        <w:pStyle w:val="BodyText"/>
        <w:spacing w:line="316" w:lineRule="auto" w:before="76"/>
        <w:ind w:left="934" w:right="0"/>
        <w:jc w:val="left"/>
      </w:pPr>
      <w:r>
        <w:rPr/>
        <w:t>我们对财务报表发表的审计意见不涵盖其他信息，我们也不对其他信息发表任何形式的鉴证结论。 结合我们对财务报表的审计，我们的责任是阅读其他信息，在此过程中，考虑其他信息是否与财务报表或我们在</w:t>
      </w:r>
    </w:p>
    <w:p>
      <w:pPr>
        <w:pStyle w:val="BodyText"/>
        <w:spacing w:line="316" w:lineRule="auto" w:before="19"/>
        <w:ind w:left="934" w:right="0" w:hanging="361"/>
        <w:jc w:val="left"/>
      </w:pPr>
      <w:r>
        <w:rPr/>
        <w:t>审计过程中了解的情况存在重大不一致或者似乎存在重大错报。 基于我们已执行的工作，如果我们确定其他信息存在重大错报，我们应当报告该事实。在这方面，我们无任何事</w:t>
      </w:r>
    </w:p>
    <w:p>
      <w:pPr>
        <w:pStyle w:val="BodyText"/>
        <w:spacing w:line="240" w:lineRule="auto" w:before="19"/>
        <w:ind w:left="574" w:right="0"/>
        <w:jc w:val="left"/>
      </w:pPr>
      <w:r>
        <w:rPr/>
        <w:t>项需要报告。</w:t>
      </w:r>
    </w:p>
    <w:p>
      <w:pPr>
        <w:spacing w:line="316" w:lineRule="auto" w:before="76"/>
        <w:ind w:left="934" w:right="0" w:firstLine="1"/>
        <w:jc w:val="left"/>
        <w:rPr>
          <w:rFonts w:ascii="宋体" w:hAnsi="宋体" w:cs="宋体" w:eastAsia="宋体" w:hint="default"/>
          <w:sz w:val="18"/>
          <w:szCs w:val="18"/>
        </w:rPr>
      </w:pPr>
      <w:r>
        <w:rPr>
          <w:rFonts w:ascii="宋体" w:hAnsi="宋体" w:cs="宋体" w:eastAsia="宋体" w:hint="default"/>
          <w:b/>
          <w:bCs/>
          <w:sz w:val="18"/>
          <w:szCs w:val="18"/>
        </w:rPr>
        <w:t>五、管理层和治理层对财务报表的责任</w:t>
      </w:r>
      <w:r>
        <w:rPr>
          <w:rFonts w:ascii="宋体" w:hAnsi="宋体" w:cs="宋体" w:eastAsia="宋体" w:hint="default"/>
          <w:b/>
          <w:bCs/>
          <w:w w:val="99"/>
          <w:sz w:val="18"/>
          <w:szCs w:val="18"/>
        </w:rPr>
        <w:t> </w:t>
      </w:r>
      <w:r>
        <w:rPr>
          <w:rFonts w:ascii="宋体" w:hAnsi="宋体" w:cs="宋体" w:eastAsia="宋体" w:hint="default"/>
          <w:sz w:val="18"/>
          <w:szCs w:val="18"/>
        </w:rPr>
        <w:t>中电兴发公司管理层负责按照企业会计准则的规定编制财务报表，使其实现公允反映，并设计、执行和维护必要</w:t>
      </w:r>
    </w:p>
    <w:p>
      <w:pPr>
        <w:pStyle w:val="BodyText"/>
        <w:spacing w:line="316" w:lineRule="auto" w:before="19"/>
        <w:ind w:left="934" w:right="0" w:hanging="361"/>
        <w:jc w:val="left"/>
      </w:pPr>
      <w:r>
        <w:rPr/>
        <w:t>的内部控制，以使财务报表不存在由于舞弊或错误导致的重大错报。 在编制财务报表时，管理层负责评估中电兴发公司的持续经营能力，披露与持续经营相关的事项（如适用），并</w:t>
      </w:r>
    </w:p>
    <w:p>
      <w:pPr>
        <w:spacing w:line="316" w:lineRule="auto" w:before="19"/>
        <w:ind w:left="934" w:right="3140" w:hanging="361"/>
        <w:jc w:val="left"/>
        <w:rPr>
          <w:rFonts w:ascii="宋体" w:hAnsi="宋体" w:cs="宋体" w:eastAsia="宋体" w:hint="default"/>
          <w:sz w:val="18"/>
          <w:szCs w:val="18"/>
        </w:rPr>
      </w:pPr>
      <w:r>
        <w:rPr>
          <w:rFonts w:ascii="宋体" w:hAnsi="宋体" w:cs="宋体" w:eastAsia="宋体" w:hint="default"/>
          <w:sz w:val="18"/>
          <w:szCs w:val="18"/>
        </w:rPr>
        <w:t>运用持续经营假设，除非管理层计划清算中电兴发公司、终止运营或别无其他现实的选择。 治理层负责监督中电兴发公司的财务报告过程。 </w:t>
      </w:r>
      <w:r>
        <w:rPr>
          <w:rFonts w:ascii="宋体" w:hAnsi="宋体" w:cs="宋体" w:eastAsia="宋体" w:hint="default"/>
          <w:b/>
          <w:bCs/>
          <w:sz w:val="18"/>
          <w:szCs w:val="18"/>
        </w:rPr>
        <w:t>六、注册会计师对财务报表审计的责任</w:t>
      </w:r>
      <w:r>
        <w:rPr>
          <w:rFonts w:ascii="宋体" w:hAnsi="宋体" w:cs="宋体" w:eastAsia="宋体" w:hint="default"/>
          <w:sz w:val="18"/>
          <w:szCs w:val="18"/>
        </w:rPr>
      </w:r>
    </w:p>
    <w:p>
      <w:pPr>
        <w:pStyle w:val="BodyText"/>
        <w:spacing w:line="316" w:lineRule="auto" w:before="19"/>
        <w:ind w:left="574" w:right="1024" w:firstLine="360"/>
        <w:jc w:val="left"/>
      </w:pPr>
      <w:r>
        <w:rPr/>
        <w:t>我们的目标是对财务报表整体是否不存在由于舞弊或错误导致的重大错报获取合理保证，并出具包含审计意见的 审计报告。合理保证是高水平的保证，但并不能保证按照审计准则执行的审计在某一重大错报存在时总能发现。错报</w:t>
      </w:r>
      <w:r>
        <w:rPr>
          <w:spacing w:val="-57"/>
        </w:rPr>
        <w:t> </w:t>
      </w:r>
      <w:r>
        <w:rPr>
          <w:spacing w:val="-57"/>
        </w:rPr>
      </w:r>
      <w:r>
        <w:rPr>
          <w:spacing w:val="-1"/>
        </w:rPr>
        <w:t>可能由于舞弊或错误导致，如果合理预期错报单独或汇总起来可能影响财务报表使用者依据财务报表作出的经济决策，</w:t>
      </w:r>
      <w:r>
        <w:rPr/>
        <w:t> 则通常认为错报是重大的。</w:t>
      </w:r>
    </w:p>
    <w:p>
      <w:pPr>
        <w:pStyle w:val="BodyText"/>
        <w:spacing w:line="240" w:lineRule="auto" w:before="19"/>
        <w:ind w:left="934" w:right="0"/>
        <w:jc w:val="left"/>
      </w:pPr>
      <w:r>
        <w:rPr/>
        <w:t>在按照审计准则执行审计工作的过程中，我们运用职业判断，并保持职业怀疑。同时，我们也执行以下工作：</w:t>
      </w:r>
    </w:p>
    <w:p>
      <w:pPr>
        <w:pStyle w:val="BodyText"/>
        <w:spacing w:line="309" w:lineRule="auto" w:before="76"/>
        <w:ind w:left="574" w:right="1035" w:firstLine="360"/>
        <w:jc w:val="left"/>
      </w:pPr>
      <w:r>
        <w:rPr>
          <w:rFonts w:ascii="Times New Roman" w:hAnsi="Times New Roman" w:cs="Times New Roman" w:eastAsia="Times New Roman" w:hint="default"/>
          <w:spacing w:val="-3"/>
        </w:rPr>
        <w:t>1</w:t>
      </w:r>
      <w:r>
        <w:rPr>
          <w:spacing w:val="-3"/>
        </w:rPr>
        <w:t>、识别和评估由于舞弊或错误导致的财务报表重大错报风险，设计和实施审计程序以应对这些风险，并获取充分、</w:t>
      </w:r>
      <w:r>
        <w:rPr/>
        <w:t> 适当的审计证据，作为发表审计意见的基础。由于舞弊可能涉及串通、伪造、故意遗漏、虚假陈述或凌驾于内部控制</w:t>
      </w:r>
      <w:r>
        <w:rPr>
          <w:spacing w:val="-56"/>
        </w:rPr>
        <w:t> </w:t>
      </w:r>
      <w:r>
        <w:rPr>
          <w:spacing w:val="-56"/>
        </w:rPr>
      </w:r>
      <w:r>
        <w:rPr/>
        <w:t>之上，未能发现由于舞弊导致的重大错报的风险高于未能发现由于错误导致的重大错报的风险。</w:t>
      </w:r>
    </w:p>
    <w:p>
      <w:pPr>
        <w:pStyle w:val="BodyText"/>
        <w:spacing w:line="240" w:lineRule="auto" w:before="24"/>
        <w:ind w:left="934" w:right="0"/>
        <w:jc w:val="left"/>
      </w:pPr>
      <w:r>
        <w:rPr>
          <w:rFonts w:ascii="Times New Roman" w:hAnsi="Times New Roman" w:cs="Times New Roman" w:eastAsia="Times New Roman" w:hint="default"/>
        </w:rPr>
        <w:t>2</w:t>
      </w:r>
      <w:r>
        <w:rPr/>
        <w:t>、了解与审计相关的内部控制，以设计恰当的审计程序。</w:t>
      </w:r>
    </w:p>
    <w:p>
      <w:pPr>
        <w:pStyle w:val="BodyText"/>
        <w:spacing w:line="240" w:lineRule="auto" w:before="63"/>
        <w:ind w:left="934" w:right="0"/>
        <w:jc w:val="left"/>
      </w:pPr>
      <w:r>
        <w:rPr>
          <w:rFonts w:ascii="Times New Roman" w:hAnsi="Times New Roman" w:cs="Times New Roman" w:eastAsia="Times New Roman" w:hint="default"/>
        </w:rPr>
        <w:t>3</w:t>
      </w:r>
      <w:r>
        <w:rPr/>
        <w:t>、评价管理层选用会计政策的恰当性和作出会计估计及相关披露的合理性。</w:t>
      </w:r>
    </w:p>
    <w:p>
      <w:pPr>
        <w:pStyle w:val="BodyText"/>
        <w:spacing w:line="312" w:lineRule="auto" w:before="63"/>
        <w:ind w:left="574" w:right="1040" w:firstLine="360"/>
        <w:jc w:val="both"/>
      </w:pPr>
      <w:r>
        <w:rPr>
          <w:rFonts w:ascii="Times New Roman" w:hAnsi="Times New Roman" w:cs="Times New Roman" w:eastAsia="Times New Roman" w:hint="default"/>
        </w:rPr>
        <w:t>4</w:t>
      </w:r>
      <w:r>
        <w:rPr/>
        <w:t>、对管理层使用持续经营假设的恰当性得出结论。同时，根据获取的审计证据，就可能导致对中电兴发公司持续 经营能力产生重大疑虑的事项或情况是否存在重大不确定性得出结论。如果我们得出结论认为存在重大不确定性，审</w:t>
      </w:r>
      <w:r>
        <w:rPr>
          <w:spacing w:val="-57"/>
        </w:rPr>
        <w:t> </w:t>
      </w:r>
      <w:r>
        <w:rPr>
          <w:spacing w:val="-57"/>
        </w:rPr>
      </w:r>
      <w:r>
        <w:rPr/>
        <w:t>计准则要求我们在审计报告中提请报告使用者注意财务报表中的相关披露；如果披露不充分，我们应当发表非无保留</w:t>
      </w:r>
      <w:r>
        <w:rPr>
          <w:spacing w:val="-56"/>
        </w:rPr>
        <w:t> </w:t>
      </w:r>
      <w:r>
        <w:rPr>
          <w:spacing w:val="-56"/>
        </w:rPr>
      </w:r>
      <w:r>
        <w:rPr>
          <w:spacing w:val="-1"/>
        </w:rPr>
        <w:t>意见。我们的结论基于截至审计报告日可获得的信息。然而，未来的事项或情况可能导致中电兴发公司不能持续经营。</w:t>
      </w:r>
    </w:p>
    <w:p>
      <w:pPr>
        <w:pStyle w:val="BodyText"/>
        <w:spacing w:line="240" w:lineRule="auto" w:before="22"/>
        <w:ind w:left="934" w:right="0"/>
        <w:jc w:val="left"/>
      </w:pPr>
      <w:r>
        <w:rPr>
          <w:rFonts w:ascii="Times New Roman" w:hAnsi="Times New Roman" w:cs="Times New Roman" w:eastAsia="Times New Roman" w:hint="default"/>
        </w:rPr>
        <w:t>5</w:t>
      </w:r>
      <w:r>
        <w:rPr/>
        <w:t>、评价财务报表的总体列报、结构和内容（包括披露），并评价财务报表是否公允反映相关交易和事项。</w:t>
      </w:r>
    </w:p>
    <w:p>
      <w:pPr>
        <w:pStyle w:val="BodyText"/>
        <w:spacing w:line="300" w:lineRule="auto" w:before="63"/>
        <w:ind w:left="574" w:right="0" w:firstLine="360"/>
        <w:jc w:val="left"/>
      </w:pPr>
      <w:r>
        <w:rPr>
          <w:rFonts w:ascii="Times New Roman" w:hAnsi="Times New Roman" w:cs="Times New Roman" w:eastAsia="Times New Roman" w:hint="default"/>
          <w:spacing w:val="-2"/>
        </w:rPr>
        <w:t>6</w:t>
      </w:r>
      <w:r>
        <w:rPr>
          <w:spacing w:val="-2"/>
        </w:rPr>
        <w:t>、就中电兴发公司中实体或业务活动的财务信息获取充分、适当的审计证据，以对财务报表发表意见。我们负责</w:t>
      </w:r>
      <w:r>
        <w:rPr/>
        <w:t> 指导、监督和执行集团审计。我们对审计意见承担全部责任。</w:t>
      </w:r>
    </w:p>
    <w:p>
      <w:pPr>
        <w:pStyle w:val="BodyText"/>
        <w:spacing w:line="316" w:lineRule="auto" w:before="31"/>
        <w:ind w:left="574" w:right="0" w:firstLine="360"/>
        <w:jc w:val="left"/>
      </w:pPr>
      <w:r>
        <w:rPr/>
        <w:t>我们与治理层就计划的审计范围、时间安排和重大审计发现等事项进行沟通，包括沟通我们在审计中识别出的值 得关注的内部控制缺陷。</w:t>
      </w:r>
    </w:p>
    <w:p>
      <w:pPr>
        <w:pStyle w:val="BodyText"/>
        <w:spacing w:line="316" w:lineRule="auto" w:before="19"/>
        <w:ind w:left="574" w:right="0" w:firstLine="360"/>
        <w:jc w:val="left"/>
      </w:pPr>
      <w:r>
        <w:rPr/>
        <w:t>我们还就已遵守与独立性相关的职业道德要求向治理层提供声明，并与治理层沟通可能被合理认为影响我们独立 性的所有关系和其他事项，以及相关的防范措施（如适用）。</w:t>
      </w:r>
    </w:p>
    <w:p>
      <w:pPr>
        <w:pStyle w:val="BodyText"/>
        <w:spacing w:line="316" w:lineRule="auto" w:before="19"/>
        <w:ind w:left="574" w:right="1133" w:firstLine="360"/>
        <w:jc w:val="both"/>
      </w:pPr>
      <w:r>
        <w:rPr/>
        <w:t>从与治理层沟通过的事项中，我们确定哪些事项对本期财务报表审计最为重要，因而构成关键审计事项。我们在 审计报告中描述这些事项，除非法律法规禁止公开披露这些事项，或在极少数情形下，如果合理预期在审计报告中沟</w:t>
      </w:r>
      <w:r>
        <w:rPr>
          <w:spacing w:val="-57"/>
        </w:rPr>
        <w:t> </w:t>
      </w:r>
      <w:r>
        <w:rPr>
          <w:spacing w:val="-57"/>
        </w:rPr>
      </w:r>
      <w:r>
        <w:rPr/>
        <w:t>通某事项造成的负面后果超过在公众利益方面产生的益处，我们确定不应在审计报告中沟通该事项。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4"/>
          <w:szCs w:val="14"/>
        </w:rPr>
      </w:pPr>
    </w:p>
    <w:p>
      <w:pPr>
        <w:pStyle w:val="Heading2"/>
        <w:spacing w:line="240" w:lineRule="auto"/>
        <w:ind w:right="0"/>
        <w:jc w:val="left"/>
        <w:rPr>
          <w:b w:val="0"/>
          <w:bCs w:val="0"/>
        </w:rPr>
      </w:pPr>
      <w:bookmarkStart w:name="二、财务报表" w:id="161"/>
      <w:bookmarkEnd w:id="161"/>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财务附注中报表的单位为：人民币元</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1、合并资产负债表" w:id="162"/>
      <w:bookmarkEnd w:id="162"/>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ind w:right="-20"/>
        <w:jc w:val="left"/>
      </w:pPr>
      <w:r>
        <w:rPr/>
        <w:t>编制单位：安徽中电兴发与鑫龙科技股份有限公司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left="77" w:right="-17"/>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left="153" w:right="0"/>
        <w:jc w:val="left"/>
      </w:pPr>
      <w:r>
        <w:rPr/>
        <w:t>单位：元</w:t>
      </w:r>
    </w:p>
    <w:p>
      <w:pPr>
        <w:spacing w:after="0" w:line="240" w:lineRule="auto"/>
        <w:jc w:val="left"/>
        <w:sectPr>
          <w:type w:val="continuous"/>
          <w:pgSz w:w="11910" w:h="16840"/>
          <w:pgMar w:top="1060" w:bottom="1160" w:left="980" w:right="0"/>
          <w:cols w:num="3" w:equalWidth="0">
            <w:col w:w="4115" w:space="40"/>
            <w:col w:w="1562" w:space="3203"/>
            <w:col w:w="201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786,236,356.85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1,248,207,198.83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8"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1,068,375,549.98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947,865,710.47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89,714,563.36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79,548,329.06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978,660,986.62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868,317,381.41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37,624,449.56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23,682,860.58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123,865,514.97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72,220,855.45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1,096,880,825.42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1,150,428,526.42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9,588,282.06</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80,666,737.60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32,277,421.06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3,203,237,716.44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3,474,682,572.81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146,773,017.71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26,515,722.32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21,852,780.85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22,773,197.89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85,801,256.37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94,538,276.98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581,933,466.35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605,834,082.13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582,556,870.84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102,946,964.73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1,524,947,496.70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1,465,424,211.79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5,324,682.29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5,817,051.30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73,558,396.02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55,124,706.69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8,146,397.12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1,755,442.42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3,036,894,364.25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2,386,729,656.25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6,240,132,080.69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5,861,412,229.06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493,500,000.00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480,000,000.00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68"/>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8"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68"/>
              <w:jc w:val="righ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657,750,640.56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392,912,244.62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247,903,169.27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197,397,775.69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68"/>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31,231,052.76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20,443,036.22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45,333,129.01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38,445,865.51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57,554,381.42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16,676,408.80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757,568.26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652,201.38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14,000,000.00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19,000,000.00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1,547,272,373.02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1,164,875,330.84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90,000,000.00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27,000,000.00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37,000,000.00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26,283,537.38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27,871,569.02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14,207,262.92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15,713,586.94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117,932,619.43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138,129,840.68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275,423,419.73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222,714,996.64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1,822,695,792.75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1,387,590,327.48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691,505,915.00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703,960,660.00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2,825,137,574.80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2,902,710,165.81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150,033,637.57</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52,516,251.69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48,480,839.94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782,617,386.60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647,085,150.91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4,201,743,490.52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4,302,236,816.66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215,692,797.42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171,585,084.92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4,417,436,287.94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4,473,821,901.58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6,240,132,080.69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5,861,412,229.06</w:t>
            </w:r>
          </w:p>
        </w:tc>
      </w:tr>
    </w:tbl>
    <w:p>
      <w:pPr>
        <w:spacing w:line="240" w:lineRule="auto" w:before="3"/>
        <w:rPr>
          <w:rFonts w:ascii="Times New Roman" w:hAnsi="Times New Roman" w:cs="Times New Roman" w:eastAsia="Times New Roman" w:hint="default"/>
          <w:sz w:val="23"/>
          <w:szCs w:val="23"/>
        </w:rPr>
      </w:pPr>
    </w:p>
    <w:p>
      <w:pPr>
        <w:pStyle w:val="BodyText"/>
        <w:tabs>
          <w:tab w:pos="3664" w:val="left" w:leader="none"/>
          <w:tab w:pos="7895" w:val="left" w:leader="none"/>
        </w:tabs>
        <w:spacing w:line="240" w:lineRule="auto"/>
        <w:ind w:right="0"/>
        <w:jc w:val="left"/>
      </w:pPr>
      <w:r>
        <w:rPr/>
        <w:t>法定代表人：瞿洪桂</w:t>
        <w:tab/>
        <w:t>主管会计工作负责人：陶黎明</w:t>
        <w:tab/>
        <w:t>会计机构负责人：杨勇</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2、母公司资产负债表" w:id="163"/>
      <w:bookmarkEnd w:id="163"/>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7524"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81,201,904.97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138,508,195.31</w:t>
            </w:r>
          </w:p>
        </w:tc>
      </w:tr>
      <w:tr>
        <w:trPr>
          <w:trHeight w:val="71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5"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489,567,272.55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507,181,579.02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50,662,637.08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58,636,497.53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364"/>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438,904,635.47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448,545,081.49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13,049,804.58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9,428,742.05</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35,734,931.07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27,140,592.48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364"/>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354,301,655.63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422,804,441.75</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778,682.80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758,431.35</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974,634,251.60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1,105,821,981.96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6,000,000.00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3,627,454,998.00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3,606,069,664.02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50,976,801.57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54,876,819.81</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218,206,728.67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232,380,371.94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50,446,601.60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54,176,272.94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46,662,603.88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34,619,920.29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170,692.42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221,692.42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3,999,918,426.14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3,988,344,741.42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4,974,552,677.74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5,094,166,723.38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468,000,000.00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480,000,000.00</w:t>
            </w:r>
          </w:p>
        </w:tc>
      </w:tr>
      <w:tr>
        <w:trPr>
          <w:trHeight w:val="71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232,301,968.57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212,316,684.31</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36,462,659.45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37,095,848.25</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4,614,585.13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2,563,650.97</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8,928,493.42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8,855,337.47</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482,515,302.40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464,926,624.31</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733,174.44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624,708.33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1,232,823,008.97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1,205,758,145.31</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90,000,000.00</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25,961,537.38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27,738,569.02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115,961,537.38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27,738,569.02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1,348,784,546.35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1,233,496,714.33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290"/>
        <w:gridCol w:w="3314"/>
        <w:gridCol w:w="2966"/>
      </w:tblGrid>
      <w:tr>
        <w:trPr>
          <w:trHeight w:val="402"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691,505,915.00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703,960,660.00</w:t>
            </w:r>
          </w:p>
        </w:tc>
      </w:tr>
      <w:tr>
        <w:trPr>
          <w:trHeight w:val="402"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1"/>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2,818,718,845.63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2,896,291,436.64</w:t>
            </w:r>
          </w:p>
        </w:tc>
      </w:tr>
      <w:tr>
        <w:trPr>
          <w:trHeight w:val="402"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150,033,637.57</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51,038,141.44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47,002,729.69</w:t>
            </w:r>
          </w:p>
        </w:tc>
      </w:tr>
      <w:tr>
        <w:trPr>
          <w:trHeight w:val="402"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214,538,866.89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213,415,182.72</w:t>
            </w:r>
          </w:p>
        </w:tc>
      </w:tr>
      <w:tr>
        <w:trPr>
          <w:trHeight w:val="402"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3,625,768,131.39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3,860,670,009.05</w:t>
            </w:r>
          </w:p>
        </w:tc>
      </w:tr>
      <w:tr>
        <w:trPr>
          <w:trHeight w:val="402"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4,974,552,677.74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5,094,166,723.38</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0"/>
        <w:jc w:val="left"/>
        <w:rPr>
          <w:b w:val="0"/>
          <w:bCs w:val="0"/>
        </w:rPr>
      </w:pPr>
      <w:bookmarkStart w:name="3、合并利润表" w:id="164"/>
      <w:bookmarkEnd w:id="164"/>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7524"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2,455,958,521.31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2,025,570,083.97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2,455,958,521.31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2,025,570,083.97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2,258,932,602.95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1,818,544,983.00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1,713,831,630.34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1,446,961,484.54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22,448,765.09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27,347,142.09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208,921,082.00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106,229,201.29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133,453,529.27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95,161,839.12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123,579,819.32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110,293,811.27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13,035,209.22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-1,354,556.36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03"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31,515,939.26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16,559,753.33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4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18,811,962.49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11,482,908.84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43,662,567.71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33,906,061.05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19,702,822.61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19,316,532.78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3,193,968.56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-2,716,534.44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-920,417.04</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-5,116,998.22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2,854,052.08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222,776,761.61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223,625,099.31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635,080.84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5,320,539.60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4,199,717.01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2,193,616.49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219,212,125.44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226,752,022.42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30,846,588.82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33,421,934.74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188,365,536.62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193,330,087.68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188,365,536.62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193,330,087.68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174,762,669.00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172,215,037.92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13,602,867.62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21,115,049.76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4"/>
          <w:pgSz w:w="11910" w:h="16840"/>
          <w:pgMar w:footer="979" w:header="747"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188,365,536.62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193,330,087.68</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174,762,669.00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172,215,037.92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13,602,867.62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21,115,049.76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0.2505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0.2446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0.2505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0.2446</w:t>
            </w:r>
          </w:p>
        </w:tc>
      </w:tr>
    </w:tbl>
    <w:p>
      <w:pPr>
        <w:pStyle w:val="BodyText"/>
        <w:tabs>
          <w:tab w:pos="3664" w:val="left" w:leader="none"/>
          <w:tab w:pos="7895" w:val="left" w:leader="none"/>
        </w:tabs>
        <w:spacing w:line="592" w:lineRule="auto" w:before="51"/>
        <w:ind w:right="1229"/>
        <w:jc w:val="both"/>
        <w:rPr>
          <w:rFonts w:ascii="宋体" w:hAnsi="宋体" w:cs="宋体" w:eastAsia="宋体" w:hint="default"/>
          <w:sz w:val="21"/>
          <w:szCs w:val="21"/>
        </w:rPr>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法定代表人：瞿洪桂</w:t>
        <w:tab/>
        <w:t>主管会计工作负责人：陶黎明</w:t>
        <w:tab/>
        <w:t>会计机构负责人：杨勇 </w:t>
      </w:r>
      <w:bookmarkStart w:name="4、母公司利润表" w:id="165"/>
      <w:bookmarkEnd w:id="165"/>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pStyle w:val="BodyText"/>
        <w:spacing w:line="240" w:lineRule="auto" w:before="7"/>
        <w:ind w:left="7524"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557,980,016.60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596,501,630.89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472,854,500.27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496,407,900.04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12,057,599.50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16,501,773.29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61,179,672.42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49,173,522.64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31,943,342.63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32,616,534.58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36,013,623.04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33,799,922.99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21,789,462.65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8,073,236.66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31,048,669.66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15,024,756.26</w:t>
            </w:r>
          </w:p>
        </w:tc>
      </w:tr>
    </w:tbl>
    <w:p>
      <w:pPr>
        <w:spacing w:after="0" w:line="240" w:lineRule="auto"/>
        <w:jc w:val="right"/>
        <w:rPr>
          <w:rFonts w:ascii="Times New Roman" w:hAnsi="Times New Roman" w:cs="Times New Roman" w:eastAsia="Times New Roman" w:hint="default"/>
          <w:sz w:val="18"/>
          <w:szCs w:val="18"/>
        </w:rPr>
        <w:sectPr>
          <w:footerReference w:type="default" r:id="rId15"/>
          <w:pgSz w:w="11910" w:h="16840"/>
          <w:pgMar w:footer="979" w:header="747" w:top="1060" w:bottom="1160" w:left="980" w:right="0"/>
          <w:pgNumType w:start="101"/>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6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10,220,144.01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7,238,554.54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-742,846.03</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25,753,416.75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9,417,903.64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10,413,352.28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93,936,147.96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63,659,484.29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3"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1,485,333.98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-598,478.34</w:t>
            </w:r>
            <w:r>
              <w:rPr>
                <w:rFonts w:ascii="Times New Roman"/>
                <w:sz w:val="18"/>
              </w:rPr>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2,854,052.08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29,092,765.80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8,248,160.51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351,582.00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832,063.50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1,132,913.91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1,199,772.10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28,311,433.89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7,880,451.91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-12,042,683.59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-10,072,654.16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40,354,117.48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17,953,106.07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40,354,117.48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17,953,106.07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40,354,117.48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17,953,106.07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0"/>
        <w:jc w:val="left"/>
        <w:rPr>
          <w:b w:val="0"/>
          <w:bCs w:val="0"/>
        </w:rPr>
      </w:pPr>
      <w:bookmarkStart w:name="5、合并现金流量表" w:id="166"/>
      <w:bookmarkEnd w:id="166"/>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7524"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2,295,907,532.44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2,419,256,727.78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5,352,563.15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4,250,817.90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41,438,720.86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66,540,448.19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2,342,698,816.45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2,490,047,993.87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1,956,997,154.09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1,929,973,686.85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8"/>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245,610,827.37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133,369,299.17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138,947,673.42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150,284,328.86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203,846,010.53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125,454,859.86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2,545,401,665.41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2,339,082,174.74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-202,702,848.96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150,965,819.13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219,350,000.00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4,114,385.60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2,483,682.96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3,339,453.33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1,865,203.33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226,803,838.93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301,348,886.29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17,037,988.36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27,557,242.98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227,938,282.06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272,500,000.00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4,346,118.40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8,720,000.00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258,042,388.82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300,057,242.98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-31,238,549.89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1,291,643.31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7,240,300.00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7,240,300.00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1,242,500,000.00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729,500,000.00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1,249,740,300.00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739,700,000.00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1,168,197,221.25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379,500,000.00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40"/>
              <w:jc w:val="right"/>
              <w:rPr>
                <w:rFonts w:ascii="宋体" w:hAnsi="宋体" w:cs="宋体" w:eastAsia="宋体" w:hint="default"/>
                <w:sz w:val="18"/>
                <w:szCs w:val="18"/>
              </w:rPr>
            </w:pPr>
            <w:r>
              <w:rPr>
                <w:rFonts w:ascii="宋体" w:hAnsi="宋体" w:cs="宋体" w:eastAsia="宋体" w:hint="default"/>
                <w:sz w:val="18"/>
                <w:szCs w:val="18"/>
              </w:rPr>
              <w:t>分配股利、利润或偿付利息支付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76,765,656.18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51,344,073.96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36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10,160,062.24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7,076,621.29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240,060,973.58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1,485,023,851.01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430,844,073.96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-235,283,551.01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308,855,926.04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-356,492.49</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-24,496.27</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-469,581,442.35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461,088,892.21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1,226,342,763.85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765,253,871.64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756,761,321.50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1,226,342,763.85</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0"/>
        <w:jc w:val="left"/>
        <w:rPr>
          <w:b w:val="0"/>
          <w:bCs w:val="0"/>
        </w:rPr>
      </w:pPr>
      <w:bookmarkStart w:name="6、母公司现金流量表" w:id="167"/>
      <w:bookmarkEnd w:id="167"/>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7524"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576,103,761.46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650,320,453.80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30,154,264.98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42,567,806.79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606,258,026.44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692,888,260.59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350,430,456.04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445,618,537.80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45,425,125.22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40,933,401.07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37,335,970.51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51,729,293.90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74,758,161.94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65,349,918.43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507,949,713.71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603,631,151.20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98,308,312.73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89,257,109.39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92,450,813.98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64,257,962.63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3,133,120.67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1,809,064.95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95,583,934.65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106,067,027.58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8,433,320.30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4,612,599.36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745,557,708.91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28,333,320.30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750,170,308.27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67,250,614.35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-644,103,280.69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1,217,000,000.00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1,217,000,000.00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1,139,000,000.00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66,135,225.11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42,609,647.25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240,060,973.58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1,445,196,198.69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312,609,647.25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-228,196,198.69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397,390,352.75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-380,901.34</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-63,018,172.95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-157,455,818.55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129,496,293.33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286,952,111.88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66,478,120.38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129,496,293.33</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7、合并所有者权益变动表" w:id="168"/>
      <w:bookmarkEnd w:id="168"/>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t>本期金额</w:t>
      </w:r>
    </w:p>
    <w:p>
      <w:pPr>
        <w:pStyle w:val="BodyText"/>
        <w:spacing w:line="240" w:lineRule="auto" w:before="117"/>
        <w:ind w:left="7524"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681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319" w:lineRule="auto"/>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2"/>
                <w:szCs w:val="22"/>
              </w:rPr>
            </w:pPr>
          </w:p>
          <w:p>
            <w:pPr>
              <w:pStyle w:val="TableParagraph"/>
              <w:spacing w:line="319" w:lineRule="auto"/>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5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6" w:lineRule="auto"/>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6" w:lineRule="auto"/>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6" w:lineRule="auto"/>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6" w:lineRule="auto"/>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6" w:lineRule="auto"/>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6" w:lineRule="auto"/>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6" w:lineRule="auto"/>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714"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4" w:type="dxa"/>
            <w:vMerge/>
            <w:tcBorders>
              <w:left w:val="single" w:sz="4" w:space="0" w:color="000000"/>
              <w:bottom w:val="single" w:sz="4" w:space="0" w:color="000000"/>
              <w:right w:val="single" w:sz="4" w:space="0" w:color="000000"/>
            </w:tcBorders>
            <w:shd w:val="clear" w:color="auto" w:fill="D2D2D2"/>
          </w:tcPr>
          <w:p>
            <w:pPr/>
          </w:p>
        </w:tc>
        <w:tc>
          <w:tcPr>
            <w:tcW w:w="666"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703,96</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0,660.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2,902,7</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10,165.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48,480,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839.94</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647,085</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,150.91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171,585</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,084.92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4,473,8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21,901.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58</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703,96</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0,660.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2,902,7</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10,165.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48,480,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839.94</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647,085</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,150.91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171,585</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,084.92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4,473,8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21,901.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58</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left"/>
              <w:rPr>
                <w:rFonts w:ascii="Times New Roman" w:hAnsi="Times New Roman" w:cs="Times New Roman" w:eastAsia="Times New Roman" w:hint="default"/>
                <w:sz w:val="18"/>
                <w:szCs w:val="18"/>
              </w:rPr>
            </w:pPr>
            <w:r>
              <w:rPr>
                <w:rFonts w:ascii="Times New Roman"/>
                <w:sz w:val="18"/>
              </w:rPr>
              <w:t>-12,45</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4,745.</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-77,572,</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591.01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150,033</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,637.57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4,035,4</w:t>
            </w:r>
          </w:p>
          <w:p>
            <w:pPr>
              <w:pStyle w:val="TableParagraph"/>
              <w:spacing w:line="240" w:lineRule="auto" w:before="106"/>
              <w:ind w:left="209" w:right="0"/>
              <w:jc w:val="center"/>
              <w:rPr>
                <w:rFonts w:ascii="Times New Roman" w:hAnsi="Times New Roman" w:cs="Times New Roman" w:eastAsia="Times New Roman" w:hint="default"/>
                <w:sz w:val="18"/>
                <w:szCs w:val="18"/>
              </w:rPr>
            </w:pPr>
            <w:r>
              <w:rPr>
                <w:rFonts w:ascii="Times New Roman"/>
                <w:sz w:val="18"/>
              </w:rPr>
              <w:t>11.75</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135,532</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,235.69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44,107,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712.50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-56,385,</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613.64</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174,762</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,669.00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13,602,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867.62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188,365</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,536.62</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left"/>
              <w:rPr>
                <w:rFonts w:ascii="Times New Roman" w:hAnsi="Times New Roman" w:cs="Times New Roman" w:eastAsia="Times New Roman" w:hint="default"/>
                <w:sz w:val="18"/>
                <w:szCs w:val="18"/>
              </w:rPr>
            </w:pPr>
            <w:r>
              <w:rPr>
                <w:rFonts w:ascii="Times New Roman"/>
                <w:sz w:val="18"/>
              </w:rPr>
              <w:t>-12,45</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4,745.</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-77,572,</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591.01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150,033</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,637.57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40,664,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907.12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-199,39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6,066.4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left"/>
              <w:rPr>
                <w:rFonts w:ascii="Times New Roman" w:hAnsi="Times New Roman" w:cs="Times New Roman" w:eastAsia="Times New Roman" w:hint="default"/>
                <w:sz w:val="18"/>
                <w:szCs w:val="18"/>
              </w:rPr>
            </w:pPr>
            <w:r>
              <w:rPr>
                <w:rFonts w:ascii="Times New Roman"/>
                <w:sz w:val="18"/>
              </w:rPr>
              <w:t>-12,45</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4,745.</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-77,572,</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591.01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150,033</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,637.57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40,664,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907.12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-199,39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6,066.4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4,035,4</w:t>
            </w:r>
          </w:p>
          <w:p>
            <w:pPr>
              <w:pStyle w:val="TableParagraph"/>
              <w:spacing w:line="240" w:lineRule="auto" w:before="106"/>
              <w:ind w:left="209" w:right="0"/>
              <w:jc w:val="center"/>
              <w:rPr>
                <w:rFonts w:ascii="Times New Roman" w:hAnsi="Times New Roman" w:cs="Times New Roman" w:eastAsia="Times New Roman" w:hint="default"/>
                <w:sz w:val="18"/>
                <w:szCs w:val="18"/>
              </w:rPr>
            </w:pPr>
            <w:r>
              <w:rPr>
                <w:rFonts w:ascii="Times New Roman"/>
                <w:sz w:val="18"/>
              </w:rPr>
              <w:t>11.75</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-39,230,</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433.31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-10,160,</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062.24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-45,355,</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083.80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4,035,4</w:t>
            </w:r>
          </w:p>
          <w:p>
            <w:pPr>
              <w:pStyle w:val="TableParagraph"/>
              <w:spacing w:line="240" w:lineRule="auto" w:before="106"/>
              <w:ind w:left="209" w:right="0"/>
              <w:jc w:val="center"/>
              <w:rPr>
                <w:rFonts w:ascii="Times New Roman" w:hAnsi="Times New Roman" w:cs="Times New Roman" w:eastAsia="Times New Roman" w:hint="default"/>
                <w:sz w:val="18"/>
                <w:szCs w:val="18"/>
              </w:rPr>
            </w:pPr>
            <w:r>
              <w:rPr>
                <w:rFonts w:ascii="Times New Roman"/>
                <w:sz w:val="18"/>
              </w:rPr>
              <w:t>11.75</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-4,035,4</w:t>
            </w:r>
          </w:p>
          <w:p>
            <w:pPr>
              <w:pStyle w:val="TableParagraph"/>
              <w:spacing w:line="240" w:lineRule="auto" w:before="106"/>
              <w:ind w:left="232" w:right="0"/>
              <w:jc w:val="left"/>
              <w:rPr>
                <w:rFonts w:ascii="Times New Roman" w:hAnsi="Times New Roman" w:cs="Times New Roman" w:eastAsia="Times New Roman" w:hint="default"/>
                <w:sz w:val="18"/>
                <w:szCs w:val="18"/>
              </w:rPr>
            </w:pPr>
            <w:r>
              <w:rPr>
                <w:rFonts w:ascii="Times New Roman"/>
                <w:sz w:val="18"/>
              </w:rPr>
              <w:t>11.75</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-35,195,</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021.56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-10,160,</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062.24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-45,355,</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083.80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691,50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5,915.</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2,825,1</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37,574.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150,033</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,637.57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52,516,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251.69</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782,617</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,386.60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215,692</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,797.42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4,417,4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36,287.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94</w:t>
            </w:r>
          </w:p>
        </w:tc>
      </w:tr>
    </w:tbl>
    <w:p>
      <w:pPr>
        <w:pStyle w:val="BodyText"/>
        <w:spacing w:line="240" w:lineRule="auto" w:before="51"/>
        <w:ind w:right="0"/>
        <w:jc w:val="left"/>
      </w:pPr>
      <w:r>
        <w:rPr/>
        <w:t>上期金额</w:t>
      </w:r>
    </w:p>
    <w:p>
      <w:pPr>
        <w:pStyle w:val="BodyText"/>
        <w:spacing w:line="240" w:lineRule="auto" w:before="117"/>
        <w:ind w:left="7524" w:right="113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7"/>
        <w:gridCol w:w="562"/>
        <w:gridCol w:w="530"/>
        <w:gridCol w:w="532"/>
        <w:gridCol w:w="530"/>
        <w:gridCol w:w="665"/>
        <w:gridCol w:w="665"/>
        <w:gridCol w:w="665"/>
        <w:gridCol w:w="665"/>
        <w:gridCol w:w="665"/>
        <w:gridCol w:w="665"/>
        <w:gridCol w:w="678"/>
        <w:gridCol w:w="652"/>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4"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8" w:hRule="exact"/>
        </w:trPr>
        <w:tc>
          <w:tcPr>
            <w:tcW w:w="1427"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8"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703,96</w:t>
            </w:r>
          </w:p>
          <w:p>
            <w:pPr>
              <w:pStyle w:val="TableParagraph"/>
              <w:spacing w:line="240" w:lineRule="auto" w:before="104"/>
              <w:ind w:left="72" w:right="0"/>
              <w:jc w:val="left"/>
              <w:rPr>
                <w:rFonts w:ascii="Times New Roman" w:hAnsi="Times New Roman" w:cs="Times New Roman" w:eastAsia="Times New Roman" w:hint="default"/>
                <w:sz w:val="18"/>
                <w:szCs w:val="18"/>
              </w:rPr>
            </w:pPr>
            <w:r>
              <w:rPr>
                <w:rFonts w:ascii="Times New Roman"/>
                <w:sz w:val="18"/>
              </w:rPr>
              <w:t>0,660.</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2,902,7</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10,165.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81</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46,685,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529.33</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504,823</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,850.00</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147,346</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,656.45</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4,305,5</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26,861.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59</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111"/>
              <w:ind w:left="28" w:right="0"/>
              <w:jc w:val="left"/>
              <w:rPr>
                <w:rFonts w:ascii="Times New Roman" w:hAnsi="Times New Roman" w:cs="Times New Roman" w:eastAsia="Times New Roman" w:hint="default"/>
                <w:sz w:val="18"/>
                <w:szCs w:val="18"/>
              </w:rPr>
            </w:pPr>
            <w:r>
              <w:rPr>
                <w:rFonts w:ascii="Times New Roman"/>
                <w:sz w:val="18"/>
              </w:rPr>
              <w:t>703,96</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0,660.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11"/>
              <w:ind w:left="92" w:right="0"/>
              <w:jc w:val="left"/>
              <w:rPr>
                <w:rFonts w:ascii="Times New Roman" w:hAnsi="Times New Roman" w:cs="Times New Roman" w:eastAsia="Times New Roman" w:hint="default"/>
                <w:sz w:val="18"/>
                <w:szCs w:val="18"/>
              </w:rPr>
            </w:pPr>
            <w:r>
              <w:rPr>
                <w:rFonts w:ascii="Times New Roman"/>
                <w:sz w:val="18"/>
              </w:rPr>
              <w:t>2,902,7</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10,165.</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2"/>
              <w:ind w:left="91" w:right="0"/>
              <w:jc w:val="left"/>
              <w:rPr>
                <w:rFonts w:ascii="Times New Roman" w:hAnsi="Times New Roman" w:cs="Times New Roman" w:eastAsia="Times New Roman" w:hint="default"/>
                <w:sz w:val="18"/>
                <w:szCs w:val="18"/>
              </w:rPr>
            </w:pPr>
            <w:r>
              <w:rPr>
                <w:rFonts w:ascii="Times New Roman"/>
                <w:sz w:val="18"/>
              </w:rPr>
              <w:t>46,685,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529.33</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92"/>
              <w:ind w:left="59" w:right="0"/>
              <w:jc w:val="left"/>
              <w:rPr>
                <w:rFonts w:ascii="Times New Roman" w:hAnsi="Times New Roman" w:cs="Times New Roman" w:eastAsia="Times New Roman" w:hint="default"/>
                <w:sz w:val="18"/>
                <w:szCs w:val="18"/>
              </w:rPr>
            </w:pPr>
            <w:r>
              <w:rPr>
                <w:rFonts w:ascii="Times New Roman"/>
                <w:sz w:val="18"/>
              </w:rPr>
              <w:t>504,823</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,850.00</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92"/>
              <w:ind w:left="34" w:right="0"/>
              <w:jc w:val="left"/>
              <w:rPr>
                <w:rFonts w:ascii="Times New Roman" w:hAnsi="Times New Roman" w:cs="Times New Roman" w:eastAsia="Times New Roman" w:hint="default"/>
                <w:sz w:val="18"/>
                <w:szCs w:val="18"/>
              </w:rPr>
            </w:pPr>
            <w:r>
              <w:rPr>
                <w:rFonts w:ascii="Times New Roman"/>
                <w:sz w:val="18"/>
              </w:rPr>
              <w:t>147,346</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,656.45</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11"/>
              <w:ind w:left="85" w:right="0"/>
              <w:jc w:val="left"/>
              <w:rPr>
                <w:rFonts w:ascii="Times New Roman" w:hAnsi="Times New Roman" w:cs="Times New Roman" w:eastAsia="Times New Roman" w:hint="default"/>
                <w:sz w:val="18"/>
                <w:szCs w:val="18"/>
              </w:rPr>
            </w:pPr>
            <w:r>
              <w:rPr>
                <w:rFonts w:ascii="Times New Roman"/>
                <w:sz w:val="18"/>
              </w:rPr>
              <w:t>4,305,5</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26,861.</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2"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81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59</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1,795,3</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10.61</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142,261</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,300.91</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24,238,</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428.47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168,295</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,039.99</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172,215</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,037.92</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21,115,</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049.76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193,330</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,087.68</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10,200,</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000.00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10,200,</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000.00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10,200,</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000.00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10,200,</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000.00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1,795,3</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10.61</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-29,953,</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737.01</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-7,076,</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621.29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-35,235,</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047.69</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1,795,3</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10.61</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-1,795,3</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10.61</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-28,158,</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426.40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-7,076,</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621.29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-35,235,</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047.69</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703,96</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0,660.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2,902,7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10,165.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48,480,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839.94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647,085</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,150.91</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171,585</w:t>
            </w:r>
          </w:p>
          <w:p>
            <w:pPr>
              <w:pStyle w:val="TableParagraph"/>
              <w:spacing w:line="240" w:lineRule="auto" w:before="106"/>
              <w:ind w:left="79" w:right="0"/>
              <w:jc w:val="left"/>
              <w:rPr>
                <w:rFonts w:ascii="Times New Roman" w:hAnsi="Times New Roman" w:cs="Times New Roman" w:eastAsia="Times New Roman" w:hint="default"/>
                <w:sz w:val="18"/>
                <w:szCs w:val="18"/>
              </w:rPr>
            </w:pPr>
            <w:r>
              <w:rPr>
                <w:rFonts w:ascii="Times New Roman"/>
                <w:sz w:val="18"/>
              </w:rPr>
              <w:t>,084.92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4,473,8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21,901.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58</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0"/>
        <w:jc w:val="left"/>
        <w:rPr>
          <w:b w:val="0"/>
          <w:bCs w:val="0"/>
        </w:rPr>
      </w:pPr>
      <w:bookmarkStart w:name="8、母公司所有者权益变动表" w:id="169"/>
      <w:bookmarkEnd w:id="169"/>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t>本期金额</w:t>
      </w:r>
    </w:p>
    <w:p>
      <w:pPr>
        <w:pStyle w:val="BodyText"/>
        <w:spacing w:line="240" w:lineRule="auto" w:before="117"/>
        <w:ind w:left="7524"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97"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42"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2" w:hRule="exact"/>
        </w:trPr>
        <w:tc>
          <w:tcPr>
            <w:tcW w:w="1442"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703,960,</w:t>
            </w:r>
          </w:p>
          <w:p>
            <w:pPr>
              <w:pStyle w:val="TableParagraph"/>
              <w:spacing w:line="240" w:lineRule="auto" w:before="106"/>
              <w:ind w:left="132" w:right="0"/>
              <w:jc w:val="center"/>
              <w:rPr>
                <w:rFonts w:ascii="Times New Roman" w:hAnsi="Times New Roman" w:cs="Times New Roman" w:eastAsia="Times New Roman" w:hint="default"/>
                <w:sz w:val="18"/>
                <w:szCs w:val="18"/>
              </w:rPr>
            </w:pPr>
            <w:r>
              <w:rPr>
                <w:rFonts w:ascii="Times New Roman"/>
                <w:sz w:val="18"/>
              </w:rPr>
              <w:t>660.00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2,896,291</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,436.64</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47,002,72</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9.69</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9"/>
              <w:ind w:left="58" w:right="0"/>
              <w:jc w:val="left"/>
              <w:rPr>
                <w:rFonts w:ascii="Times New Roman" w:hAnsi="Times New Roman" w:cs="Times New Roman" w:eastAsia="Times New Roman" w:hint="default"/>
                <w:sz w:val="18"/>
                <w:szCs w:val="18"/>
              </w:rPr>
            </w:pPr>
            <w:r>
              <w:rPr>
                <w:rFonts w:ascii="Times New Roman"/>
                <w:sz w:val="18"/>
              </w:rPr>
              <w:t>213,415</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,182.72</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9"/>
              <w:ind w:left="4" w:right="0"/>
              <w:jc w:val="center"/>
              <w:rPr>
                <w:rFonts w:ascii="Times New Roman" w:hAnsi="Times New Roman" w:cs="Times New Roman" w:eastAsia="Times New Roman" w:hint="default"/>
                <w:sz w:val="18"/>
                <w:szCs w:val="18"/>
              </w:rPr>
            </w:pPr>
            <w:r>
              <w:rPr>
                <w:rFonts w:ascii="Times New Roman"/>
                <w:sz w:val="18"/>
              </w:rPr>
              <w:t>3,860,670</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,009.05</w:t>
            </w:r>
          </w:p>
        </w:tc>
      </w:tr>
      <w:tr>
        <w:trPr>
          <w:trHeight w:val="392"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8"/>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703,960,</w:t>
            </w:r>
          </w:p>
          <w:p>
            <w:pPr>
              <w:pStyle w:val="TableParagraph"/>
              <w:spacing w:line="240" w:lineRule="auto" w:before="106"/>
              <w:ind w:left="132" w:right="0"/>
              <w:jc w:val="center"/>
              <w:rPr>
                <w:rFonts w:ascii="Times New Roman" w:hAnsi="Times New Roman" w:cs="Times New Roman" w:eastAsia="Times New Roman" w:hint="default"/>
                <w:sz w:val="18"/>
                <w:szCs w:val="18"/>
              </w:rPr>
            </w:pPr>
            <w:r>
              <w:rPr>
                <w:rFonts w:ascii="Times New Roman"/>
                <w:sz w:val="18"/>
              </w:rPr>
              <w:t>660.00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2,896,291</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,436.64</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47,002,72</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9.69</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213,415</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,182.72</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3,860,670</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,009.05</w:t>
            </w:r>
          </w:p>
        </w:tc>
      </w:tr>
      <w:tr>
        <w:trPr>
          <w:trHeight w:val="392"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-12,454,</w:t>
            </w:r>
          </w:p>
          <w:p>
            <w:pPr>
              <w:pStyle w:val="TableParagraph"/>
              <w:spacing w:line="240" w:lineRule="auto" w:before="106"/>
              <w:ind w:left="128" w:right="0"/>
              <w:jc w:val="center"/>
              <w:rPr>
                <w:rFonts w:ascii="Times New Roman" w:hAnsi="Times New Roman" w:cs="Times New Roman" w:eastAsia="Times New Roman" w:hint="default"/>
                <w:sz w:val="18"/>
                <w:szCs w:val="18"/>
              </w:rPr>
            </w:pPr>
            <w:r>
              <w:rPr>
                <w:rFonts w:ascii="Times New Roman"/>
                <w:sz w:val="18"/>
              </w:rPr>
              <w:t>745.00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-77,572,5</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91.01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150,033,6</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37.57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4,035,411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.75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1,123,6</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84.17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-234,901,</w:t>
            </w:r>
          </w:p>
          <w:p>
            <w:pPr>
              <w:pStyle w:val="TableParagraph"/>
              <w:spacing w:line="240" w:lineRule="auto" w:before="106"/>
              <w:ind w:left="230" w:right="0"/>
              <w:jc w:val="center"/>
              <w:rPr>
                <w:rFonts w:ascii="Times New Roman" w:hAnsi="Times New Roman" w:cs="Times New Roman" w:eastAsia="Times New Roman" w:hint="default"/>
                <w:sz w:val="18"/>
                <w:szCs w:val="18"/>
              </w:rPr>
            </w:pPr>
            <w:r>
              <w:rPr>
                <w:rFonts w:ascii="Times New Roman"/>
                <w:sz w:val="18"/>
              </w:rPr>
              <w:t>877.66</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40,354,</w:t>
            </w:r>
          </w:p>
          <w:p>
            <w:pPr>
              <w:pStyle w:val="TableParagraph"/>
              <w:spacing w:line="240" w:lineRule="auto" w:before="106"/>
              <w:ind w:left="154" w:right="0"/>
              <w:jc w:val="left"/>
              <w:rPr>
                <w:rFonts w:ascii="Times New Roman" w:hAnsi="Times New Roman" w:cs="Times New Roman" w:eastAsia="Times New Roman" w:hint="default"/>
                <w:sz w:val="18"/>
                <w:szCs w:val="18"/>
              </w:rPr>
            </w:pPr>
            <w:r>
              <w:rPr>
                <w:rFonts w:ascii="Times New Roman"/>
                <w:sz w:val="18"/>
              </w:rPr>
              <w:t>117.48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40,354,11</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7.48</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-12,454,</w:t>
            </w:r>
          </w:p>
          <w:p>
            <w:pPr>
              <w:pStyle w:val="TableParagraph"/>
              <w:spacing w:line="240" w:lineRule="auto" w:before="106"/>
              <w:ind w:left="128" w:right="0"/>
              <w:jc w:val="center"/>
              <w:rPr>
                <w:rFonts w:ascii="Times New Roman" w:hAnsi="Times New Roman" w:cs="Times New Roman" w:eastAsia="Times New Roman" w:hint="default"/>
                <w:sz w:val="18"/>
                <w:szCs w:val="18"/>
              </w:rPr>
            </w:pPr>
            <w:r>
              <w:rPr>
                <w:rFonts w:ascii="Times New Roman"/>
                <w:sz w:val="18"/>
              </w:rPr>
              <w:t>745.00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-77,572,5</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91.01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150,033,6</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37.57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center"/>
              <w:rPr>
                <w:rFonts w:ascii="Times New Roman" w:hAnsi="Times New Roman" w:cs="Times New Roman" w:eastAsia="Times New Roman" w:hint="default"/>
                <w:sz w:val="18"/>
                <w:szCs w:val="18"/>
              </w:rPr>
            </w:pPr>
            <w:r>
              <w:rPr>
                <w:rFonts w:ascii="Times New Roman"/>
                <w:sz w:val="18"/>
              </w:rPr>
              <w:t>-240,060,</w:t>
            </w:r>
          </w:p>
          <w:p>
            <w:pPr>
              <w:pStyle w:val="TableParagraph"/>
              <w:spacing w:line="240" w:lineRule="auto" w:before="106"/>
              <w:ind w:left="230" w:right="0"/>
              <w:jc w:val="center"/>
              <w:rPr>
                <w:rFonts w:ascii="Times New Roman" w:hAnsi="Times New Roman" w:cs="Times New Roman" w:eastAsia="Times New Roman" w:hint="default"/>
                <w:sz w:val="18"/>
                <w:szCs w:val="18"/>
              </w:rPr>
            </w:pPr>
            <w:r>
              <w:rPr>
                <w:rFonts w:ascii="Times New Roman"/>
                <w:sz w:val="18"/>
              </w:rPr>
              <w:t>973.58</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-12,454,</w:t>
            </w:r>
          </w:p>
          <w:p>
            <w:pPr>
              <w:pStyle w:val="TableParagraph"/>
              <w:spacing w:line="240" w:lineRule="auto" w:before="106"/>
              <w:ind w:left="128" w:right="0"/>
              <w:jc w:val="center"/>
              <w:rPr>
                <w:rFonts w:ascii="Times New Roman" w:hAnsi="Times New Roman" w:cs="Times New Roman" w:eastAsia="Times New Roman" w:hint="default"/>
                <w:sz w:val="18"/>
                <w:szCs w:val="18"/>
              </w:rPr>
            </w:pPr>
            <w:r>
              <w:rPr>
                <w:rFonts w:ascii="Times New Roman"/>
                <w:sz w:val="18"/>
              </w:rPr>
              <w:t>745.00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-77,572,5</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91.01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150,033,6</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37.57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center"/>
              <w:rPr>
                <w:rFonts w:ascii="Times New Roman" w:hAnsi="Times New Roman" w:cs="Times New Roman" w:eastAsia="Times New Roman" w:hint="default"/>
                <w:sz w:val="18"/>
                <w:szCs w:val="18"/>
              </w:rPr>
            </w:pPr>
            <w:r>
              <w:rPr>
                <w:rFonts w:ascii="Times New Roman"/>
                <w:sz w:val="18"/>
              </w:rPr>
              <w:t>-240,060,</w:t>
            </w:r>
          </w:p>
          <w:p>
            <w:pPr>
              <w:pStyle w:val="TableParagraph"/>
              <w:spacing w:line="240" w:lineRule="auto" w:before="106"/>
              <w:ind w:left="230" w:right="0"/>
              <w:jc w:val="center"/>
              <w:rPr>
                <w:rFonts w:ascii="Times New Roman" w:hAnsi="Times New Roman" w:cs="Times New Roman" w:eastAsia="Times New Roman" w:hint="default"/>
                <w:sz w:val="18"/>
                <w:szCs w:val="18"/>
              </w:rPr>
            </w:pPr>
            <w:r>
              <w:rPr>
                <w:rFonts w:ascii="Times New Roman"/>
                <w:sz w:val="18"/>
              </w:rPr>
              <w:t>973.58</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4,035,411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.75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-39,230,</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433.31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-35,195,0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21.56</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4,035,411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.75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-4,035,4</w:t>
            </w:r>
          </w:p>
          <w:p>
            <w:pPr>
              <w:pStyle w:val="TableParagraph"/>
              <w:spacing w:line="240" w:lineRule="auto" w:before="106"/>
              <w:ind w:left="244" w:right="0"/>
              <w:jc w:val="left"/>
              <w:rPr>
                <w:rFonts w:ascii="Times New Roman" w:hAnsi="Times New Roman" w:cs="Times New Roman" w:eastAsia="Times New Roman" w:hint="default"/>
                <w:sz w:val="18"/>
                <w:szCs w:val="18"/>
              </w:rPr>
            </w:pPr>
            <w:r>
              <w:rPr>
                <w:rFonts w:ascii="Times New Roman"/>
                <w:sz w:val="18"/>
              </w:rPr>
              <w:t>11.75</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-35,195,</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021.56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-35,195,0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21.56</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691,505,</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915.00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2,818,718</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,845.63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150,033,6</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37.57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51,038,14</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1.44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214,538</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,866.89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3,625,768</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,131.39</w:t>
            </w:r>
          </w:p>
        </w:tc>
      </w:tr>
    </w:tbl>
    <w:p>
      <w:pPr>
        <w:pStyle w:val="BodyText"/>
        <w:spacing w:line="240" w:lineRule="auto" w:before="51"/>
        <w:ind w:right="0"/>
        <w:jc w:val="left"/>
      </w:pPr>
      <w:r>
        <w:rPr/>
        <w:t>上期金额</w:t>
      </w:r>
    </w:p>
    <w:p>
      <w:pPr>
        <w:pStyle w:val="BodyText"/>
        <w:spacing w:line="240" w:lineRule="auto" w:before="117"/>
        <w:ind w:left="7524" w:right="113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4"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9"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703,960,</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660.00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22" w:right="0"/>
              <w:jc w:val="center"/>
              <w:rPr>
                <w:rFonts w:ascii="Times New Roman" w:hAnsi="Times New Roman" w:cs="Times New Roman" w:eastAsia="Times New Roman" w:hint="default"/>
                <w:sz w:val="18"/>
                <w:szCs w:val="18"/>
              </w:rPr>
            </w:pPr>
            <w:r>
              <w:rPr>
                <w:rFonts w:ascii="Times New Roman"/>
                <w:sz w:val="18"/>
              </w:rPr>
              <w:t>2,896,291</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,436.64</w:t>
            </w: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45,207,41</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9.08</w:t>
            </w:r>
          </w:p>
        </w:tc>
        <w:tc>
          <w:tcPr>
            <w:tcW w:w="676" w:type="dxa"/>
            <w:vMerge w:val="restart"/>
            <w:tcBorders>
              <w:top w:val="single" w:sz="18" w:space="0" w:color="D2D2D2"/>
              <w:left w:val="single" w:sz="4" w:space="0" w:color="000000"/>
              <w:right w:val="single" w:sz="4" w:space="0" w:color="000000"/>
            </w:tcBorders>
          </w:tcPr>
          <w:p>
            <w:pPr>
              <w:pStyle w:val="TableParagraph"/>
              <w:spacing w:line="240" w:lineRule="auto" w:before="75"/>
              <w:ind w:left="58" w:right="0"/>
              <w:jc w:val="left"/>
              <w:rPr>
                <w:rFonts w:ascii="Times New Roman" w:hAnsi="Times New Roman" w:cs="Times New Roman" w:eastAsia="Times New Roman" w:hint="default"/>
                <w:sz w:val="18"/>
                <w:szCs w:val="18"/>
              </w:rPr>
            </w:pPr>
            <w:r>
              <w:rPr>
                <w:rFonts w:ascii="Times New Roman"/>
                <w:sz w:val="18"/>
              </w:rPr>
              <w:t>225,415</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,813.66</w:t>
            </w:r>
          </w:p>
        </w:tc>
        <w:tc>
          <w:tcPr>
            <w:tcW w:w="781" w:type="dxa"/>
            <w:vMerge w:val="restart"/>
            <w:tcBorders>
              <w:top w:val="single" w:sz="18" w:space="0" w:color="D2D2D2"/>
              <w:left w:val="single" w:sz="4" w:space="0" w:color="000000"/>
              <w:right w:val="single" w:sz="4" w:space="0" w:color="000000"/>
            </w:tcBorders>
          </w:tcPr>
          <w:p>
            <w:pPr>
              <w:pStyle w:val="TableParagraph"/>
              <w:spacing w:line="240" w:lineRule="auto" w:before="75"/>
              <w:ind w:left="4" w:right="0"/>
              <w:jc w:val="center"/>
              <w:rPr>
                <w:rFonts w:ascii="Times New Roman" w:hAnsi="Times New Roman" w:cs="Times New Roman" w:eastAsia="Times New Roman" w:hint="default"/>
                <w:sz w:val="18"/>
                <w:szCs w:val="18"/>
              </w:rPr>
            </w:pPr>
            <w:r>
              <w:rPr>
                <w:rFonts w:ascii="Times New Roman"/>
                <w:sz w:val="18"/>
              </w:rPr>
              <w:t>3,870,875</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,329.38</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703,960,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660.00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2,896,291</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,436.64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45,207,41</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9.08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225,415</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,813.66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3,870,875</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,329.38</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1,795,310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.61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-12,000,</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630.94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-10,205,3</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20.33</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17,953,</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106.07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17,953,10</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6.07</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1,795,310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.61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-29,953,</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737.01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-28,158,4</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26.40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1,795,310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.61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-1,795,3</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10.61</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-28,158,</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426.40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-28,158,4</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26.40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703,960,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660.00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2,896,291</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,436.64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47,002,72</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9.69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213,415</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,182.72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3,860,670</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,009.05</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right="0"/>
        <w:jc w:val="left"/>
        <w:rPr>
          <w:b w:val="0"/>
          <w:bCs w:val="0"/>
        </w:rPr>
      </w:pPr>
      <w:bookmarkStart w:name="三、公司基本情况" w:id="170"/>
      <w:bookmarkEnd w:id="170"/>
      <w:r>
        <w:rPr>
          <w:b w:val="0"/>
          <w:bCs w:val="0"/>
        </w:rPr>
      </w:r>
      <w:r>
        <w:rPr/>
        <w:t>三、公司基本情况</w:t>
      </w:r>
      <w:r>
        <w:rPr>
          <w:b w:val="0"/>
          <w:bCs w:val="0"/>
        </w:rPr>
      </w:r>
    </w:p>
    <w:p>
      <w:pPr>
        <w:spacing w:line="240" w:lineRule="auto" w:before="6"/>
        <w:rPr>
          <w:rFonts w:ascii="宋体" w:hAnsi="宋体" w:cs="宋体" w:eastAsia="宋体" w:hint="default"/>
          <w:b/>
          <w:bCs/>
          <w:sz w:val="26"/>
          <w:szCs w:val="26"/>
        </w:rPr>
      </w:pPr>
    </w:p>
    <w:p>
      <w:pPr>
        <w:spacing w:line="316" w:lineRule="auto" w:before="0"/>
        <w:ind w:left="874" w:right="1124" w:hanging="3"/>
        <w:jc w:val="left"/>
        <w:rPr>
          <w:rFonts w:ascii="宋体" w:hAnsi="宋体" w:cs="宋体" w:eastAsia="宋体" w:hint="default"/>
          <w:sz w:val="18"/>
          <w:szCs w:val="18"/>
        </w:rPr>
      </w:pPr>
      <w:r>
        <w:rPr>
          <w:rFonts w:ascii="宋体" w:hAnsi="宋体" w:cs="宋体" w:eastAsia="宋体" w:hint="default"/>
          <w:b/>
          <w:bCs/>
          <w:sz w:val="18"/>
          <w:szCs w:val="18"/>
        </w:rPr>
        <w:t>（一）公司注册地、组织形式和总部地址</w:t>
      </w:r>
      <w:r>
        <w:rPr>
          <w:rFonts w:ascii="宋体" w:hAnsi="宋体" w:cs="宋体" w:eastAsia="宋体" w:hint="default"/>
          <w:b/>
          <w:bCs/>
          <w:w w:val="99"/>
          <w:sz w:val="18"/>
          <w:szCs w:val="18"/>
        </w:rPr>
        <w:t> </w:t>
      </w:r>
      <w:r>
        <w:rPr>
          <w:rFonts w:ascii="宋体" w:hAnsi="宋体" w:cs="宋体" w:eastAsia="宋体" w:hint="default"/>
          <w:spacing w:val="-1"/>
          <w:sz w:val="18"/>
          <w:szCs w:val="18"/>
        </w:rPr>
        <w:t>安徽中电兴发与鑫龙科技股份有限公司（原名：安徽鑫龙电器股份有限公司，以下简称</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公司</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或</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本公司</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）成立于</w:t>
      </w:r>
    </w:p>
    <w:p>
      <w:pPr>
        <w:pStyle w:val="BodyText"/>
        <w:spacing w:line="248" w:lineRule="exact" w:before="0"/>
        <w:ind w:left="514" w:right="0"/>
        <w:jc w:val="left"/>
      </w:pPr>
      <w:r>
        <w:rPr>
          <w:rFonts w:ascii="Times New Roman" w:hAnsi="Times New Roman" w:cs="Times New Roman" w:eastAsia="Times New Roman" w:hint="default"/>
        </w:rPr>
        <w:t>1998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日，经安徽省工商行政管理局核准登记注册，企业法人营业执照的统一社会信用代码为：</w:t>
      </w:r>
    </w:p>
    <w:p>
      <w:pPr>
        <w:pStyle w:val="BodyText"/>
        <w:spacing w:line="240" w:lineRule="auto" w:before="63"/>
        <w:ind w:left="514" w:right="0"/>
        <w:jc w:val="left"/>
        <w:rPr>
          <w:rFonts w:ascii="Times New Roman" w:hAnsi="Times New Roman" w:cs="Times New Roman" w:eastAsia="Times New Roman" w:hint="default"/>
        </w:rPr>
      </w:pPr>
      <w:r>
        <w:rPr>
          <w:rFonts w:ascii="Times New Roman" w:hAnsi="Times New Roman" w:cs="Times New Roman" w:eastAsia="Times New Roman" w:hint="default"/>
        </w:rPr>
        <w:t>91340200149661982L</w:t>
      </w:r>
      <w:r>
        <w:rPr/>
        <w:t>，注册资本</w:t>
      </w:r>
      <w:r>
        <w:rPr>
          <w:rFonts w:ascii="Times New Roman" w:hAnsi="Times New Roman" w:cs="Times New Roman" w:eastAsia="Times New Roman" w:hint="default"/>
        </w:rPr>
        <w:t>70,396.066</w:t>
      </w:r>
      <w:r>
        <w:rPr/>
        <w:t>万元，注册地址：安徽省芜湖市经济技术开发区电器部件园（九华北路</w:t>
      </w:r>
      <w:r>
        <w:rPr>
          <w:rFonts w:ascii="Times New Roman" w:hAnsi="Times New Roman" w:cs="Times New Roman" w:eastAsia="Times New Roman" w:hint="default"/>
        </w:rPr>
        <w:t>118</w:t>
      </w:r>
    </w:p>
    <w:p>
      <w:pPr>
        <w:pStyle w:val="BodyText"/>
        <w:spacing w:line="240" w:lineRule="auto" w:before="63"/>
        <w:ind w:left="514" w:right="0"/>
        <w:jc w:val="left"/>
      </w:pPr>
      <w:r>
        <w:rPr/>
        <w:t>号），法定代表人：束龙胜。</w:t>
      </w:r>
    </w:p>
    <w:p>
      <w:pPr>
        <w:pStyle w:val="BodyText"/>
        <w:spacing w:line="300" w:lineRule="auto" w:before="76"/>
        <w:ind w:left="514" w:right="0" w:firstLine="360"/>
        <w:jc w:val="left"/>
      </w:pPr>
      <w:r>
        <w:rPr/>
        <w:t>根据本公司</w:t>
      </w:r>
      <w:r>
        <w:rPr>
          <w:rFonts w:ascii="Times New Roman" w:hAnsi="Times New Roman" w:cs="Times New Roman" w:eastAsia="Times New Roman" w:hint="default"/>
        </w:rPr>
        <w:t>2008</w:t>
      </w:r>
      <w:r>
        <w:rPr/>
        <w:t>年第一次临时股东大会决议及中国证券监督管理委员会证监许可</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rFonts w:ascii="Times New Roman" w:hAnsi="Times New Roman" w:cs="Times New Roman" w:eastAsia="Times New Roman" w:hint="default"/>
        </w:rPr>
        <w:t>929</w:t>
      </w:r>
      <w:r>
        <w:rPr/>
        <w:t>号文</w:t>
      </w:r>
      <w:r>
        <w:rPr>
          <w:rFonts w:ascii="Times New Roman" w:hAnsi="Times New Roman" w:cs="Times New Roman" w:eastAsia="Times New Roman" w:hint="default"/>
        </w:rPr>
        <w:t>“</w:t>
      </w:r>
      <w:r>
        <w:rPr/>
        <w:t>关于核准安徽鑫 </w:t>
      </w:r>
      <w:r>
        <w:rPr>
          <w:spacing w:val="-2"/>
        </w:rPr>
        <w:t>龙电器股份有限公司首次公开发行股票的批复</w:t>
      </w:r>
      <w:r>
        <w:rPr>
          <w:rFonts w:ascii="Times New Roman" w:hAnsi="Times New Roman" w:cs="Times New Roman" w:eastAsia="Times New Roman" w:hint="default"/>
          <w:spacing w:val="-2"/>
        </w:rPr>
        <w:t>”</w:t>
      </w:r>
      <w:r>
        <w:rPr>
          <w:spacing w:val="-2"/>
        </w:rPr>
        <w:t>，本公司分别于</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18</w:t>
      </w:r>
      <w:r>
        <w:rPr>
          <w:spacing w:val="-2"/>
        </w:rPr>
        <w:t>日采用网下配售方式向询价对象公开发行人</w:t>
      </w:r>
      <w:r>
        <w:rPr>
          <w:spacing w:val="-50"/>
        </w:rPr>
        <w:t> </w:t>
      </w:r>
      <w:r>
        <w:rPr>
          <w:spacing w:val="-1"/>
        </w:rPr>
        <w:t>民币普通股（</w:t>
      </w:r>
      <w:r>
        <w:rPr>
          <w:rFonts w:ascii="Times New Roman" w:hAnsi="Times New Roman" w:cs="Times New Roman" w:eastAsia="Times New Roman" w:hint="default"/>
          <w:spacing w:val="-1"/>
        </w:rPr>
        <w:t>A</w:t>
      </w:r>
      <w:r>
        <w:rPr>
          <w:spacing w:val="-1"/>
        </w:rPr>
        <w:t>股）</w:t>
      </w:r>
      <w:r>
        <w:rPr>
          <w:rFonts w:ascii="Times New Roman" w:hAnsi="Times New Roman" w:cs="Times New Roman" w:eastAsia="Times New Roman" w:hint="default"/>
          <w:spacing w:val="-1"/>
        </w:rPr>
        <w:t>560</w:t>
      </w:r>
      <w:r>
        <w:rPr>
          <w:spacing w:val="-1"/>
        </w:rPr>
        <w:t>万股，</w:t>
      </w: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18</w:t>
      </w:r>
      <w:r>
        <w:rPr>
          <w:spacing w:val="-1"/>
        </w:rPr>
        <w:t>日采用网上定价方式公开发行人民币普通股（</w:t>
      </w:r>
      <w:r>
        <w:rPr>
          <w:rFonts w:ascii="Times New Roman" w:hAnsi="Times New Roman" w:cs="Times New Roman" w:eastAsia="Times New Roman" w:hint="default"/>
          <w:spacing w:val="-1"/>
        </w:rPr>
        <w:t>A</w:t>
      </w:r>
      <w:r>
        <w:rPr>
          <w:spacing w:val="-1"/>
        </w:rPr>
        <w:t>股）</w:t>
      </w:r>
      <w:r>
        <w:rPr>
          <w:rFonts w:ascii="Times New Roman" w:hAnsi="Times New Roman" w:cs="Times New Roman" w:eastAsia="Times New Roman" w:hint="default"/>
          <w:spacing w:val="-1"/>
        </w:rPr>
        <w:t>2,240</w:t>
      </w:r>
      <w:r>
        <w:rPr>
          <w:spacing w:val="-1"/>
        </w:rPr>
        <w:t>万股，共计公开发</w:t>
      </w:r>
      <w:r>
        <w:rPr>
          <w:spacing w:val="-62"/>
        </w:rPr>
        <w:t> </w:t>
      </w:r>
      <w:r>
        <w:rPr>
          <w:spacing w:val="-62"/>
        </w:rPr>
      </w:r>
      <w:r>
        <w:rPr>
          <w:spacing w:val="-1"/>
        </w:rPr>
        <w:t>行人民币普通股（</w:t>
      </w:r>
      <w:r>
        <w:rPr>
          <w:rFonts w:ascii="Times New Roman" w:hAnsi="Times New Roman" w:cs="Times New Roman" w:eastAsia="Times New Roman" w:hint="default"/>
          <w:spacing w:val="-1"/>
        </w:rPr>
        <w:t>A</w:t>
      </w:r>
      <w:r>
        <w:rPr>
          <w:spacing w:val="-1"/>
        </w:rPr>
        <w:t>股）</w:t>
      </w:r>
      <w:r>
        <w:rPr>
          <w:rFonts w:ascii="Times New Roman" w:hAnsi="Times New Roman" w:cs="Times New Roman" w:eastAsia="Times New Roman" w:hint="default"/>
          <w:spacing w:val="-1"/>
        </w:rPr>
        <w:t>2,800</w:t>
      </w:r>
      <w:r>
        <w:rPr>
          <w:spacing w:val="-1"/>
        </w:rPr>
        <w:t>万股，每股发行价格为</w:t>
      </w:r>
      <w:r>
        <w:rPr>
          <w:rFonts w:ascii="Times New Roman" w:hAnsi="Times New Roman" w:cs="Times New Roman" w:eastAsia="Times New Roman" w:hint="default"/>
          <w:spacing w:val="-1"/>
        </w:rPr>
        <w:t>9.50</w:t>
      </w:r>
      <w:r>
        <w:rPr>
          <w:spacing w:val="-1"/>
        </w:rPr>
        <w:t>元。公司发行后社会公众股为</w:t>
      </w:r>
      <w:r>
        <w:rPr>
          <w:rFonts w:ascii="Times New Roman" w:hAnsi="Times New Roman" w:cs="Times New Roman" w:eastAsia="Times New Roman" w:hint="default"/>
          <w:spacing w:val="-1"/>
        </w:rPr>
        <w:t>2800</w:t>
      </w:r>
      <w:r>
        <w:rPr>
          <w:spacing w:val="-1"/>
        </w:rPr>
        <w:t>万股，出资方式全部为货币</w:t>
      </w:r>
      <w:r>
        <w:rPr>
          <w:spacing w:val="-66"/>
        </w:rPr>
        <w:t> </w:t>
      </w:r>
      <w:r>
        <w:rPr>
          <w:spacing w:val="-66"/>
        </w:rPr>
      </w:r>
      <w:r>
        <w:rPr/>
        <w:t>资金。本次发行后本公司的注册资本为</w:t>
      </w:r>
      <w:r>
        <w:rPr>
          <w:rFonts w:ascii="Times New Roman" w:hAnsi="Times New Roman" w:cs="Times New Roman" w:eastAsia="Times New Roman" w:hint="default"/>
        </w:rPr>
        <w:t>11,000</w:t>
      </w:r>
      <w:r>
        <w:rPr/>
        <w:t>万元。</w:t>
      </w:r>
    </w:p>
    <w:p>
      <w:pPr>
        <w:pStyle w:val="BodyText"/>
        <w:spacing w:line="300" w:lineRule="auto" w:before="13"/>
        <w:ind w:left="514" w:right="0" w:firstLine="362"/>
        <w:jc w:val="left"/>
      </w:pPr>
      <w:r>
        <w:rPr>
          <w:spacing w:val="-3"/>
        </w:rPr>
        <w:t>根据本公司</w:t>
      </w:r>
      <w:r>
        <w:rPr>
          <w:rFonts w:ascii="Times New Roman" w:hAnsi="Times New Roman" w:cs="Times New Roman" w:eastAsia="Times New Roman" w:hint="default"/>
          <w:spacing w:val="-3"/>
        </w:rPr>
        <w:t>2009</w:t>
      </w:r>
      <w:r>
        <w:rPr>
          <w:spacing w:val="-3"/>
        </w:rPr>
        <w:t>年度股东大会审议通过的《关于公司</w:t>
      </w:r>
      <w:r>
        <w:rPr>
          <w:rFonts w:ascii="Times New Roman" w:hAnsi="Times New Roman" w:cs="Times New Roman" w:eastAsia="Times New Roman" w:hint="default"/>
          <w:spacing w:val="-3"/>
        </w:rPr>
        <w:t>2009</w:t>
      </w:r>
      <w:r>
        <w:rPr>
          <w:spacing w:val="-3"/>
        </w:rPr>
        <w:t>年度利润分配的预案》，以</w:t>
      </w:r>
      <w:r>
        <w:rPr>
          <w:rFonts w:ascii="Times New Roman" w:hAnsi="Times New Roman" w:cs="Times New Roman" w:eastAsia="Times New Roman" w:hint="default"/>
          <w:spacing w:val="-3"/>
        </w:rPr>
        <w:t>2009</w:t>
      </w:r>
      <w:r>
        <w:rPr>
          <w:spacing w:val="-3"/>
        </w:rPr>
        <w:t>年末</w:t>
      </w:r>
      <w:r>
        <w:rPr>
          <w:rFonts w:ascii="Times New Roman" w:hAnsi="Times New Roman" w:cs="Times New Roman" w:eastAsia="Times New Roman" w:hint="default"/>
          <w:spacing w:val="-3"/>
        </w:rPr>
        <w:t>11,000</w:t>
      </w:r>
      <w:r>
        <w:rPr>
          <w:spacing w:val="-3"/>
        </w:rPr>
        <w:t>万股本为基数，</w:t>
      </w:r>
      <w:r>
        <w:rPr/>
        <w:t> </w:t>
      </w:r>
      <w:r>
        <w:rPr>
          <w:spacing w:val="-2"/>
        </w:rPr>
        <w:t>以资本公积向全体股东每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5</w:t>
      </w:r>
      <w:r>
        <w:rPr>
          <w:spacing w:val="-2"/>
        </w:rPr>
        <w:t>股的利润分配方案，公司总股本由</w:t>
      </w:r>
      <w:r>
        <w:rPr>
          <w:rFonts w:ascii="Times New Roman" w:hAnsi="Times New Roman" w:cs="Times New Roman" w:eastAsia="Times New Roman" w:hint="default"/>
          <w:spacing w:val="-2"/>
        </w:rPr>
        <w:t>11,000</w:t>
      </w:r>
      <w:r>
        <w:rPr>
          <w:spacing w:val="-2"/>
        </w:rPr>
        <w:t>万股增加到</w:t>
      </w:r>
      <w:r>
        <w:rPr>
          <w:rFonts w:ascii="Times New Roman" w:hAnsi="Times New Roman" w:cs="Times New Roman" w:eastAsia="Times New Roman" w:hint="default"/>
          <w:spacing w:val="-2"/>
        </w:rPr>
        <w:t>16,500</w:t>
      </w:r>
      <w:r>
        <w:rPr>
          <w:spacing w:val="-2"/>
        </w:rPr>
        <w:t>万股。本次资本公积转增</w:t>
      </w:r>
      <w:r>
        <w:rPr>
          <w:spacing w:val="-56"/>
        </w:rPr>
        <w:t> </w:t>
      </w:r>
      <w:r>
        <w:rPr>
          <w:spacing w:val="-56"/>
        </w:rPr>
      </w:r>
      <w:r>
        <w:rPr/>
        <w:t>资本后公司的注册资本变更为</w:t>
      </w:r>
      <w:r>
        <w:rPr>
          <w:rFonts w:ascii="Times New Roman" w:hAnsi="Times New Roman" w:cs="Times New Roman" w:eastAsia="Times New Roman" w:hint="default"/>
        </w:rPr>
        <w:t>16,500</w:t>
      </w:r>
      <w:r>
        <w:rPr/>
        <w:t>万元。</w:t>
      </w:r>
    </w:p>
    <w:p>
      <w:pPr>
        <w:pStyle w:val="BodyText"/>
        <w:spacing w:line="300" w:lineRule="auto" w:before="13"/>
        <w:ind w:left="514" w:right="0" w:firstLine="364"/>
        <w:jc w:val="left"/>
      </w:pPr>
      <w:r>
        <w:rPr>
          <w:spacing w:val="-3"/>
        </w:rPr>
        <w:t>根据本公司</w:t>
      </w:r>
      <w:r>
        <w:rPr>
          <w:rFonts w:ascii="Times New Roman" w:hAnsi="Times New Roman" w:cs="Times New Roman" w:eastAsia="Times New Roman" w:hint="default"/>
          <w:spacing w:val="-3"/>
        </w:rPr>
        <w:t>2011</w:t>
      </w:r>
      <w:r>
        <w:rPr>
          <w:spacing w:val="-3"/>
        </w:rPr>
        <w:t>年度股东大会审议通过的《关于公司</w:t>
      </w:r>
      <w:r>
        <w:rPr>
          <w:rFonts w:ascii="Times New Roman" w:hAnsi="Times New Roman" w:cs="Times New Roman" w:eastAsia="Times New Roman" w:hint="default"/>
          <w:spacing w:val="-3"/>
        </w:rPr>
        <w:t>2011</w:t>
      </w:r>
      <w:r>
        <w:rPr>
          <w:spacing w:val="-3"/>
        </w:rPr>
        <w:t>年度利润分配的预案》，以</w:t>
      </w:r>
      <w:r>
        <w:rPr>
          <w:rFonts w:ascii="Times New Roman" w:hAnsi="Times New Roman" w:cs="Times New Roman" w:eastAsia="Times New Roman" w:hint="default"/>
          <w:spacing w:val="-3"/>
        </w:rPr>
        <w:t>2011</w:t>
      </w:r>
      <w:r>
        <w:rPr>
          <w:spacing w:val="-3"/>
        </w:rPr>
        <w:t>年末</w:t>
      </w:r>
      <w:r>
        <w:rPr>
          <w:rFonts w:ascii="Times New Roman" w:hAnsi="Times New Roman" w:cs="Times New Roman" w:eastAsia="Times New Roman" w:hint="default"/>
          <w:spacing w:val="-3"/>
        </w:rPr>
        <w:t>16,500</w:t>
      </w:r>
      <w:r>
        <w:rPr>
          <w:spacing w:val="-3"/>
        </w:rPr>
        <w:t>万股本为基数，</w:t>
      </w:r>
      <w:r>
        <w:rPr/>
        <w:t> 公司按每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股的比例，以资本公积、未分配利润向全体股东转增股份总额</w:t>
      </w:r>
      <w:r>
        <w:rPr>
          <w:rFonts w:ascii="Times New Roman" w:hAnsi="Times New Roman" w:cs="Times New Roman" w:eastAsia="Times New Roman" w:hint="default"/>
        </w:rPr>
        <w:t>16,500</w:t>
      </w:r>
      <w:r>
        <w:rPr/>
        <w:t>万股，其中：由资本公积转增 </w:t>
      </w:r>
      <w:r>
        <w:rPr>
          <w:rFonts w:ascii="Times New Roman" w:hAnsi="Times New Roman" w:cs="Times New Roman" w:eastAsia="Times New Roman" w:hint="default"/>
        </w:rPr>
        <w:t>13,200</w:t>
      </w:r>
      <w:r>
        <w:rPr/>
        <w:t>万股，由未分配利润转增</w:t>
      </w:r>
      <w:r>
        <w:rPr>
          <w:rFonts w:ascii="Times New Roman" w:hAnsi="Times New Roman" w:cs="Times New Roman" w:eastAsia="Times New Roman" w:hint="default"/>
        </w:rPr>
        <w:t>3,300</w:t>
      </w:r>
      <w:r>
        <w:rPr/>
        <w:t>万股。本次转增资本后公司的注册资本变更为</w:t>
      </w:r>
      <w:r>
        <w:rPr>
          <w:rFonts w:ascii="Times New Roman" w:hAnsi="Times New Roman" w:cs="Times New Roman" w:eastAsia="Times New Roman" w:hint="default"/>
        </w:rPr>
        <w:t>33,000</w:t>
      </w:r>
      <w:r>
        <w:rPr/>
        <w:t>万元。</w:t>
      </w:r>
    </w:p>
    <w:p>
      <w:pPr>
        <w:pStyle w:val="BodyText"/>
        <w:spacing w:line="300" w:lineRule="auto" w:before="13"/>
        <w:ind w:left="514" w:right="1130" w:firstLine="364"/>
        <w:jc w:val="both"/>
      </w:pPr>
      <w:r>
        <w:rPr>
          <w:spacing w:val="-2"/>
        </w:rPr>
        <w:t>根据公司第五届董事会第十八次会议、</w:t>
      </w:r>
      <w:r>
        <w:rPr>
          <w:rFonts w:ascii="Times New Roman" w:hAnsi="Times New Roman" w:cs="Times New Roman" w:eastAsia="Times New Roman" w:hint="default"/>
          <w:spacing w:val="-2"/>
        </w:rPr>
        <w:t>2011</w:t>
      </w:r>
      <w:r>
        <w:rPr>
          <w:spacing w:val="-2"/>
        </w:rPr>
        <w:t>年第四次临时股东大会的决议和修改后章程的规定，并经中国证券监督</w:t>
      </w:r>
      <w:r>
        <w:rPr/>
        <w:t> </w:t>
      </w:r>
      <w:r>
        <w:rPr>
          <w:spacing w:val="-2"/>
        </w:rPr>
        <w:t>管理委员会证监许可</w:t>
      </w:r>
      <w:r>
        <w:rPr>
          <w:rFonts w:ascii="Times New Roman" w:hAnsi="Times New Roman" w:cs="Times New Roman" w:eastAsia="Times New Roman" w:hint="default"/>
          <w:spacing w:val="-2"/>
        </w:rPr>
        <w:t>[2012]648</w:t>
      </w:r>
      <w:r>
        <w:rPr>
          <w:spacing w:val="-2"/>
        </w:rPr>
        <w:t>号文《关于核准安徽鑫龙电器股份有限公司非公开发行股票的批复》核准，本公司于</w:t>
      </w:r>
      <w:r>
        <w:rPr>
          <w:rFonts w:ascii="Times New Roman" w:hAnsi="Times New Roman" w:cs="Times New Roman" w:eastAsia="Times New Roman" w:hint="default"/>
          <w:spacing w:val="-2"/>
        </w:rPr>
        <w:t>2012</w:t>
      </w:r>
      <w:r>
        <w:rPr>
          <w:rFonts w:ascii="Times New Roman" w:hAnsi="Times New Roman" w:cs="Times New Roman" w:eastAsia="Times New Roman" w:hint="default"/>
          <w:spacing w:val="-42"/>
        </w:rPr>
        <w:t> </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15</w:t>
      </w:r>
      <w:r>
        <w:rPr/>
        <w:t>日向特定对象定价发行人民币普通股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w:t>
      </w:r>
      <w:r>
        <w:rPr>
          <w:rFonts w:ascii="Times New Roman" w:hAnsi="Times New Roman" w:cs="Times New Roman" w:eastAsia="Times New Roman" w:hint="default"/>
          <w:spacing w:val="-3"/>
        </w:rPr>
        <w:t> </w:t>
      </w:r>
      <w:r>
        <w:rPr>
          <w:rFonts w:ascii="Times New Roman" w:hAnsi="Times New Roman" w:cs="Times New Roman" w:eastAsia="Times New Roman" w:hint="default"/>
        </w:rPr>
        <w:t>7,886.90</w:t>
      </w:r>
      <w:r>
        <w:rPr/>
        <w:t>万股，每股发行认购价格为人民币</w:t>
      </w:r>
      <w:r>
        <w:rPr>
          <w:rFonts w:ascii="Times New Roman" w:hAnsi="Times New Roman" w:cs="Times New Roman" w:eastAsia="Times New Roman" w:hint="default"/>
        </w:rPr>
        <w:t>6.72</w:t>
      </w:r>
      <w:r>
        <w:rPr/>
        <w:t>元。经此发行后，注 册资本变更为人民币</w:t>
      </w:r>
      <w:r>
        <w:rPr>
          <w:rFonts w:ascii="Times New Roman" w:hAnsi="Times New Roman" w:cs="Times New Roman" w:eastAsia="Times New Roman" w:hint="default"/>
        </w:rPr>
        <w:t>40,886.90</w:t>
      </w:r>
      <w:r>
        <w:rPr/>
        <w:t>万元。</w:t>
      </w:r>
    </w:p>
    <w:p>
      <w:pPr>
        <w:pStyle w:val="BodyText"/>
        <w:spacing w:line="307" w:lineRule="auto" w:before="13"/>
        <w:ind w:left="514" w:right="1131" w:firstLine="360"/>
        <w:jc w:val="right"/>
      </w:pPr>
      <w:r>
        <w:rPr/>
        <w:t>根据公司</w:t>
      </w:r>
      <w:r>
        <w:rPr>
          <w:spacing w:val="-19"/>
        </w:rPr>
        <w:t> </w:t>
      </w:r>
      <w:r>
        <w:rPr>
          <w:rFonts w:ascii="Times New Roman" w:hAnsi="Times New Roman" w:cs="Times New Roman" w:eastAsia="Times New Roman" w:hint="default"/>
        </w:rPr>
        <w:t>2011</w:t>
      </w:r>
      <w:r>
        <w:rPr/>
        <w:t>年第一次临时股东大会审议通过的《安徽鑫龙电器股份有限公司股票期权激励计划（修订稿）》的 </w:t>
      </w:r>
      <w:r>
        <w:rPr>
          <w:spacing w:val="-2"/>
        </w:rPr>
        <w:t>相关规定，公司首期股票期权激励计划首次授予第一个行权期的行权条件已经满足，经公司第五届董事会第二十九次会</w:t>
      </w:r>
      <w:r>
        <w:rPr>
          <w:spacing w:val="-75"/>
        </w:rPr>
        <w:t> </w:t>
      </w:r>
      <w:r>
        <w:rPr>
          <w:spacing w:val="-75"/>
        </w:rPr>
      </w:r>
      <w:r>
        <w:rPr>
          <w:spacing w:val="-2"/>
        </w:rPr>
        <w:t>议审议通过了《关于公司股票期权激励计划首次授予第一个行权期可行权的议案》。公司实际有</w:t>
      </w:r>
      <w:r>
        <w:rPr>
          <w:spacing w:val="11"/>
        </w:rPr>
        <w:t> </w:t>
      </w:r>
      <w:r>
        <w:rPr>
          <w:rFonts w:ascii="Times New Roman" w:hAnsi="Times New Roman" w:cs="Times New Roman" w:eastAsia="Times New Roman" w:hint="default"/>
          <w:spacing w:val="-1"/>
        </w:rPr>
        <w:t>101</w:t>
      </w:r>
      <w:r>
        <w:rPr>
          <w:spacing w:val="-1"/>
        </w:rPr>
        <w:t>名股权激励对象合</w:t>
      </w:r>
      <w:r>
        <w:rPr/>
        <w:t> </w:t>
      </w:r>
      <w:r>
        <w:rPr>
          <w:spacing w:val="-1"/>
        </w:rPr>
        <w:t>计行权</w:t>
      </w:r>
      <w:r>
        <w:rPr>
          <w:rFonts w:ascii="Times New Roman" w:hAnsi="Times New Roman" w:cs="Times New Roman" w:eastAsia="Times New Roman" w:hint="default"/>
          <w:spacing w:val="-1"/>
        </w:rPr>
        <w:t>497.93</w:t>
      </w:r>
      <w:r>
        <w:rPr>
          <w:spacing w:val="-1"/>
        </w:rPr>
        <w:t>万份股票期权，每份股票期权行权价格为人民币</w:t>
      </w:r>
      <w:r>
        <w:rPr>
          <w:rFonts w:ascii="Times New Roman" w:hAnsi="Times New Roman" w:cs="Times New Roman" w:eastAsia="Times New Roman" w:hint="default"/>
          <w:spacing w:val="-1"/>
        </w:rPr>
        <w:t>7.63</w:t>
      </w:r>
      <w:r>
        <w:rPr>
          <w:spacing w:val="-1"/>
        </w:rPr>
        <w:t>元，行权后的注册资本变更为人民币</w:t>
      </w:r>
      <w:r>
        <w:rPr>
          <w:rFonts w:ascii="Times New Roman" w:hAnsi="Times New Roman" w:cs="Times New Roman" w:eastAsia="Times New Roman" w:hint="default"/>
          <w:spacing w:val="-1"/>
        </w:rPr>
        <w:t>41,384.83</w:t>
      </w:r>
      <w:r>
        <w:rPr>
          <w:spacing w:val="-1"/>
        </w:rPr>
        <w:t>万元。</w:t>
      </w:r>
      <w:r>
        <w:rPr>
          <w:spacing w:val="-55"/>
        </w:rPr>
        <w:t> </w:t>
      </w:r>
      <w:r>
        <w:rPr>
          <w:spacing w:val="-55"/>
        </w:rPr>
      </w:r>
      <w:r>
        <w:rPr/>
        <w:t>根据本公司</w:t>
      </w:r>
      <w:r>
        <w:rPr>
          <w:spacing w:val="-19"/>
        </w:rPr>
        <w:t> </w:t>
      </w:r>
      <w:r>
        <w:rPr>
          <w:rFonts w:ascii="Times New Roman" w:hAnsi="Times New Roman" w:cs="Times New Roman" w:eastAsia="Times New Roman" w:hint="default"/>
        </w:rPr>
        <w:t>2011</w:t>
      </w:r>
      <w:r>
        <w:rPr/>
        <w:t>年第一次临时股东大会审议通过的《安徽鑫龙电器股份有限公司股票期权激励计划（修订稿）》 </w:t>
      </w:r>
      <w:r>
        <w:rPr>
          <w:spacing w:val="-2"/>
        </w:rPr>
        <w:t>的相关规定，公司首期股票期权激励计划首次授予第二个行权期及预留期权第一个行权期的行权条件已经满足，经公司</w:t>
      </w:r>
      <w:r>
        <w:rPr>
          <w:spacing w:val="-75"/>
        </w:rPr>
        <w:t> </w:t>
      </w:r>
      <w:r>
        <w:rPr>
          <w:spacing w:val="-75"/>
        </w:rPr>
      </w:r>
      <w:r>
        <w:rPr>
          <w:spacing w:val="-2"/>
        </w:rPr>
        <w:t>第六届董事会第五次会议审议通过的《关于股票期权激励计划首次授予第二个行权期及预留期权第一个行权期可行权的</w:t>
      </w:r>
      <w:r>
        <w:rPr>
          <w:spacing w:val="-75"/>
        </w:rPr>
        <w:t> </w:t>
      </w:r>
      <w:r>
        <w:rPr>
          <w:spacing w:val="-75"/>
        </w:rPr>
      </w:r>
      <w:r>
        <w:rPr/>
        <w:t>议案》，公司 </w:t>
      </w:r>
      <w:r>
        <w:rPr>
          <w:rFonts w:ascii="Times New Roman" w:hAnsi="Times New Roman" w:cs="Times New Roman" w:eastAsia="Times New Roman" w:hint="default"/>
        </w:rPr>
        <w:t>147</w:t>
      </w:r>
      <w:r>
        <w:rPr/>
        <w:t>名股权激励对象共计可行权</w:t>
      </w:r>
      <w:r>
        <w:rPr>
          <w:rFonts w:ascii="Times New Roman" w:hAnsi="Times New Roman" w:cs="Times New Roman" w:eastAsia="Times New Roman" w:hint="default"/>
        </w:rPr>
        <w:t>818.20</w:t>
      </w:r>
      <w:r>
        <w:rPr/>
        <w:t>万份股票期权。公司实际有</w:t>
      </w:r>
      <w:r>
        <w:rPr>
          <w:spacing w:val="-40"/>
        </w:rPr>
        <w:t> </w:t>
      </w:r>
      <w:r>
        <w:rPr>
          <w:rFonts w:ascii="Times New Roman" w:hAnsi="Times New Roman" w:cs="Times New Roman" w:eastAsia="Times New Roman" w:hint="default"/>
        </w:rPr>
        <w:t>137</w:t>
      </w:r>
      <w:r>
        <w:rPr/>
        <w:t>名股权激励对象共计行权</w:t>
      </w:r>
      <w:r>
        <w:rPr>
          <w:rFonts w:ascii="Times New Roman" w:hAnsi="Times New Roman" w:cs="Times New Roman" w:eastAsia="Times New Roman" w:hint="default"/>
        </w:rPr>
        <w:t>753.20</w:t>
      </w:r>
      <w:r>
        <w:rPr/>
        <w:t>万</w:t>
      </w:r>
    </w:p>
    <w:p>
      <w:pPr>
        <w:pStyle w:val="BodyText"/>
        <w:spacing w:line="300" w:lineRule="auto" w:before="7"/>
        <w:ind w:left="874" w:right="1201" w:hanging="361"/>
        <w:jc w:val="left"/>
      </w:pPr>
      <w:r>
        <w:rPr/>
        <w:t>份股票期权，行权后的注册资本变更为人民币</w:t>
      </w:r>
      <w:r>
        <w:rPr>
          <w:rFonts w:ascii="Times New Roman" w:hAnsi="Times New Roman" w:cs="Times New Roman" w:eastAsia="Times New Roman" w:hint="default"/>
        </w:rPr>
        <w:t>42,138.03</w:t>
      </w:r>
      <w:r>
        <w:rPr/>
        <w:t>万元。 根据本公司</w:t>
      </w:r>
      <w:r>
        <w:rPr>
          <w:rFonts w:ascii="Times New Roman" w:hAnsi="Times New Roman" w:cs="Times New Roman" w:eastAsia="Times New Roman" w:hint="default"/>
        </w:rPr>
        <w:t>2015</w:t>
      </w:r>
      <w:r>
        <w:rPr/>
        <w:t>年第一次临时股东大会决议，并经中国证券监督管理委员会证监许可</w:t>
      </w:r>
      <w:r>
        <w:rPr>
          <w:rFonts w:ascii="Times New Roman" w:hAnsi="Times New Roman" w:cs="Times New Roman" w:eastAsia="Times New Roman" w:hint="default"/>
        </w:rPr>
        <w:t>[2015]1726</w:t>
      </w:r>
      <w:r>
        <w:rPr>
          <w:rFonts w:ascii="Times New Roman" w:hAnsi="Times New Roman" w:cs="Times New Roman" w:eastAsia="Times New Roman" w:hint="default"/>
          <w:spacing w:val="26"/>
        </w:rPr>
        <w:t> </w:t>
      </w:r>
      <w:r>
        <w:rPr/>
        <w:t>号文《关于核准</w:t>
      </w:r>
    </w:p>
    <w:p>
      <w:pPr>
        <w:pStyle w:val="BodyText"/>
        <w:spacing w:line="316" w:lineRule="auto" w:before="13"/>
        <w:ind w:left="514" w:right="0"/>
        <w:jc w:val="left"/>
      </w:pPr>
      <w:r>
        <w:rPr>
          <w:spacing w:val="-2"/>
        </w:rPr>
        <w:t>安徽鑫龙电器股份有限公司向瞿洪桂等发行股份购买资产并募集配套资金的批复》的核准，本公司申请增加注册资本人</w:t>
      </w:r>
      <w:r>
        <w:rPr>
          <w:spacing w:val="-68"/>
        </w:rPr>
        <w:t> </w:t>
      </w:r>
      <w:r>
        <w:rPr>
          <w:spacing w:val="-68"/>
        </w:rPr>
      </w:r>
      <w:r>
        <w:rPr/>
        <w:t>民币</w:t>
      </w:r>
      <w:r>
        <w:rPr>
          <w:rFonts w:ascii="Times New Roman" w:hAnsi="Times New Roman" w:cs="Times New Roman" w:eastAsia="Times New Roman" w:hint="default"/>
        </w:rPr>
        <w:t>21,153.846</w:t>
      </w:r>
      <w:r>
        <w:rPr/>
        <w:t>万元，变更后的注册资本为</w:t>
      </w:r>
      <w:r>
        <w:rPr>
          <w:rFonts w:ascii="Times New Roman" w:hAnsi="Times New Roman" w:cs="Times New Roman" w:eastAsia="Times New Roman" w:hint="default"/>
        </w:rPr>
        <w:t>63,291.876</w:t>
      </w:r>
      <w:r>
        <w:rPr/>
        <w:t>万元。</w:t>
      </w:r>
    </w:p>
    <w:p>
      <w:pPr>
        <w:pStyle w:val="BodyText"/>
        <w:spacing w:line="300" w:lineRule="auto" w:before="0"/>
        <w:ind w:left="514" w:right="1122" w:firstLine="360"/>
        <w:jc w:val="left"/>
      </w:pPr>
      <w:r>
        <w:rPr/>
        <w:t>根据本公司</w:t>
      </w:r>
      <w:r>
        <w:rPr>
          <w:rFonts w:ascii="Times New Roman" w:hAnsi="Times New Roman" w:cs="Times New Roman" w:eastAsia="Times New Roman" w:hint="default"/>
        </w:rPr>
        <w:t>2016</w:t>
      </w:r>
      <w:r>
        <w:rPr/>
        <w:t>年第一次临时股东大会决议，并经中国证券监督管理委员会证监许可</w:t>
      </w:r>
      <w:r>
        <w:rPr>
          <w:rFonts w:ascii="Times New Roman" w:hAnsi="Times New Roman" w:cs="Times New Roman" w:eastAsia="Times New Roman" w:hint="default"/>
        </w:rPr>
        <w:t>[2016]1764</w:t>
      </w:r>
      <w:r>
        <w:rPr>
          <w:rFonts w:ascii="Times New Roman" w:hAnsi="Times New Roman" w:cs="Times New Roman" w:eastAsia="Times New Roman" w:hint="default"/>
          <w:spacing w:val="27"/>
        </w:rPr>
        <w:t> </w:t>
      </w:r>
      <w:r>
        <w:rPr/>
        <w:t>号《关于核准安 徽中电兴发与鑫龙科技股份有限公司非公开发行股票的批复》的核准，本公司申请增加注册资本人民币</w:t>
      </w:r>
      <w:r>
        <w:rPr>
          <w:rFonts w:ascii="Times New Roman" w:hAnsi="Times New Roman" w:cs="Times New Roman" w:eastAsia="Times New Roman" w:hint="default"/>
        </w:rPr>
        <w:t>7,104.19</w:t>
      </w:r>
      <w:r>
        <w:rPr/>
        <w:t>万元， 变更后注册资本为</w:t>
      </w:r>
      <w:r>
        <w:rPr>
          <w:rFonts w:ascii="Times New Roman" w:hAnsi="Times New Roman" w:cs="Times New Roman" w:eastAsia="Times New Roman" w:hint="default"/>
        </w:rPr>
        <w:t>70,396,066</w:t>
      </w:r>
      <w:r>
        <w:rPr/>
        <w:t>元。</w:t>
      </w:r>
    </w:p>
    <w:p>
      <w:pPr>
        <w:pStyle w:val="BodyText"/>
        <w:spacing w:line="300" w:lineRule="auto" w:before="13"/>
        <w:ind w:left="514" w:right="0" w:firstLine="360"/>
        <w:jc w:val="left"/>
      </w:pPr>
      <w:r>
        <w:rPr>
          <w:spacing w:val="-2"/>
        </w:rPr>
        <w:t>根据本公司</w:t>
      </w:r>
      <w:r>
        <w:rPr>
          <w:rFonts w:ascii="Times New Roman" w:hAnsi="Times New Roman" w:cs="Times New Roman" w:eastAsia="Times New Roman" w:hint="default"/>
          <w:spacing w:val="-2"/>
        </w:rPr>
        <w:t>2018</w:t>
      </w:r>
      <w:r>
        <w:rPr>
          <w:spacing w:val="-2"/>
        </w:rPr>
        <w:t>年第一次临时股东大会决议，同意公司使用自有资金以集中竞价交易的方式回购公司股份，直接用</w:t>
      </w:r>
      <w:r>
        <w:rPr/>
        <w:t> 作注销并减少注册资本。</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月，公司将回购的</w:t>
      </w:r>
      <w:r>
        <w:rPr>
          <w:rFonts w:ascii="Times New Roman" w:hAnsi="Times New Roman" w:cs="Times New Roman" w:eastAsia="Times New Roman" w:hint="default"/>
        </w:rPr>
        <w:t>12,454,745</w:t>
      </w:r>
      <w:r>
        <w:rPr>
          <w:rFonts w:ascii="Times New Roman" w:hAnsi="Times New Roman" w:cs="Times New Roman" w:eastAsia="Times New Roman" w:hint="default"/>
          <w:spacing w:val="22"/>
        </w:rPr>
        <w:t> </w:t>
      </w:r>
      <w:r>
        <w:rPr/>
        <w:t>股予以注销，变更后注册资本为</w:t>
      </w:r>
      <w:r>
        <w:rPr>
          <w:rFonts w:ascii="Times New Roman" w:hAnsi="Times New Roman" w:cs="Times New Roman" w:eastAsia="Times New Roman" w:hint="default"/>
        </w:rPr>
        <w:t>691,505,915</w:t>
      </w:r>
      <w:r>
        <w:rPr/>
        <w:t>元。</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line="316" w:lineRule="auto" w:before="44"/>
        <w:ind w:left="874" w:right="0" w:firstLine="1"/>
        <w:jc w:val="left"/>
        <w:rPr>
          <w:rFonts w:ascii="宋体" w:hAnsi="宋体" w:cs="宋体" w:eastAsia="宋体" w:hint="default"/>
          <w:sz w:val="18"/>
          <w:szCs w:val="18"/>
        </w:rPr>
      </w:pPr>
      <w:r>
        <w:rPr>
          <w:rFonts w:ascii="宋体" w:hAnsi="宋体" w:cs="宋体" w:eastAsia="宋体" w:hint="default"/>
          <w:b/>
          <w:bCs/>
          <w:sz w:val="18"/>
          <w:szCs w:val="18"/>
        </w:rPr>
        <w:t>（二）公司业务性质和主要经营活动</w:t>
      </w:r>
      <w:r>
        <w:rPr>
          <w:rFonts w:ascii="宋体" w:hAnsi="宋体" w:cs="宋体" w:eastAsia="宋体" w:hint="default"/>
          <w:b/>
          <w:bCs/>
          <w:w w:val="99"/>
          <w:sz w:val="18"/>
          <w:szCs w:val="18"/>
        </w:rPr>
        <w:t> </w:t>
      </w:r>
      <w:r>
        <w:rPr>
          <w:rFonts w:ascii="宋体" w:hAnsi="宋体" w:cs="宋体" w:eastAsia="宋体" w:hint="default"/>
          <w:spacing w:val="-2"/>
          <w:sz w:val="18"/>
          <w:szCs w:val="18"/>
        </w:rPr>
        <w:t>本公司属软件和信息技术服务业，本公司的主要产品包括：公共安全与反恐、智慧城市业务、智慧新能源、电力设</w:t>
      </w:r>
    </w:p>
    <w:p>
      <w:pPr>
        <w:pStyle w:val="BodyText"/>
        <w:spacing w:line="319" w:lineRule="auto" w:before="19"/>
        <w:ind w:left="514" w:right="1133"/>
        <w:jc w:val="both"/>
      </w:pPr>
      <w:r>
        <w:rPr>
          <w:spacing w:val="-2"/>
        </w:rPr>
        <w:t>计、成套开关设备、元器件、自动化产品等，主要应用于公安、军队、司法、市政部门及企事业单位，提供端到端、一</w:t>
      </w:r>
      <w:r>
        <w:rPr>
          <w:spacing w:val="-73"/>
        </w:rPr>
        <w:t> </w:t>
      </w:r>
      <w:r>
        <w:rPr>
          <w:spacing w:val="-73"/>
        </w:rPr>
      </w:r>
      <w:r>
        <w:rPr>
          <w:spacing w:val="-2"/>
        </w:rPr>
        <w:t>体化的系统解决方案；发电厂、变电所及城市、农村、工矿企业、交通运输、高层建筑、公用设施等领域的变、配电时</w:t>
      </w:r>
      <w:r>
        <w:rPr>
          <w:spacing w:val="-71"/>
        </w:rPr>
        <w:t> </w:t>
      </w:r>
      <w:r>
        <w:rPr>
          <w:spacing w:val="-71"/>
        </w:rPr>
      </w:r>
      <w:r>
        <w:rPr/>
        <w:t>接受和分配电能等。</w:t>
      </w:r>
    </w:p>
    <w:p>
      <w:pPr>
        <w:spacing w:line="316" w:lineRule="auto" w:before="137"/>
        <w:ind w:left="874" w:right="5622" w:firstLine="1"/>
        <w:jc w:val="left"/>
        <w:rPr>
          <w:rFonts w:ascii="宋体" w:hAnsi="宋体" w:cs="宋体" w:eastAsia="宋体" w:hint="default"/>
          <w:sz w:val="18"/>
          <w:szCs w:val="18"/>
        </w:rPr>
      </w:pPr>
      <w:r>
        <w:rPr>
          <w:rFonts w:ascii="宋体" w:hAnsi="宋体" w:cs="宋体" w:eastAsia="宋体" w:hint="default"/>
          <w:b/>
          <w:bCs/>
          <w:sz w:val="18"/>
          <w:szCs w:val="18"/>
        </w:rPr>
        <w:t>（三）财务报表的批准报出</w:t>
      </w:r>
      <w:r>
        <w:rPr>
          <w:rFonts w:ascii="宋体" w:hAnsi="宋体" w:cs="宋体" w:eastAsia="宋体" w:hint="default"/>
          <w:b/>
          <w:bCs/>
          <w:w w:val="99"/>
          <w:sz w:val="18"/>
          <w:szCs w:val="18"/>
        </w:rPr>
        <w:t> </w:t>
      </w:r>
      <w:r>
        <w:rPr>
          <w:rFonts w:ascii="宋体" w:hAnsi="宋体" w:cs="宋体" w:eastAsia="宋体" w:hint="default"/>
          <w:sz w:val="18"/>
          <w:szCs w:val="18"/>
        </w:rPr>
        <w:t>本财务报表业经公司董事会于</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日批准报出。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316" w:lineRule="auto" w:before="156"/>
        <w:ind w:left="514" w:right="4632" w:hanging="52"/>
        <w:jc w:val="left"/>
        <w:rPr>
          <w:rFonts w:ascii="宋体" w:hAnsi="宋体" w:cs="宋体" w:eastAsia="宋体" w:hint="default"/>
          <w:sz w:val="18"/>
          <w:szCs w:val="18"/>
        </w:rPr>
      </w:pPr>
      <w:r>
        <w:rPr>
          <w:rFonts w:ascii="宋体" w:hAnsi="宋体" w:cs="宋体" w:eastAsia="宋体" w:hint="default"/>
          <w:b/>
          <w:bCs/>
          <w:sz w:val="18"/>
          <w:szCs w:val="18"/>
        </w:rPr>
        <w:t>合并财务报表范围</w:t>
      </w:r>
      <w:r>
        <w:rPr>
          <w:rFonts w:ascii="宋体" w:hAnsi="宋体" w:cs="宋体" w:eastAsia="宋体" w:hint="default"/>
          <w:b/>
          <w:bCs/>
          <w:w w:val="99"/>
          <w:sz w:val="18"/>
          <w:szCs w:val="18"/>
        </w:rPr>
        <w:t> </w:t>
      </w:r>
      <w:r>
        <w:rPr>
          <w:rFonts w:ascii="宋体" w:hAnsi="宋体" w:cs="宋体" w:eastAsia="宋体" w:hint="default"/>
          <w:sz w:val="18"/>
          <w:szCs w:val="18"/>
        </w:rPr>
        <w:t>本期纳入合并财务报表范围的子孙公司主体共</w:t>
      </w:r>
      <w:r>
        <w:rPr>
          <w:rFonts w:ascii="Times New Roman" w:hAnsi="Times New Roman" w:cs="Times New Roman" w:eastAsia="Times New Roman" w:hint="default"/>
          <w:sz w:val="18"/>
          <w:szCs w:val="18"/>
        </w:rPr>
        <w:t>43</w:t>
      </w:r>
      <w:r>
        <w:rPr>
          <w:rFonts w:ascii="宋体" w:hAnsi="宋体" w:cs="宋体" w:eastAsia="宋体" w:hint="default"/>
          <w:sz w:val="18"/>
          <w:szCs w:val="18"/>
        </w:rPr>
        <w:t>户，具体包括主要包括：</w:t>
      </w:r>
    </w:p>
    <w:tbl>
      <w:tblPr>
        <w:tblW w:w="0" w:type="auto"/>
        <w:jc w:val="left"/>
        <w:tblInd w:w="146" w:type="dxa"/>
        <w:tblLayout w:type="fixed"/>
        <w:tblCellMar>
          <w:top w:w="0" w:type="dxa"/>
          <w:left w:w="0" w:type="dxa"/>
          <w:bottom w:w="0" w:type="dxa"/>
          <w:right w:w="0" w:type="dxa"/>
        </w:tblCellMar>
        <w:tblLook w:val="01E0"/>
      </w:tblPr>
      <w:tblGrid>
        <w:gridCol w:w="3510"/>
        <w:gridCol w:w="1260"/>
        <w:gridCol w:w="725"/>
        <w:gridCol w:w="1517"/>
        <w:gridCol w:w="1517"/>
      </w:tblGrid>
      <w:tr>
        <w:trPr>
          <w:trHeight w:val="355" w:hRule="exact"/>
        </w:trPr>
        <w:tc>
          <w:tcPr>
            <w:tcW w:w="35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2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left="171" w:right="0"/>
              <w:jc w:val="left"/>
              <w:rPr>
                <w:rFonts w:ascii="宋体" w:hAnsi="宋体" w:cs="宋体" w:eastAsia="宋体" w:hint="default"/>
                <w:sz w:val="18"/>
                <w:szCs w:val="18"/>
              </w:rPr>
            </w:pPr>
            <w:r>
              <w:rPr>
                <w:rFonts w:ascii="宋体" w:hAnsi="宋体" w:cs="宋体" w:eastAsia="宋体" w:hint="default"/>
                <w:sz w:val="18"/>
                <w:szCs w:val="18"/>
              </w:rPr>
              <w:t>子公司类型</w:t>
            </w:r>
          </w:p>
        </w:tc>
        <w:tc>
          <w:tcPr>
            <w:tcW w:w="72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left="175" w:right="0"/>
              <w:jc w:val="left"/>
              <w:rPr>
                <w:rFonts w:ascii="宋体" w:hAnsi="宋体" w:cs="宋体" w:eastAsia="宋体" w:hint="default"/>
                <w:sz w:val="18"/>
                <w:szCs w:val="18"/>
              </w:rPr>
            </w:pPr>
            <w:r>
              <w:rPr>
                <w:rFonts w:ascii="宋体" w:hAnsi="宋体" w:cs="宋体" w:eastAsia="宋体" w:hint="default"/>
                <w:sz w:val="18"/>
                <w:szCs w:val="18"/>
              </w:rPr>
              <w:t>级次</w:t>
            </w:r>
          </w:p>
        </w:tc>
        <w:tc>
          <w:tcPr>
            <w:tcW w:w="15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left="135"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51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0"/>
              <w:ind w:right="53"/>
              <w:jc w:val="right"/>
              <w:rPr>
                <w:rFonts w:ascii="宋体" w:hAnsi="宋体" w:cs="宋体" w:eastAsia="宋体" w:hint="default"/>
                <w:sz w:val="18"/>
                <w:szCs w:val="18"/>
              </w:rPr>
            </w:pPr>
            <w:r>
              <w:rPr>
                <w:rFonts w:ascii="宋体" w:hAnsi="宋体" w:cs="宋体" w:eastAsia="宋体" w:hint="default"/>
                <w:sz w:val="18"/>
                <w:szCs w:val="18"/>
              </w:rPr>
              <w:t>表决权比例（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52" w:hRule="exact"/>
        </w:trPr>
        <w:tc>
          <w:tcPr>
            <w:tcW w:w="3510"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left="2" w:right="0"/>
              <w:jc w:val="left"/>
              <w:rPr>
                <w:rFonts w:ascii="宋体" w:hAnsi="宋体" w:cs="宋体" w:eastAsia="宋体" w:hint="default"/>
                <w:sz w:val="18"/>
                <w:szCs w:val="18"/>
              </w:rPr>
            </w:pPr>
            <w:r>
              <w:rPr>
                <w:rFonts w:ascii="宋体" w:hAnsi="宋体" w:cs="宋体" w:eastAsia="宋体" w:hint="default"/>
                <w:sz w:val="18"/>
                <w:szCs w:val="18"/>
              </w:rPr>
              <w:t>安徽森源电器有限公司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宋体" w:hAnsi="宋体" w:cs="宋体" w:eastAsia="宋体" w:hint="default"/>
                <w:sz w:val="18"/>
                <w:szCs w:val="18"/>
              </w:rPr>
            </w:pPr>
            <w:r>
              <w:rPr>
                <w:rFonts w:ascii="宋体" w:hAnsi="宋体" w:cs="宋体" w:eastAsia="宋体" w:hint="default"/>
                <w:sz w:val="18"/>
                <w:szCs w:val="18"/>
              </w:rPr>
              <w:t>二级</w:t>
            </w:r>
          </w:p>
        </w:tc>
        <w:tc>
          <w:tcPr>
            <w:tcW w:w="15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18"/>
                <w:szCs w:val="18"/>
              </w:rPr>
            </w:pPr>
            <w:r>
              <w:rPr>
                <w:rFonts w:ascii="Times New Roman"/>
                <w:sz w:val="18"/>
              </w:rPr>
              <w:t>100.00</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9"/>
              <w:ind w:right="6"/>
              <w:jc w:val="right"/>
              <w:rPr>
                <w:rFonts w:ascii="Times New Roman" w:hAnsi="Times New Roman" w:cs="Times New Roman" w:eastAsia="Times New Roman" w:hint="default"/>
                <w:sz w:val="18"/>
                <w:szCs w:val="18"/>
              </w:rPr>
            </w:pPr>
            <w:r>
              <w:rPr>
                <w:rFonts w:ascii="Times New Roman"/>
                <w:sz w:val="18"/>
              </w:rPr>
              <w:t>100.00</w:t>
            </w:r>
          </w:p>
        </w:tc>
      </w:tr>
      <w:tr>
        <w:trPr>
          <w:trHeight w:val="353" w:hRule="exact"/>
        </w:trPr>
        <w:tc>
          <w:tcPr>
            <w:tcW w:w="3510"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left="2" w:right="0"/>
              <w:jc w:val="left"/>
              <w:rPr>
                <w:rFonts w:ascii="宋体" w:hAnsi="宋体" w:cs="宋体" w:eastAsia="宋体" w:hint="default"/>
                <w:sz w:val="18"/>
                <w:szCs w:val="18"/>
              </w:rPr>
            </w:pPr>
            <w:r>
              <w:rPr>
                <w:rFonts w:ascii="宋体" w:hAnsi="宋体" w:cs="宋体" w:eastAsia="宋体" w:hint="default"/>
                <w:sz w:val="18"/>
                <w:szCs w:val="18"/>
              </w:rPr>
              <w:t>斯高思电器（安徽）有限公司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宋体" w:hAnsi="宋体" w:cs="宋体" w:eastAsia="宋体" w:hint="default"/>
                <w:sz w:val="18"/>
                <w:szCs w:val="18"/>
              </w:rPr>
            </w:pPr>
            <w:r>
              <w:rPr>
                <w:rFonts w:ascii="宋体" w:hAnsi="宋体" w:cs="宋体" w:eastAsia="宋体" w:hint="default"/>
                <w:sz w:val="18"/>
                <w:szCs w:val="18"/>
              </w:rPr>
              <w:t>控股孙公司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宋体" w:hAnsi="宋体" w:cs="宋体" w:eastAsia="宋体" w:hint="default"/>
                <w:sz w:val="18"/>
                <w:szCs w:val="18"/>
              </w:rPr>
            </w:pPr>
            <w:r>
              <w:rPr>
                <w:rFonts w:ascii="宋体" w:hAnsi="宋体" w:cs="宋体" w:eastAsia="宋体" w:hint="default"/>
                <w:sz w:val="18"/>
                <w:szCs w:val="18"/>
              </w:rPr>
              <w:t>三级</w:t>
            </w:r>
          </w:p>
        </w:tc>
        <w:tc>
          <w:tcPr>
            <w:tcW w:w="15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18"/>
                <w:szCs w:val="18"/>
              </w:rPr>
            </w:pPr>
            <w:r>
              <w:rPr>
                <w:rFonts w:ascii="Times New Roman"/>
                <w:sz w:val="18"/>
              </w:rPr>
              <w:t>75.00</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9"/>
              <w:ind w:right="6"/>
              <w:jc w:val="right"/>
              <w:rPr>
                <w:rFonts w:ascii="Times New Roman" w:hAnsi="Times New Roman" w:cs="Times New Roman" w:eastAsia="Times New Roman" w:hint="default"/>
                <w:sz w:val="18"/>
                <w:szCs w:val="18"/>
              </w:rPr>
            </w:pPr>
            <w:r>
              <w:rPr>
                <w:rFonts w:ascii="Times New Roman"/>
                <w:sz w:val="18"/>
              </w:rPr>
              <w:t>75.00</w:t>
            </w:r>
          </w:p>
        </w:tc>
      </w:tr>
      <w:tr>
        <w:trPr>
          <w:trHeight w:val="352" w:hRule="exact"/>
        </w:trPr>
        <w:tc>
          <w:tcPr>
            <w:tcW w:w="3510"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left="2" w:right="0"/>
              <w:jc w:val="left"/>
              <w:rPr>
                <w:rFonts w:ascii="宋体" w:hAnsi="宋体" w:cs="宋体" w:eastAsia="宋体" w:hint="default"/>
                <w:sz w:val="18"/>
                <w:szCs w:val="18"/>
              </w:rPr>
            </w:pPr>
            <w:r>
              <w:rPr>
                <w:rFonts w:ascii="宋体" w:hAnsi="宋体" w:cs="宋体" w:eastAsia="宋体" w:hint="default"/>
                <w:sz w:val="18"/>
                <w:szCs w:val="18"/>
              </w:rPr>
              <w:t>安徽鑫龙电器元件销售有限公司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宋体" w:hAnsi="宋体" w:cs="宋体" w:eastAsia="宋体" w:hint="default"/>
                <w:sz w:val="18"/>
                <w:szCs w:val="18"/>
              </w:rPr>
            </w:pPr>
            <w:r>
              <w:rPr>
                <w:rFonts w:ascii="宋体" w:hAnsi="宋体" w:cs="宋体" w:eastAsia="宋体" w:hint="default"/>
                <w:sz w:val="18"/>
                <w:szCs w:val="18"/>
              </w:rPr>
              <w:t>二级</w:t>
            </w:r>
          </w:p>
        </w:tc>
        <w:tc>
          <w:tcPr>
            <w:tcW w:w="15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18"/>
                <w:szCs w:val="18"/>
              </w:rPr>
            </w:pPr>
            <w:r>
              <w:rPr>
                <w:rFonts w:ascii="Times New Roman"/>
                <w:sz w:val="18"/>
              </w:rPr>
              <w:t>100.00</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9"/>
              <w:ind w:right="6"/>
              <w:jc w:val="right"/>
              <w:rPr>
                <w:rFonts w:ascii="Times New Roman" w:hAnsi="Times New Roman" w:cs="Times New Roman" w:eastAsia="Times New Roman" w:hint="default"/>
                <w:sz w:val="18"/>
                <w:szCs w:val="18"/>
              </w:rPr>
            </w:pPr>
            <w:r>
              <w:rPr>
                <w:rFonts w:ascii="Times New Roman"/>
                <w:sz w:val="18"/>
              </w:rPr>
              <w:t>100.00</w:t>
            </w:r>
          </w:p>
        </w:tc>
      </w:tr>
      <w:tr>
        <w:trPr>
          <w:trHeight w:val="352" w:hRule="exact"/>
        </w:trPr>
        <w:tc>
          <w:tcPr>
            <w:tcW w:w="3510"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left="2" w:right="0"/>
              <w:jc w:val="left"/>
              <w:rPr>
                <w:rFonts w:ascii="宋体" w:hAnsi="宋体" w:cs="宋体" w:eastAsia="宋体" w:hint="default"/>
                <w:sz w:val="18"/>
                <w:szCs w:val="18"/>
              </w:rPr>
            </w:pPr>
            <w:r>
              <w:rPr>
                <w:rFonts w:ascii="宋体" w:hAnsi="宋体" w:cs="宋体" w:eastAsia="宋体" w:hint="default"/>
                <w:sz w:val="18"/>
                <w:szCs w:val="18"/>
              </w:rPr>
              <w:t>安徽鑫龙自动化有限公司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宋体" w:hAnsi="宋体" w:cs="宋体" w:eastAsia="宋体" w:hint="default"/>
                <w:sz w:val="18"/>
                <w:szCs w:val="18"/>
              </w:rPr>
            </w:pPr>
            <w:r>
              <w:rPr>
                <w:rFonts w:ascii="宋体" w:hAnsi="宋体" w:cs="宋体" w:eastAsia="宋体" w:hint="default"/>
                <w:sz w:val="18"/>
                <w:szCs w:val="18"/>
              </w:rPr>
              <w:t>二级</w:t>
            </w:r>
          </w:p>
        </w:tc>
        <w:tc>
          <w:tcPr>
            <w:tcW w:w="15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18"/>
                <w:szCs w:val="18"/>
              </w:rPr>
            </w:pPr>
            <w:r>
              <w:rPr>
                <w:rFonts w:ascii="Times New Roman"/>
                <w:sz w:val="18"/>
              </w:rPr>
              <w:t>100.00</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9"/>
              <w:ind w:right="6"/>
              <w:jc w:val="right"/>
              <w:rPr>
                <w:rFonts w:ascii="Times New Roman" w:hAnsi="Times New Roman" w:cs="Times New Roman" w:eastAsia="Times New Roman" w:hint="default"/>
                <w:sz w:val="18"/>
                <w:szCs w:val="18"/>
              </w:rPr>
            </w:pPr>
            <w:r>
              <w:rPr>
                <w:rFonts w:ascii="Times New Roman"/>
                <w:sz w:val="18"/>
              </w:rPr>
              <w:t>100.00</w:t>
            </w:r>
          </w:p>
        </w:tc>
      </w:tr>
      <w:tr>
        <w:trPr>
          <w:trHeight w:val="353" w:hRule="exact"/>
        </w:trPr>
        <w:tc>
          <w:tcPr>
            <w:tcW w:w="3510"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left="2" w:right="0"/>
              <w:jc w:val="left"/>
              <w:rPr>
                <w:rFonts w:ascii="宋体" w:hAnsi="宋体" w:cs="宋体" w:eastAsia="宋体" w:hint="default"/>
                <w:sz w:val="18"/>
                <w:szCs w:val="18"/>
              </w:rPr>
            </w:pPr>
            <w:r>
              <w:rPr>
                <w:rFonts w:ascii="宋体" w:hAnsi="宋体" w:cs="宋体" w:eastAsia="宋体" w:hint="default"/>
                <w:sz w:val="18"/>
                <w:szCs w:val="18"/>
              </w:rPr>
              <w:t>安徽鑫龙低压电器有限公司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宋体" w:hAnsi="宋体" w:cs="宋体" w:eastAsia="宋体" w:hint="default"/>
                <w:sz w:val="18"/>
                <w:szCs w:val="18"/>
              </w:rPr>
            </w:pPr>
            <w:r>
              <w:rPr>
                <w:rFonts w:ascii="宋体" w:hAnsi="宋体" w:cs="宋体" w:eastAsia="宋体" w:hint="default"/>
                <w:sz w:val="18"/>
                <w:szCs w:val="18"/>
              </w:rPr>
              <w:t>二级</w:t>
            </w:r>
          </w:p>
        </w:tc>
        <w:tc>
          <w:tcPr>
            <w:tcW w:w="15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18"/>
                <w:szCs w:val="18"/>
              </w:rPr>
            </w:pPr>
            <w:r>
              <w:rPr>
                <w:rFonts w:ascii="Times New Roman"/>
                <w:sz w:val="18"/>
              </w:rPr>
              <w:t>100.00</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9"/>
              <w:ind w:right="6"/>
              <w:jc w:val="right"/>
              <w:rPr>
                <w:rFonts w:ascii="Times New Roman" w:hAnsi="Times New Roman" w:cs="Times New Roman" w:eastAsia="Times New Roman" w:hint="default"/>
                <w:sz w:val="18"/>
                <w:szCs w:val="18"/>
              </w:rPr>
            </w:pPr>
            <w:r>
              <w:rPr>
                <w:rFonts w:ascii="Times New Roman"/>
                <w:sz w:val="18"/>
              </w:rPr>
              <w:t>100.00</w:t>
            </w:r>
          </w:p>
        </w:tc>
      </w:tr>
      <w:tr>
        <w:trPr>
          <w:trHeight w:val="352" w:hRule="exact"/>
        </w:trPr>
        <w:tc>
          <w:tcPr>
            <w:tcW w:w="3510"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left="2" w:right="0"/>
              <w:jc w:val="left"/>
              <w:rPr>
                <w:rFonts w:ascii="宋体" w:hAnsi="宋体" w:cs="宋体" w:eastAsia="宋体" w:hint="default"/>
                <w:sz w:val="18"/>
                <w:szCs w:val="18"/>
              </w:rPr>
            </w:pPr>
            <w:r>
              <w:rPr>
                <w:rFonts w:ascii="宋体" w:hAnsi="宋体" w:cs="宋体" w:eastAsia="宋体" w:hint="default"/>
                <w:sz w:val="18"/>
                <w:szCs w:val="18"/>
              </w:rPr>
              <w:t>安徽鑫龙变压器有限公司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宋体" w:hAnsi="宋体" w:cs="宋体" w:eastAsia="宋体" w:hint="default"/>
                <w:sz w:val="18"/>
                <w:szCs w:val="18"/>
              </w:rPr>
            </w:pPr>
            <w:r>
              <w:rPr>
                <w:rFonts w:ascii="宋体" w:hAnsi="宋体" w:cs="宋体" w:eastAsia="宋体" w:hint="default"/>
                <w:sz w:val="18"/>
                <w:szCs w:val="18"/>
              </w:rPr>
              <w:t>二级</w:t>
            </w:r>
          </w:p>
        </w:tc>
        <w:tc>
          <w:tcPr>
            <w:tcW w:w="15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18"/>
                <w:szCs w:val="18"/>
              </w:rPr>
            </w:pPr>
            <w:r>
              <w:rPr>
                <w:rFonts w:ascii="Times New Roman"/>
                <w:sz w:val="18"/>
              </w:rPr>
              <w:t>100.00</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9"/>
              <w:ind w:right="6"/>
              <w:jc w:val="right"/>
              <w:rPr>
                <w:rFonts w:ascii="Times New Roman" w:hAnsi="Times New Roman" w:cs="Times New Roman" w:eastAsia="Times New Roman" w:hint="default"/>
                <w:sz w:val="18"/>
                <w:szCs w:val="18"/>
              </w:rPr>
            </w:pPr>
            <w:r>
              <w:rPr>
                <w:rFonts w:ascii="Times New Roman"/>
                <w:sz w:val="18"/>
              </w:rPr>
              <w:t>100.00</w:t>
            </w:r>
          </w:p>
        </w:tc>
      </w:tr>
      <w:tr>
        <w:trPr>
          <w:trHeight w:val="352" w:hRule="exact"/>
        </w:trPr>
        <w:tc>
          <w:tcPr>
            <w:tcW w:w="3510"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left="2" w:right="0"/>
              <w:jc w:val="left"/>
              <w:rPr>
                <w:rFonts w:ascii="宋体" w:hAnsi="宋体" w:cs="宋体" w:eastAsia="宋体" w:hint="default"/>
                <w:sz w:val="18"/>
                <w:szCs w:val="18"/>
              </w:rPr>
            </w:pPr>
            <w:r>
              <w:rPr>
                <w:rFonts w:ascii="宋体" w:hAnsi="宋体" w:cs="宋体" w:eastAsia="宋体" w:hint="default"/>
                <w:sz w:val="18"/>
                <w:szCs w:val="18"/>
              </w:rPr>
              <w:t>安徽北辰能源工程技术有限公司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宋体" w:hAnsi="宋体" w:cs="宋体" w:eastAsia="宋体" w:hint="default"/>
                <w:sz w:val="18"/>
                <w:szCs w:val="18"/>
              </w:rPr>
            </w:pPr>
            <w:r>
              <w:rPr>
                <w:rFonts w:ascii="宋体" w:hAnsi="宋体" w:cs="宋体" w:eastAsia="宋体" w:hint="default"/>
                <w:sz w:val="18"/>
                <w:szCs w:val="18"/>
              </w:rPr>
              <w:t>二级</w:t>
            </w:r>
          </w:p>
        </w:tc>
        <w:tc>
          <w:tcPr>
            <w:tcW w:w="15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18"/>
                <w:szCs w:val="18"/>
              </w:rPr>
            </w:pPr>
            <w:r>
              <w:rPr>
                <w:rFonts w:ascii="Times New Roman"/>
                <w:sz w:val="18"/>
              </w:rPr>
              <w:t>100.00</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9"/>
              <w:ind w:right="6"/>
              <w:jc w:val="right"/>
              <w:rPr>
                <w:rFonts w:ascii="Times New Roman" w:hAnsi="Times New Roman" w:cs="Times New Roman" w:eastAsia="Times New Roman" w:hint="default"/>
                <w:sz w:val="18"/>
                <w:szCs w:val="18"/>
              </w:rPr>
            </w:pPr>
            <w:r>
              <w:rPr>
                <w:rFonts w:ascii="Times New Roman"/>
                <w:sz w:val="18"/>
              </w:rPr>
              <w:t>100.00</w:t>
            </w:r>
          </w:p>
        </w:tc>
      </w:tr>
      <w:tr>
        <w:trPr>
          <w:trHeight w:val="353" w:hRule="exact"/>
        </w:trPr>
        <w:tc>
          <w:tcPr>
            <w:tcW w:w="3510"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left="2" w:right="0"/>
              <w:jc w:val="left"/>
              <w:rPr>
                <w:rFonts w:ascii="宋体" w:hAnsi="宋体" w:cs="宋体" w:eastAsia="宋体" w:hint="default"/>
                <w:sz w:val="18"/>
                <w:szCs w:val="18"/>
              </w:rPr>
            </w:pPr>
            <w:r>
              <w:rPr>
                <w:rFonts w:ascii="宋体" w:hAnsi="宋体" w:cs="宋体" w:eastAsia="宋体" w:hint="default"/>
                <w:sz w:val="18"/>
                <w:szCs w:val="18"/>
              </w:rPr>
              <w:t>安徽鑫东投资管理有限公司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宋体" w:hAnsi="宋体" w:cs="宋体" w:eastAsia="宋体" w:hint="default"/>
                <w:sz w:val="18"/>
                <w:szCs w:val="18"/>
              </w:rPr>
            </w:pPr>
            <w:r>
              <w:rPr>
                <w:rFonts w:ascii="宋体" w:hAnsi="宋体" w:cs="宋体" w:eastAsia="宋体" w:hint="default"/>
                <w:sz w:val="18"/>
                <w:szCs w:val="18"/>
              </w:rPr>
              <w:t>二级</w:t>
            </w:r>
          </w:p>
        </w:tc>
        <w:tc>
          <w:tcPr>
            <w:tcW w:w="15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18"/>
                <w:szCs w:val="18"/>
              </w:rPr>
            </w:pPr>
            <w:r>
              <w:rPr>
                <w:rFonts w:ascii="Times New Roman"/>
                <w:sz w:val="18"/>
              </w:rPr>
              <w:t>90.00</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9"/>
              <w:ind w:right="6"/>
              <w:jc w:val="right"/>
              <w:rPr>
                <w:rFonts w:ascii="Times New Roman" w:hAnsi="Times New Roman" w:cs="Times New Roman" w:eastAsia="Times New Roman" w:hint="default"/>
                <w:sz w:val="18"/>
                <w:szCs w:val="18"/>
              </w:rPr>
            </w:pPr>
            <w:r>
              <w:rPr>
                <w:rFonts w:ascii="Times New Roman"/>
                <w:sz w:val="18"/>
              </w:rPr>
              <w:t>90.00</w:t>
            </w:r>
          </w:p>
        </w:tc>
      </w:tr>
      <w:tr>
        <w:trPr>
          <w:trHeight w:val="352" w:hRule="exact"/>
        </w:trPr>
        <w:tc>
          <w:tcPr>
            <w:tcW w:w="3510"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left="2" w:right="0"/>
              <w:jc w:val="left"/>
              <w:rPr>
                <w:rFonts w:ascii="宋体" w:hAnsi="宋体" w:cs="宋体" w:eastAsia="宋体" w:hint="default"/>
                <w:sz w:val="18"/>
                <w:szCs w:val="18"/>
              </w:rPr>
            </w:pPr>
            <w:r>
              <w:rPr>
                <w:rFonts w:ascii="宋体" w:hAnsi="宋体" w:cs="宋体" w:eastAsia="宋体" w:hint="default"/>
                <w:sz w:val="18"/>
                <w:szCs w:val="18"/>
              </w:rPr>
              <w:t>安徽佑赛科技股份有限公司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宋体" w:hAnsi="宋体" w:cs="宋体" w:eastAsia="宋体" w:hint="default"/>
                <w:sz w:val="18"/>
                <w:szCs w:val="18"/>
              </w:rPr>
            </w:pPr>
            <w:r>
              <w:rPr>
                <w:rFonts w:ascii="宋体" w:hAnsi="宋体" w:cs="宋体" w:eastAsia="宋体" w:hint="default"/>
                <w:sz w:val="18"/>
                <w:szCs w:val="18"/>
              </w:rPr>
              <w:t>二级</w:t>
            </w:r>
          </w:p>
        </w:tc>
        <w:tc>
          <w:tcPr>
            <w:tcW w:w="15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18"/>
                <w:szCs w:val="18"/>
              </w:rPr>
            </w:pPr>
            <w:r>
              <w:rPr>
                <w:rFonts w:ascii="Times New Roman"/>
                <w:sz w:val="18"/>
              </w:rPr>
              <w:t>68.00</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9"/>
              <w:ind w:right="6"/>
              <w:jc w:val="right"/>
              <w:rPr>
                <w:rFonts w:ascii="Times New Roman" w:hAnsi="Times New Roman" w:cs="Times New Roman" w:eastAsia="Times New Roman" w:hint="default"/>
                <w:sz w:val="18"/>
                <w:szCs w:val="18"/>
              </w:rPr>
            </w:pPr>
            <w:r>
              <w:rPr>
                <w:rFonts w:ascii="Times New Roman"/>
                <w:sz w:val="18"/>
              </w:rPr>
              <w:t>68.00</w:t>
            </w:r>
          </w:p>
        </w:tc>
      </w:tr>
      <w:tr>
        <w:trPr>
          <w:trHeight w:val="352" w:hRule="exact"/>
        </w:trPr>
        <w:tc>
          <w:tcPr>
            <w:tcW w:w="3510"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left="2" w:right="0"/>
              <w:jc w:val="left"/>
              <w:rPr>
                <w:rFonts w:ascii="宋体" w:hAnsi="宋体" w:cs="宋体" w:eastAsia="宋体" w:hint="default"/>
                <w:sz w:val="18"/>
                <w:szCs w:val="18"/>
              </w:rPr>
            </w:pPr>
            <w:r>
              <w:rPr>
                <w:rFonts w:ascii="宋体" w:hAnsi="宋体" w:cs="宋体" w:eastAsia="宋体" w:hint="default"/>
                <w:sz w:val="18"/>
                <w:szCs w:val="18"/>
              </w:rPr>
              <w:t>亳州鑫龙电气有限公司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宋体" w:hAnsi="宋体" w:cs="宋体" w:eastAsia="宋体" w:hint="default"/>
                <w:sz w:val="18"/>
                <w:szCs w:val="18"/>
              </w:rPr>
            </w:pPr>
            <w:r>
              <w:rPr>
                <w:rFonts w:ascii="宋体" w:hAnsi="宋体" w:cs="宋体" w:eastAsia="宋体" w:hint="default"/>
                <w:sz w:val="18"/>
                <w:szCs w:val="18"/>
              </w:rPr>
              <w:t>二级</w:t>
            </w:r>
          </w:p>
        </w:tc>
        <w:tc>
          <w:tcPr>
            <w:tcW w:w="15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18"/>
                <w:szCs w:val="18"/>
              </w:rPr>
            </w:pPr>
            <w:r>
              <w:rPr>
                <w:rFonts w:ascii="Times New Roman"/>
                <w:sz w:val="18"/>
              </w:rPr>
              <w:t>100.00</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9"/>
              <w:ind w:right="6"/>
              <w:jc w:val="right"/>
              <w:rPr>
                <w:rFonts w:ascii="Times New Roman" w:hAnsi="Times New Roman" w:cs="Times New Roman" w:eastAsia="Times New Roman" w:hint="default"/>
                <w:sz w:val="18"/>
                <w:szCs w:val="18"/>
              </w:rPr>
            </w:pPr>
            <w:r>
              <w:rPr>
                <w:rFonts w:ascii="Times New Roman"/>
                <w:sz w:val="18"/>
              </w:rPr>
              <w:t>100.00</w:t>
            </w:r>
          </w:p>
        </w:tc>
      </w:tr>
      <w:tr>
        <w:trPr>
          <w:trHeight w:val="353" w:hRule="exact"/>
        </w:trPr>
        <w:tc>
          <w:tcPr>
            <w:tcW w:w="3510"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left="2" w:right="0"/>
              <w:jc w:val="left"/>
              <w:rPr>
                <w:rFonts w:ascii="宋体" w:hAnsi="宋体" w:cs="宋体" w:eastAsia="宋体" w:hint="default"/>
                <w:sz w:val="18"/>
                <w:szCs w:val="18"/>
              </w:rPr>
            </w:pPr>
            <w:r>
              <w:rPr>
                <w:rFonts w:ascii="宋体" w:hAnsi="宋体" w:cs="宋体" w:eastAsia="宋体" w:hint="default"/>
                <w:sz w:val="18"/>
                <w:szCs w:val="18"/>
              </w:rPr>
              <w:t>天津市泰达工程设计有限公司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宋体" w:hAnsi="宋体" w:cs="宋体" w:eastAsia="宋体" w:hint="default"/>
                <w:sz w:val="18"/>
                <w:szCs w:val="18"/>
              </w:rPr>
            </w:pPr>
            <w:r>
              <w:rPr>
                <w:rFonts w:ascii="宋体" w:hAnsi="宋体" w:cs="宋体" w:eastAsia="宋体" w:hint="default"/>
                <w:sz w:val="18"/>
                <w:szCs w:val="18"/>
              </w:rPr>
              <w:t>二级</w:t>
            </w:r>
          </w:p>
        </w:tc>
        <w:tc>
          <w:tcPr>
            <w:tcW w:w="15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18"/>
                <w:szCs w:val="18"/>
              </w:rPr>
            </w:pPr>
            <w:r>
              <w:rPr>
                <w:rFonts w:ascii="Times New Roman"/>
                <w:sz w:val="18"/>
              </w:rPr>
              <w:t>59.738</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9"/>
              <w:ind w:right="6"/>
              <w:jc w:val="right"/>
              <w:rPr>
                <w:rFonts w:ascii="Times New Roman" w:hAnsi="Times New Roman" w:cs="Times New Roman" w:eastAsia="Times New Roman" w:hint="default"/>
                <w:sz w:val="18"/>
                <w:szCs w:val="18"/>
              </w:rPr>
            </w:pPr>
            <w:r>
              <w:rPr>
                <w:rFonts w:ascii="Times New Roman"/>
                <w:sz w:val="18"/>
              </w:rPr>
              <w:t>59.738</w:t>
            </w:r>
          </w:p>
        </w:tc>
      </w:tr>
      <w:tr>
        <w:trPr>
          <w:trHeight w:val="352" w:hRule="exact"/>
        </w:trPr>
        <w:tc>
          <w:tcPr>
            <w:tcW w:w="3510"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left="2" w:right="0"/>
              <w:jc w:val="left"/>
              <w:rPr>
                <w:rFonts w:ascii="宋体" w:hAnsi="宋体" w:cs="宋体" w:eastAsia="宋体" w:hint="default"/>
                <w:sz w:val="18"/>
                <w:szCs w:val="18"/>
              </w:rPr>
            </w:pPr>
            <w:r>
              <w:rPr>
                <w:rFonts w:ascii="宋体" w:hAnsi="宋体" w:cs="宋体" w:eastAsia="宋体" w:hint="default"/>
                <w:sz w:val="18"/>
                <w:szCs w:val="18"/>
              </w:rPr>
              <w:t>安徽杰偌新材料技术有限公司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宋体" w:hAnsi="宋体" w:cs="宋体" w:eastAsia="宋体" w:hint="default"/>
                <w:sz w:val="18"/>
                <w:szCs w:val="18"/>
              </w:rPr>
            </w:pPr>
            <w:r>
              <w:rPr>
                <w:rFonts w:ascii="宋体" w:hAnsi="宋体" w:cs="宋体" w:eastAsia="宋体" w:hint="default"/>
                <w:sz w:val="18"/>
                <w:szCs w:val="18"/>
              </w:rPr>
              <w:t>二级</w:t>
            </w:r>
          </w:p>
        </w:tc>
        <w:tc>
          <w:tcPr>
            <w:tcW w:w="15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18"/>
                <w:szCs w:val="18"/>
              </w:rPr>
            </w:pPr>
            <w:r>
              <w:rPr>
                <w:rFonts w:ascii="Times New Roman"/>
                <w:sz w:val="18"/>
              </w:rPr>
              <w:t>60.00</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9"/>
              <w:ind w:right="6"/>
              <w:jc w:val="right"/>
              <w:rPr>
                <w:rFonts w:ascii="Times New Roman" w:hAnsi="Times New Roman" w:cs="Times New Roman" w:eastAsia="Times New Roman" w:hint="default"/>
                <w:sz w:val="18"/>
                <w:szCs w:val="18"/>
              </w:rPr>
            </w:pPr>
            <w:r>
              <w:rPr>
                <w:rFonts w:ascii="Times New Roman"/>
                <w:sz w:val="18"/>
              </w:rPr>
              <w:t>60.00</w:t>
            </w:r>
          </w:p>
        </w:tc>
      </w:tr>
      <w:tr>
        <w:trPr>
          <w:trHeight w:val="352" w:hRule="exact"/>
        </w:trPr>
        <w:tc>
          <w:tcPr>
            <w:tcW w:w="3510"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left="2" w:right="0"/>
              <w:jc w:val="left"/>
              <w:rPr>
                <w:rFonts w:ascii="宋体" w:hAnsi="宋体" w:cs="宋体" w:eastAsia="宋体" w:hint="default"/>
                <w:sz w:val="18"/>
                <w:szCs w:val="18"/>
              </w:rPr>
            </w:pPr>
            <w:r>
              <w:rPr>
                <w:rFonts w:ascii="宋体" w:hAnsi="宋体" w:cs="宋体" w:eastAsia="宋体" w:hint="default"/>
                <w:sz w:val="18"/>
                <w:szCs w:val="18"/>
              </w:rPr>
              <w:t>苏州开关二厂有限公司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宋体" w:hAnsi="宋体" w:cs="宋体" w:eastAsia="宋体" w:hint="default"/>
                <w:sz w:val="18"/>
                <w:szCs w:val="18"/>
              </w:rPr>
            </w:pPr>
            <w:r>
              <w:rPr>
                <w:rFonts w:ascii="宋体" w:hAnsi="宋体" w:cs="宋体" w:eastAsia="宋体" w:hint="default"/>
                <w:sz w:val="18"/>
                <w:szCs w:val="18"/>
              </w:rPr>
              <w:t>二级</w:t>
            </w:r>
          </w:p>
        </w:tc>
        <w:tc>
          <w:tcPr>
            <w:tcW w:w="15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18"/>
                <w:szCs w:val="18"/>
              </w:rPr>
            </w:pPr>
            <w:r>
              <w:rPr>
                <w:rFonts w:ascii="Times New Roman"/>
                <w:sz w:val="18"/>
              </w:rPr>
              <w:t>70.00</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9"/>
              <w:ind w:right="6"/>
              <w:jc w:val="right"/>
              <w:rPr>
                <w:rFonts w:ascii="Times New Roman" w:hAnsi="Times New Roman" w:cs="Times New Roman" w:eastAsia="Times New Roman" w:hint="default"/>
                <w:sz w:val="18"/>
                <w:szCs w:val="18"/>
              </w:rPr>
            </w:pPr>
            <w:r>
              <w:rPr>
                <w:rFonts w:ascii="Times New Roman"/>
                <w:sz w:val="18"/>
              </w:rPr>
              <w:t>70.00</w:t>
            </w:r>
          </w:p>
        </w:tc>
      </w:tr>
      <w:tr>
        <w:trPr>
          <w:trHeight w:val="353" w:hRule="exact"/>
        </w:trPr>
        <w:tc>
          <w:tcPr>
            <w:tcW w:w="3510"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left="2" w:right="0"/>
              <w:jc w:val="left"/>
              <w:rPr>
                <w:rFonts w:ascii="宋体" w:hAnsi="宋体" w:cs="宋体" w:eastAsia="宋体" w:hint="default"/>
                <w:sz w:val="18"/>
                <w:szCs w:val="18"/>
              </w:rPr>
            </w:pPr>
            <w:r>
              <w:rPr>
                <w:rFonts w:ascii="宋体" w:hAnsi="宋体" w:cs="宋体" w:eastAsia="宋体" w:hint="default"/>
                <w:sz w:val="18"/>
                <w:szCs w:val="18"/>
              </w:rPr>
              <w:t>北京中电兴发科技有限公司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宋体" w:hAnsi="宋体" w:cs="宋体" w:eastAsia="宋体" w:hint="default"/>
                <w:sz w:val="18"/>
                <w:szCs w:val="18"/>
              </w:rPr>
            </w:pPr>
            <w:r>
              <w:rPr>
                <w:rFonts w:ascii="宋体" w:hAnsi="宋体" w:cs="宋体" w:eastAsia="宋体" w:hint="default"/>
                <w:sz w:val="18"/>
                <w:szCs w:val="18"/>
              </w:rPr>
              <w:t>二级</w:t>
            </w:r>
          </w:p>
        </w:tc>
        <w:tc>
          <w:tcPr>
            <w:tcW w:w="15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18"/>
                <w:szCs w:val="18"/>
              </w:rPr>
            </w:pPr>
            <w:r>
              <w:rPr>
                <w:rFonts w:ascii="Times New Roman"/>
                <w:sz w:val="18"/>
              </w:rPr>
              <w:t>100.00</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9"/>
              <w:ind w:right="6"/>
              <w:jc w:val="right"/>
              <w:rPr>
                <w:rFonts w:ascii="Times New Roman" w:hAnsi="Times New Roman" w:cs="Times New Roman" w:eastAsia="Times New Roman" w:hint="default"/>
                <w:sz w:val="18"/>
                <w:szCs w:val="18"/>
              </w:rPr>
            </w:pPr>
            <w:r>
              <w:rPr>
                <w:rFonts w:ascii="Times New Roman"/>
                <w:sz w:val="18"/>
              </w:rPr>
              <w:t>100.00</w:t>
            </w:r>
          </w:p>
        </w:tc>
      </w:tr>
      <w:tr>
        <w:trPr>
          <w:trHeight w:val="352" w:hRule="exact"/>
        </w:trPr>
        <w:tc>
          <w:tcPr>
            <w:tcW w:w="3510" w:type="dxa"/>
            <w:tcBorders>
              <w:top w:val="single" w:sz="12" w:space="0" w:color="000000"/>
              <w:left w:val="single" w:sz="6" w:space="0" w:color="000000"/>
              <w:bottom w:val="single" w:sz="12" w:space="0" w:color="000000"/>
              <w:right w:val="single" w:sz="6" w:space="0" w:color="000000"/>
            </w:tcBorders>
          </w:tcPr>
          <w:p>
            <w:pPr>
              <w:pStyle w:val="TableParagraph"/>
              <w:spacing w:line="248" w:lineRule="exact"/>
              <w:ind w:left="2" w:right="0"/>
              <w:jc w:val="left"/>
              <w:rPr>
                <w:rFonts w:ascii="宋体" w:hAnsi="宋体" w:cs="宋体" w:eastAsia="宋体" w:hint="default"/>
                <w:sz w:val="18"/>
                <w:szCs w:val="18"/>
              </w:rPr>
            </w:pPr>
            <w:r>
              <w:rPr>
                <w:rFonts w:ascii="宋体" w:hAnsi="宋体" w:cs="宋体" w:eastAsia="宋体" w:hint="default"/>
                <w:sz w:val="18"/>
                <w:szCs w:val="18"/>
              </w:rPr>
              <w:t>信诺非凡</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科技有限公司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宋体" w:hAnsi="宋体" w:cs="宋体" w:eastAsia="宋体" w:hint="default"/>
                <w:sz w:val="18"/>
                <w:szCs w:val="18"/>
              </w:rPr>
            </w:pPr>
            <w:r>
              <w:rPr>
                <w:rFonts w:ascii="宋体" w:hAnsi="宋体" w:cs="宋体" w:eastAsia="宋体" w:hint="default"/>
                <w:sz w:val="18"/>
                <w:szCs w:val="18"/>
              </w:rPr>
              <w:t>全资孙公司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宋体" w:hAnsi="宋体" w:cs="宋体" w:eastAsia="宋体" w:hint="default"/>
                <w:sz w:val="18"/>
                <w:szCs w:val="18"/>
              </w:rPr>
            </w:pPr>
            <w:r>
              <w:rPr>
                <w:rFonts w:ascii="宋体" w:hAnsi="宋体" w:cs="宋体" w:eastAsia="宋体" w:hint="default"/>
                <w:sz w:val="18"/>
                <w:szCs w:val="18"/>
              </w:rPr>
              <w:t>三级</w:t>
            </w:r>
          </w:p>
        </w:tc>
        <w:tc>
          <w:tcPr>
            <w:tcW w:w="15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18"/>
                <w:szCs w:val="18"/>
              </w:rPr>
            </w:pPr>
            <w:r>
              <w:rPr>
                <w:rFonts w:ascii="Times New Roman"/>
                <w:sz w:val="18"/>
              </w:rPr>
              <w:t>100.00</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9"/>
              <w:ind w:right="6"/>
              <w:jc w:val="right"/>
              <w:rPr>
                <w:rFonts w:ascii="Times New Roman" w:hAnsi="Times New Roman" w:cs="Times New Roman" w:eastAsia="Times New Roman" w:hint="default"/>
                <w:sz w:val="18"/>
                <w:szCs w:val="18"/>
              </w:rPr>
            </w:pPr>
            <w:r>
              <w:rPr>
                <w:rFonts w:ascii="Times New Roman"/>
                <w:sz w:val="18"/>
              </w:rPr>
              <w:t>100.00</w:t>
            </w:r>
          </w:p>
        </w:tc>
      </w:tr>
      <w:tr>
        <w:trPr>
          <w:trHeight w:val="352" w:hRule="exact"/>
        </w:trPr>
        <w:tc>
          <w:tcPr>
            <w:tcW w:w="3510" w:type="dxa"/>
            <w:tcBorders>
              <w:top w:val="single" w:sz="12" w:space="0" w:color="000000"/>
              <w:left w:val="single" w:sz="6" w:space="0" w:color="000000"/>
              <w:bottom w:val="single" w:sz="12" w:space="0" w:color="000000"/>
              <w:right w:val="single" w:sz="6" w:space="0" w:color="000000"/>
            </w:tcBorders>
          </w:tcPr>
          <w:p>
            <w:pPr>
              <w:pStyle w:val="TableParagraph"/>
              <w:spacing w:line="248" w:lineRule="exact"/>
              <w:ind w:left="2" w:right="0"/>
              <w:jc w:val="left"/>
              <w:rPr>
                <w:rFonts w:ascii="宋体" w:hAnsi="宋体" w:cs="宋体" w:eastAsia="宋体" w:hint="default"/>
                <w:sz w:val="18"/>
                <w:szCs w:val="18"/>
              </w:rPr>
            </w:pPr>
            <w:r>
              <w:rPr>
                <w:rFonts w:ascii="宋体" w:hAnsi="宋体" w:cs="宋体" w:eastAsia="宋体" w:hint="default"/>
                <w:sz w:val="18"/>
                <w:szCs w:val="18"/>
              </w:rPr>
              <w:t>中电兴发机器人技术</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宋体" w:hAnsi="宋体" w:cs="宋体" w:eastAsia="宋体" w:hint="default"/>
                <w:sz w:val="18"/>
                <w:szCs w:val="18"/>
              </w:rPr>
            </w:pPr>
            <w:r>
              <w:rPr>
                <w:rFonts w:ascii="宋体" w:hAnsi="宋体" w:cs="宋体" w:eastAsia="宋体" w:hint="default"/>
                <w:sz w:val="18"/>
                <w:szCs w:val="18"/>
              </w:rPr>
              <w:t>控股孙公司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宋体" w:hAnsi="宋体" w:cs="宋体" w:eastAsia="宋体" w:hint="default"/>
                <w:sz w:val="18"/>
                <w:szCs w:val="18"/>
              </w:rPr>
            </w:pPr>
            <w:r>
              <w:rPr>
                <w:rFonts w:ascii="宋体" w:hAnsi="宋体" w:cs="宋体" w:eastAsia="宋体" w:hint="default"/>
                <w:sz w:val="18"/>
                <w:szCs w:val="18"/>
              </w:rPr>
              <w:t>三级</w:t>
            </w:r>
          </w:p>
        </w:tc>
        <w:tc>
          <w:tcPr>
            <w:tcW w:w="15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18"/>
                <w:szCs w:val="18"/>
              </w:rPr>
            </w:pPr>
            <w:r>
              <w:rPr>
                <w:rFonts w:ascii="Times New Roman"/>
                <w:sz w:val="18"/>
              </w:rPr>
              <w:t>68.00</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9"/>
              <w:ind w:right="6"/>
              <w:jc w:val="right"/>
              <w:rPr>
                <w:rFonts w:ascii="Times New Roman" w:hAnsi="Times New Roman" w:cs="Times New Roman" w:eastAsia="Times New Roman" w:hint="default"/>
                <w:sz w:val="18"/>
                <w:szCs w:val="18"/>
              </w:rPr>
            </w:pPr>
            <w:r>
              <w:rPr>
                <w:rFonts w:ascii="Times New Roman"/>
                <w:sz w:val="18"/>
              </w:rPr>
              <w:t>68.00</w:t>
            </w:r>
          </w:p>
        </w:tc>
      </w:tr>
      <w:tr>
        <w:trPr>
          <w:trHeight w:val="353" w:hRule="exact"/>
        </w:trPr>
        <w:tc>
          <w:tcPr>
            <w:tcW w:w="3510"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left="2" w:right="0"/>
              <w:jc w:val="left"/>
              <w:rPr>
                <w:rFonts w:ascii="宋体" w:hAnsi="宋体" w:cs="宋体" w:eastAsia="宋体" w:hint="default"/>
                <w:sz w:val="18"/>
                <w:szCs w:val="18"/>
              </w:rPr>
            </w:pPr>
            <w:r>
              <w:rPr>
                <w:rFonts w:ascii="宋体" w:hAnsi="宋体" w:cs="宋体" w:eastAsia="宋体" w:hint="default"/>
                <w:sz w:val="18"/>
                <w:szCs w:val="18"/>
              </w:rPr>
              <w:t>安徽鑫龙电器有限公司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宋体" w:hAnsi="宋体" w:cs="宋体" w:eastAsia="宋体" w:hint="default"/>
                <w:sz w:val="18"/>
                <w:szCs w:val="18"/>
              </w:rPr>
            </w:pPr>
            <w:r>
              <w:rPr>
                <w:rFonts w:ascii="宋体" w:hAnsi="宋体" w:cs="宋体" w:eastAsia="宋体" w:hint="default"/>
                <w:sz w:val="18"/>
                <w:szCs w:val="18"/>
              </w:rPr>
              <w:t>二级</w:t>
            </w:r>
          </w:p>
        </w:tc>
        <w:tc>
          <w:tcPr>
            <w:tcW w:w="15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18"/>
                <w:szCs w:val="18"/>
              </w:rPr>
            </w:pPr>
            <w:r>
              <w:rPr>
                <w:rFonts w:ascii="Times New Roman"/>
                <w:sz w:val="18"/>
              </w:rPr>
              <w:t>100.00</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9"/>
              <w:ind w:right="6"/>
              <w:jc w:val="right"/>
              <w:rPr>
                <w:rFonts w:ascii="Times New Roman" w:hAnsi="Times New Roman" w:cs="Times New Roman" w:eastAsia="Times New Roman" w:hint="default"/>
                <w:sz w:val="18"/>
                <w:szCs w:val="18"/>
              </w:rPr>
            </w:pPr>
            <w:r>
              <w:rPr>
                <w:rFonts w:ascii="Times New Roman"/>
                <w:sz w:val="18"/>
              </w:rPr>
              <w:t>100.00</w:t>
            </w:r>
          </w:p>
        </w:tc>
      </w:tr>
      <w:tr>
        <w:trPr>
          <w:trHeight w:val="352" w:hRule="exact"/>
        </w:trPr>
        <w:tc>
          <w:tcPr>
            <w:tcW w:w="3510"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left="2" w:right="0"/>
              <w:jc w:val="left"/>
              <w:rPr>
                <w:rFonts w:ascii="宋体" w:hAnsi="宋体" w:cs="宋体" w:eastAsia="宋体" w:hint="default"/>
                <w:sz w:val="18"/>
                <w:szCs w:val="18"/>
              </w:rPr>
            </w:pPr>
            <w:r>
              <w:rPr>
                <w:rFonts w:ascii="宋体" w:hAnsi="宋体" w:cs="宋体" w:eastAsia="宋体" w:hint="default"/>
                <w:sz w:val="18"/>
                <w:szCs w:val="18"/>
              </w:rPr>
              <w:t>安徽龙玺新能源科技有限公司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宋体" w:hAnsi="宋体" w:cs="宋体" w:eastAsia="宋体" w:hint="default"/>
                <w:sz w:val="18"/>
                <w:szCs w:val="18"/>
              </w:rPr>
            </w:pPr>
            <w:r>
              <w:rPr>
                <w:rFonts w:ascii="宋体" w:hAnsi="宋体" w:cs="宋体" w:eastAsia="宋体" w:hint="default"/>
                <w:sz w:val="18"/>
                <w:szCs w:val="18"/>
              </w:rPr>
              <w:t>控股孙公司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宋体" w:hAnsi="宋体" w:cs="宋体" w:eastAsia="宋体" w:hint="default"/>
                <w:sz w:val="18"/>
                <w:szCs w:val="18"/>
              </w:rPr>
            </w:pPr>
            <w:r>
              <w:rPr>
                <w:rFonts w:ascii="宋体" w:hAnsi="宋体" w:cs="宋体" w:eastAsia="宋体" w:hint="default"/>
                <w:sz w:val="18"/>
                <w:szCs w:val="18"/>
              </w:rPr>
              <w:t>三级</w:t>
            </w:r>
          </w:p>
        </w:tc>
        <w:tc>
          <w:tcPr>
            <w:tcW w:w="15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18"/>
                <w:szCs w:val="18"/>
              </w:rPr>
            </w:pPr>
            <w:r>
              <w:rPr>
                <w:rFonts w:ascii="Times New Roman"/>
                <w:sz w:val="18"/>
              </w:rPr>
              <w:t>65.00</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9"/>
              <w:ind w:right="6"/>
              <w:jc w:val="right"/>
              <w:rPr>
                <w:rFonts w:ascii="Times New Roman" w:hAnsi="Times New Roman" w:cs="Times New Roman" w:eastAsia="Times New Roman" w:hint="default"/>
                <w:sz w:val="18"/>
                <w:szCs w:val="18"/>
              </w:rPr>
            </w:pPr>
            <w:r>
              <w:rPr>
                <w:rFonts w:ascii="Times New Roman"/>
                <w:sz w:val="18"/>
              </w:rPr>
              <w:t>65.00</w:t>
            </w:r>
          </w:p>
        </w:tc>
      </w:tr>
      <w:tr>
        <w:trPr>
          <w:trHeight w:val="352" w:hRule="exact"/>
        </w:trPr>
        <w:tc>
          <w:tcPr>
            <w:tcW w:w="3510"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left="2" w:right="0"/>
              <w:jc w:val="left"/>
              <w:rPr>
                <w:rFonts w:ascii="宋体" w:hAnsi="宋体" w:cs="宋体" w:eastAsia="宋体" w:hint="default"/>
                <w:sz w:val="18"/>
                <w:szCs w:val="18"/>
              </w:rPr>
            </w:pPr>
            <w:r>
              <w:rPr>
                <w:rFonts w:ascii="宋体" w:hAnsi="宋体" w:cs="宋体" w:eastAsia="宋体" w:hint="default"/>
                <w:sz w:val="18"/>
                <w:szCs w:val="18"/>
              </w:rPr>
              <w:t>红河智慧科技有限公司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宋体" w:hAnsi="宋体" w:cs="宋体" w:eastAsia="宋体" w:hint="default"/>
                <w:sz w:val="18"/>
                <w:szCs w:val="18"/>
              </w:rPr>
            </w:pPr>
            <w:r>
              <w:rPr>
                <w:rFonts w:ascii="宋体" w:hAnsi="宋体" w:cs="宋体" w:eastAsia="宋体" w:hint="default"/>
                <w:sz w:val="18"/>
                <w:szCs w:val="18"/>
              </w:rPr>
              <w:t>控股孙公司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宋体" w:hAnsi="宋体" w:cs="宋体" w:eastAsia="宋体" w:hint="default"/>
                <w:sz w:val="18"/>
                <w:szCs w:val="18"/>
              </w:rPr>
            </w:pPr>
            <w:r>
              <w:rPr>
                <w:rFonts w:ascii="宋体" w:hAnsi="宋体" w:cs="宋体" w:eastAsia="宋体" w:hint="default"/>
                <w:sz w:val="18"/>
                <w:szCs w:val="18"/>
              </w:rPr>
              <w:t>三级</w:t>
            </w:r>
          </w:p>
        </w:tc>
        <w:tc>
          <w:tcPr>
            <w:tcW w:w="15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18"/>
                <w:szCs w:val="18"/>
              </w:rPr>
            </w:pPr>
            <w:r>
              <w:rPr>
                <w:rFonts w:ascii="Times New Roman"/>
                <w:sz w:val="18"/>
              </w:rPr>
              <w:t>51.00</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9"/>
              <w:ind w:right="6"/>
              <w:jc w:val="right"/>
              <w:rPr>
                <w:rFonts w:ascii="Times New Roman" w:hAnsi="Times New Roman" w:cs="Times New Roman" w:eastAsia="Times New Roman" w:hint="default"/>
                <w:sz w:val="18"/>
                <w:szCs w:val="18"/>
              </w:rPr>
            </w:pPr>
            <w:r>
              <w:rPr>
                <w:rFonts w:ascii="Times New Roman"/>
                <w:sz w:val="18"/>
              </w:rPr>
              <w:t>51.00</w:t>
            </w:r>
          </w:p>
        </w:tc>
      </w:tr>
      <w:tr>
        <w:trPr>
          <w:trHeight w:val="665" w:hRule="exact"/>
        </w:trPr>
        <w:tc>
          <w:tcPr>
            <w:tcW w:w="3510"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left="2" w:right="0"/>
              <w:jc w:val="left"/>
              <w:rPr>
                <w:rFonts w:ascii="宋体" w:hAnsi="宋体" w:cs="宋体" w:eastAsia="宋体" w:hint="default"/>
                <w:sz w:val="18"/>
                <w:szCs w:val="18"/>
              </w:rPr>
            </w:pPr>
            <w:r>
              <w:rPr>
                <w:rFonts w:ascii="宋体" w:hAnsi="宋体" w:cs="宋体" w:eastAsia="宋体" w:hint="default"/>
                <w:sz w:val="18"/>
                <w:szCs w:val="18"/>
              </w:rPr>
              <w:t>云南红河智慧城市互联网发展有限公司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ind w:left="351" w:right="82" w:hanging="271"/>
              <w:jc w:val="left"/>
              <w:rPr>
                <w:rFonts w:ascii="宋体" w:hAnsi="宋体" w:cs="宋体" w:eastAsia="宋体" w:hint="default"/>
                <w:sz w:val="18"/>
                <w:szCs w:val="18"/>
              </w:rPr>
            </w:pPr>
            <w:r>
              <w:rPr>
                <w:rFonts w:ascii="宋体" w:hAnsi="宋体" w:cs="宋体" w:eastAsia="宋体" w:hint="default"/>
                <w:sz w:val="18"/>
                <w:szCs w:val="18"/>
              </w:rPr>
              <w:t>控股孙公司的 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宋体" w:hAnsi="宋体" w:cs="宋体" w:eastAsia="宋体" w:hint="default"/>
                <w:sz w:val="18"/>
                <w:szCs w:val="18"/>
              </w:rPr>
            </w:pPr>
            <w:r>
              <w:rPr>
                <w:rFonts w:ascii="宋体" w:hAnsi="宋体" w:cs="宋体" w:eastAsia="宋体" w:hint="default"/>
                <w:sz w:val="18"/>
                <w:szCs w:val="18"/>
              </w:rPr>
              <w:t>四级</w:t>
            </w:r>
          </w:p>
        </w:tc>
        <w:tc>
          <w:tcPr>
            <w:tcW w:w="15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18"/>
                <w:szCs w:val="18"/>
              </w:rPr>
            </w:pPr>
            <w:r>
              <w:rPr>
                <w:rFonts w:ascii="Times New Roman"/>
                <w:sz w:val="18"/>
              </w:rPr>
              <w:t>70.00</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9"/>
              <w:ind w:right="6"/>
              <w:jc w:val="right"/>
              <w:rPr>
                <w:rFonts w:ascii="Times New Roman" w:hAnsi="Times New Roman" w:cs="Times New Roman" w:eastAsia="Times New Roman" w:hint="default"/>
                <w:sz w:val="18"/>
                <w:szCs w:val="18"/>
              </w:rPr>
            </w:pPr>
            <w:r>
              <w:rPr>
                <w:rFonts w:ascii="Times New Roman"/>
                <w:sz w:val="18"/>
              </w:rPr>
              <w:t>70.00</w:t>
            </w:r>
          </w:p>
        </w:tc>
      </w:tr>
      <w:tr>
        <w:trPr>
          <w:trHeight w:val="664" w:hRule="exact"/>
        </w:trPr>
        <w:tc>
          <w:tcPr>
            <w:tcW w:w="3510"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left="2" w:right="0"/>
              <w:jc w:val="left"/>
              <w:rPr>
                <w:rFonts w:ascii="宋体" w:hAnsi="宋体" w:cs="宋体" w:eastAsia="宋体" w:hint="default"/>
                <w:sz w:val="18"/>
                <w:szCs w:val="18"/>
              </w:rPr>
            </w:pPr>
            <w:r>
              <w:rPr>
                <w:rFonts w:ascii="宋体" w:hAnsi="宋体" w:cs="宋体" w:eastAsia="宋体" w:hint="default"/>
                <w:sz w:val="18"/>
                <w:szCs w:val="18"/>
              </w:rPr>
              <w:t>红河智慧旅游信息发展有限公司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ind w:left="351" w:right="82" w:hanging="271"/>
              <w:jc w:val="left"/>
              <w:rPr>
                <w:rFonts w:ascii="宋体" w:hAnsi="宋体" w:cs="宋体" w:eastAsia="宋体" w:hint="default"/>
                <w:sz w:val="18"/>
                <w:szCs w:val="18"/>
              </w:rPr>
            </w:pPr>
            <w:r>
              <w:rPr>
                <w:rFonts w:ascii="宋体" w:hAnsi="宋体" w:cs="宋体" w:eastAsia="宋体" w:hint="default"/>
                <w:sz w:val="18"/>
                <w:szCs w:val="18"/>
              </w:rPr>
              <w:t>控股孙公司的 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宋体" w:hAnsi="宋体" w:cs="宋体" w:eastAsia="宋体" w:hint="default"/>
                <w:sz w:val="18"/>
                <w:szCs w:val="18"/>
              </w:rPr>
            </w:pPr>
            <w:r>
              <w:rPr>
                <w:rFonts w:ascii="宋体" w:hAnsi="宋体" w:cs="宋体" w:eastAsia="宋体" w:hint="default"/>
                <w:sz w:val="18"/>
                <w:szCs w:val="18"/>
              </w:rPr>
              <w:t>四级</w:t>
            </w:r>
          </w:p>
        </w:tc>
        <w:tc>
          <w:tcPr>
            <w:tcW w:w="15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18"/>
                <w:szCs w:val="18"/>
              </w:rPr>
            </w:pPr>
            <w:r>
              <w:rPr>
                <w:rFonts w:ascii="Times New Roman"/>
                <w:sz w:val="18"/>
              </w:rPr>
              <w:t>62.00</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9"/>
              <w:ind w:right="6"/>
              <w:jc w:val="right"/>
              <w:rPr>
                <w:rFonts w:ascii="Times New Roman" w:hAnsi="Times New Roman" w:cs="Times New Roman" w:eastAsia="Times New Roman" w:hint="default"/>
                <w:sz w:val="18"/>
                <w:szCs w:val="18"/>
              </w:rPr>
            </w:pPr>
            <w:r>
              <w:rPr>
                <w:rFonts w:ascii="Times New Roman"/>
                <w:sz w:val="18"/>
              </w:rPr>
              <w:t>62.00</w:t>
            </w:r>
          </w:p>
        </w:tc>
      </w:tr>
      <w:tr>
        <w:trPr>
          <w:trHeight w:val="352" w:hRule="exact"/>
        </w:trPr>
        <w:tc>
          <w:tcPr>
            <w:tcW w:w="3510"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left="2" w:right="0"/>
              <w:jc w:val="left"/>
              <w:rPr>
                <w:rFonts w:ascii="宋体" w:hAnsi="宋体" w:cs="宋体" w:eastAsia="宋体" w:hint="default"/>
                <w:sz w:val="18"/>
                <w:szCs w:val="18"/>
              </w:rPr>
            </w:pPr>
            <w:r>
              <w:rPr>
                <w:rFonts w:ascii="宋体" w:hAnsi="宋体" w:cs="宋体" w:eastAsia="宋体" w:hint="default"/>
                <w:sz w:val="18"/>
                <w:szCs w:val="18"/>
              </w:rPr>
              <w:t>安徽鑫畅达轨道交通电气有限公司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宋体" w:hAnsi="宋体" w:cs="宋体" w:eastAsia="宋体" w:hint="default"/>
                <w:sz w:val="18"/>
                <w:szCs w:val="18"/>
              </w:rPr>
            </w:pPr>
            <w:r>
              <w:rPr>
                <w:rFonts w:ascii="宋体" w:hAnsi="宋体" w:cs="宋体" w:eastAsia="宋体" w:hint="default"/>
                <w:sz w:val="18"/>
                <w:szCs w:val="18"/>
              </w:rPr>
              <w:t>三级</w:t>
            </w:r>
          </w:p>
        </w:tc>
        <w:tc>
          <w:tcPr>
            <w:tcW w:w="15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18"/>
                <w:szCs w:val="18"/>
              </w:rPr>
            </w:pPr>
            <w:r>
              <w:rPr>
                <w:rFonts w:ascii="Times New Roman"/>
                <w:sz w:val="18"/>
              </w:rPr>
              <w:t>100.00</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9"/>
              <w:ind w:right="6"/>
              <w:jc w:val="right"/>
              <w:rPr>
                <w:rFonts w:ascii="Times New Roman" w:hAnsi="Times New Roman" w:cs="Times New Roman" w:eastAsia="Times New Roman" w:hint="default"/>
                <w:sz w:val="18"/>
                <w:szCs w:val="18"/>
              </w:rPr>
            </w:pPr>
            <w:r>
              <w:rPr>
                <w:rFonts w:ascii="Times New Roman"/>
                <w:sz w:val="18"/>
              </w:rPr>
              <w:t>100.00</w:t>
            </w:r>
          </w:p>
        </w:tc>
      </w:tr>
      <w:tr>
        <w:trPr>
          <w:trHeight w:val="353" w:hRule="exact"/>
        </w:trPr>
        <w:tc>
          <w:tcPr>
            <w:tcW w:w="3510"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left="2" w:right="0"/>
              <w:jc w:val="left"/>
              <w:rPr>
                <w:rFonts w:ascii="宋体" w:hAnsi="宋体" w:cs="宋体" w:eastAsia="宋体" w:hint="default"/>
                <w:sz w:val="18"/>
                <w:szCs w:val="18"/>
              </w:rPr>
            </w:pPr>
            <w:r>
              <w:rPr>
                <w:rFonts w:ascii="宋体" w:hAnsi="宋体" w:cs="宋体" w:eastAsia="宋体" w:hint="default"/>
                <w:sz w:val="18"/>
                <w:szCs w:val="18"/>
              </w:rPr>
              <w:t>安徽鑫龙售电有限公司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宋体" w:hAnsi="宋体" w:cs="宋体" w:eastAsia="宋体" w:hint="default"/>
                <w:sz w:val="18"/>
                <w:szCs w:val="18"/>
              </w:rPr>
            </w:pPr>
            <w:r>
              <w:rPr>
                <w:rFonts w:ascii="宋体" w:hAnsi="宋体" w:cs="宋体" w:eastAsia="宋体" w:hint="default"/>
                <w:sz w:val="18"/>
                <w:szCs w:val="18"/>
              </w:rPr>
              <w:t>二级</w:t>
            </w:r>
          </w:p>
        </w:tc>
        <w:tc>
          <w:tcPr>
            <w:tcW w:w="15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18"/>
                <w:szCs w:val="18"/>
              </w:rPr>
            </w:pPr>
            <w:r>
              <w:rPr>
                <w:rFonts w:ascii="Times New Roman"/>
                <w:sz w:val="18"/>
              </w:rPr>
              <w:t>100.00</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9"/>
              <w:ind w:right="6"/>
              <w:jc w:val="right"/>
              <w:rPr>
                <w:rFonts w:ascii="Times New Roman" w:hAnsi="Times New Roman" w:cs="Times New Roman" w:eastAsia="Times New Roman" w:hint="default"/>
                <w:sz w:val="18"/>
                <w:szCs w:val="18"/>
              </w:rPr>
            </w:pPr>
            <w:r>
              <w:rPr>
                <w:rFonts w:ascii="Times New Roman"/>
                <w:sz w:val="18"/>
              </w:rPr>
              <w:t>100.00</w:t>
            </w:r>
          </w:p>
        </w:tc>
      </w:tr>
      <w:tr>
        <w:trPr>
          <w:trHeight w:val="352" w:hRule="exact"/>
        </w:trPr>
        <w:tc>
          <w:tcPr>
            <w:tcW w:w="3510"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left="2" w:right="0"/>
              <w:jc w:val="left"/>
              <w:rPr>
                <w:rFonts w:ascii="宋体" w:hAnsi="宋体" w:cs="宋体" w:eastAsia="宋体" w:hint="default"/>
                <w:sz w:val="18"/>
                <w:szCs w:val="18"/>
              </w:rPr>
            </w:pPr>
            <w:r>
              <w:rPr>
                <w:rFonts w:ascii="宋体" w:hAnsi="宋体" w:cs="宋体" w:eastAsia="宋体" w:hint="default"/>
                <w:sz w:val="18"/>
                <w:szCs w:val="18"/>
              </w:rPr>
              <w:t>云南中电典基网络科技有限公司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宋体" w:hAnsi="宋体" w:cs="宋体" w:eastAsia="宋体" w:hint="default"/>
                <w:sz w:val="18"/>
                <w:szCs w:val="18"/>
              </w:rPr>
            </w:pPr>
            <w:r>
              <w:rPr>
                <w:rFonts w:ascii="宋体" w:hAnsi="宋体" w:cs="宋体" w:eastAsia="宋体" w:hint="default"/>
                <w:sz w:val="18"/>
                <w:szCs w:val="18"/>
              </w:rPr>
              <w:t>控股孙公司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宋体" w:hAnsi="宋体" w:cs="宋体" w:eastAsia="宋体" w:hint="default"/>
                <w:sz w:val="18"/>
                <w:szCs w:val="18"/>
              </w:rPr>
            </w:pPr>
            <w:r>
              <w:rPr>
                <w:rFonts w:ascii="宋体" w:hAnsi="宋体" w:cs="宋体" w:eastAsia="宋体" w:hint="default"/>
                <w:sz w:val="18"/>
                <w:szCs w:val="18"/>
              </w:rPr>
              <w:t>三级</w:t>
            </w:r>
          </w:p>
        </w:tc>
        <w:tc>
          <w:tcPr>
            <w:tcW w:w="15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18"/>
                <w:szCs w:val="18"/>
              </w:rPr>
            </w:pPr>
            <w:r>
              <w:rPr>
                <w:rFonts w:ascii="Times New Roman"/>
                <w:sz w:val="18"/>
              </w:rPr>
              <w:t>60.00</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9"/>
              <w:ind w:right="6"/>
              <w:jc w:val="right"/>
              <w:rPr>
                <w:rFonts w:ascii="Times New Roman" w:hAnsi="Times New Roman" w:cs="Times New Roman" w:eastAsia="Times New Roman" w:hint="default"/>
                <w:sz w:val="18"/>
                <w:szCs w:val="18"/>
              </w:rPr>
            </w:pPr>
            <w:r>
              <w:rPr>
                <w:rFonts w:ascii="Times New Roman"/>
                <w:sz w:val="18"/>
              </w:rPr>
              <w:t>60.00</w:t>
            </w:r>
          </w:p>
        </w:tc>
      </w:tr>
      <w:tr>
        <w:trPr>
          <w:trHeight w:val="352" w:hRule="exact"/>
        </w:trPr>
        <w:tc>
          <w:tcPr>
            <w:tcW w:w="3510"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left="2" w:right="0"/>
              <w:jc w:val="left"/>
              <w:rPr>
                <w:rFonts w:ascii="宋体" w:hAnsi="宋体" w:cs="宋体" w:eastAsia="宋体" w:hint="default"/>
                <w:sz w:val="18"/>
                <w:szCs w:val="18"/>
              </w:rPr>
            </w:pPr>
            <w:r>
              <w:rPr>
                <w:rFonts w:ascii="宋体" w:hAnsi="宋体" w:cs="宋体" w:eastAsia="宋体" w:hint="default"/>
                <w:sz w:val="18"/>
                <w:szCs w:val="18"/>
              </w:rPr>
              <w:t>伊宁县智慧城市信息科技有限公司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宋体" w:hAnsi="宋体" w:cs="宋体" w:eastAsia="宋体" w:hint="default"/>
                <w:sz w:val="18"/>
                <w:szCs w:val="18"/>
              </w:rPr>
            </w:pPr>
            <w:r>
              <w:rPr>
                <w:rFonts w:ascii="宋体" w:hAnsi="宋体" w:cs="宋体" w:eastAsia="宋体" w:hint="default"/>
                <w:sz w:val="18"/>
                <w:szCs w:val="18"/>
              </w:rPr>
              <w:t>控股孙公司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宋体" w:hAnsi="宋体" w:cs="宋体" w:eastAsia="宋体" w:hint="default"/>
                <w:sz w:val="18"/>
                <w:szCs w:val="18"/>
              </w:rPr>
            </w:pPr>
            <w:r>
              <w:rPr>
                <w:rFonts w:ascii="宋体" w:hAnsi="宋体" w:cs="宋体" w:eastAsia="宋体" w:hint="default"/>
                <w:sz w:val="18"/>
                <w:szCs w:val="18"/>
              </w:rPr>
              <w:t>三级</w:t>
            </w:r>
          </w:p>
        </w:tc>
        <w:tc>
          <w:tcPr>
            <w:tcW w:w="15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18"/>
                <w:szCs w:val="18"/>
              </w:rPr>
            </w:pPr>
            <w:r>
              <w:rPr>
                <w:rFonts w:ascii="Times New Roman"/>
                <w:sz w:val="18"/>
              </w:rPr>
              <w:t>95.00</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9"/>
              <w:ind w:right="6"/>
              <w:jc w:val="right"/>
              <w:rPr>
                <w:rFonts w:ascii="Times New Roman" w:hAnsi="Times New Roman" w:cs="Times New Roman" w:eastAsia="Times New Roman" w:hint="default"/>
                <w:sz w:val="18"/>
                <w:szCs w:val="18"/>
              </w:rPr>
            </w:pPr>
            <w:r>
              <w:rPr>
                <w:rFonts w:ascii="Times New Roman"/>
                <w:sz w:val="18"/>
              </w:rPr>
              <w:t>95.00</w:t>
            </w:r>
          </w:p>
        </w:tc>
      </w:tr>
      <w:tr>
        <w:trPr>
          <w:trHeight w:val="353" w:hRule="exact"/>
        </w:trPr>
        <w:tc>
          <w:tcPr>
            <w:tcW w:w="3510"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left="2" w:right="0"/>
              <w:jc w:val="left"/>
              <w:rPr>
                <w:rFonts w:ascii="宋体" w:hAnsi="宋体" w:cs="宋体" w:eastAsia="宋体" w:hint="default"/>
                <w:sz w:val="18"/>
                <w:szCs w:val="18"/>
              </w:rPr>
            </w:pPr>
            <w:r>
              <w:rPr>
                <w:rFonts w:ascii="宋体" w:hAnsi="宋体" w:cs="宋体" w:eastAsia="宋体" w:hint="default"/>
                <w:sz w:val="18"/>
                <w:szCs w:val="18"/>
              </w:rPr>
              <w:t>天津滨龙工程管理咨询有限公司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宋体" w:hAnsi="宋体" w:cs="宋体" w:eastAsia="宋体" w:hint="default"/>
                <w:sz w:val="18"/>
                <w:szCs w:val="18"/>
              </w:rPr>
            </w:pPr>
            <w:r>
              <w:rPr>
                <w:rFonts w:ascii="宋体" w:hAnsi="宋体" w:cs="宋体" w:eastAsia="宋体" w:hint="default"/>
                <w:sz w:val="18"/>
                <w:szCs w:val="18"/>
              </w:rPr>
              <w:t>控股孙公司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宋体" w:hAnsi="宋体" w:cs="宋体" w:eastAsia="宋体" w:hint="default"/>
                <w:sz w:val="18"/>
                <w:szCs w:val="18"/>
              </w:rPr>
            </w:pPr>
            <w:r>
              <w:rPr>
                <w:rFonts w:ascii="宋体" w:hAnsi="宋体" w:cs="宋体" w:eastAsia="宋体" w:hint="default"/>
                <w:sz w:val="18"/>
                <w:szCs w:val="18"/>
              </w:rPr>
              <w:t>三级</w:t>
            </w:r>
          </w:p>
        </w:tc>
        <w:tc>
          <w:tcPr>
            <w:tcW w:w="15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18"/>
                <w:szCs w:val="18"/>
              </w:rPr>
            </w:pPr>
            <w:r>
              <w:rPr>
                <w:rFonts w:ascii="Times New Roman"/>
                <w:sz w:val="18"/>
              </w:rPr>
              <w:t>40.00</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9"/>
              <w:ind w:right="6"/>
              <w:jc w:val="right"/>
              <w:rPr>
                <w:rFonts w:ascii="Times New Roman" w:hAnsi="Times New Roman" w:cs="Times New Roman" w:eastAsia="Times New Roman" w:hint="default"/>
                <w:sz w:val="18"/>
                <w:szCs w:val="18"/>
              </w:rPr>
            </w:pPr>
            <w:r>
              <w:rPr>
                <w:rFonts w:ascii="Times New Roman"/>
                <w:sz w:val="18"/>
              </w:rPr>
              <w:t>40.00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3510"/>
        <w:gridCol w:w="1260"/>
        <w:gridCol w:w="725"/>
        <w:gridCol w:w="1517"/>
        <w:gridCol w:w="1517"/>
      </w:tblGrid>
      <w:tr>
        <w:trPr>
          <w:trHeight w:val="355" w:hRule="exact"/>
        </w:trPr>
        <w:tc>
          <w:tcPr>
            <w:tcW w:w="35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苏州天平安装工程有限公司</w:t>
            </w:r>
          </w:p>
        </w:tc>
        <w:tc>
          <w:tcPr>
            <w:tcW w:w="12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hAnsi="宋体" w:cs="宋体" w:eastAsia="宋体" w:hint="default"/>
                <w:sz w:val="18"/>
                <w:szCs w:val="18"/>
              </w:rPr>
              <w:t>控股孙公司</w:t>
            </w:r>
          </w:p>
        </w:tc>
        <w:tc>
          <w:tcPr>
            <w:tcW w:w="72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三级</w:t>
            </w:r>
          </w:p>
        </w:tc>
        <w:tc>
          <w:tcPr>
            <w:tcW w:w="15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99.71</w:t>
            </w:r>
          </w:p>
        </w:tc>
        <w:tc>
          <w:tcPr>
            <w:tcW w:w="151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1"/>
              <w:ind w:right="6"/>
              <w:jc w:val="right"/>
              <w:rPr>
                <w:rFonts w:ascii="Times New Roman" w:hAnsi="Times New Roman" w:cs="Times New Roman" w:eastAsia="Times New Roman" w:hint="default"/>
                <w:sz w:val="18"/>
                <w:szCs w:val="18"/>
              </w:rPr>
            </w:pPr>
            <w:r>
              <w:rPr>
                <w:rFonts w:ascii="Times New Roman"/>
                <w:sz w:val="18"/>
              </w:rPr>
              <w:t>99.71</w:t>
            </w:r>
          </w:p>
        </w:tc>
      </w:tr>
      <w:tr>
        <w:trPr>
          <w:trHeight w:val="352" w:hRule="exact"/>
        </w:trPr>
        <w:tc>
          <w:tcPr>
            <w:tcW w:w="35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安徽中电兴发科技有限公司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hAnsi="宋体" w:cs="宋体" w:eastAsia="宋体" w:hint="default"/>
                <w:sz w:val="18"/>
                <w:szCs w:val="18"/>
              </w:rPr>
              <w:t>全资孙公司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hAnsi="宋体" w:cs="宋体" w:eastAsia="宋体" w:hint="default"/>
                <w:sz w:val="18"/>
                <w:szCs w:val="18"/>
              </w:rPr>
              <w:t>三级</w:t>
            </w:r>
          </w:p>
        </w:tc>
        <w:tc>
          <w:tcPr>
            <w:tcW w:w="15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100.00</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100.00</w:t>
            </w:r>
          </w:p>
        </w:tc>
      </w:tr>
      <w:tr>
        <w:trPr>
          <w:trHeight w:val="353" w:hRule="exact"/>
        </w:trPr>
        <w:tc>
          <w:tcPr>
            <w:tcW w:w="35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中电兴发软件研发（北京）有限公司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hAnsi="宋体" w:cs="宋体" w:eastAsia="宋体" w:hint="default"/>
                <w:sz w:val="18"/>
                <w:szCs w:val="18"/>
              </w:rPr>
              <w:t>控股孙公司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hAnsi="宋体" w:cs="宋体" w:eastAsia="宋体" w:hint="default"/>
                <w:sz w:val="18"/>
                <w:szCs w:val="18"/>
              </w:rPr>
              <w:t>三级</w:t>
            </w:r>
          </w:p>
        </w:tc>
        <w:tc>
          <w:tcPr>
            <w:tcW w:w="15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67.00</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67.00</w:t>
            </w:r>
          </w:p>
        </w:tc>
      </w:tr>
      <w:tr>
        <w:trPr>
          <w:trHeight w:val="352" w:hRule="exact"/>
        </w:trPr>
        <w:tc>
          <w:tcPr>
            <w:tcW w:w="35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北京普天智慧科技有限公司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hAnsi="宋体" w:cs="宋体" w:eastAsia="宋体" w:hint="default"/>
                <w:sz w:val="18"/>
                <w:szCs w:val="18"/>
              </w:rPr>
              <w:t>全资孙公司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hAnsi="宋体" w:cs="宋体" w:eastAsia="宋体" w:hint="default"/>
                <w:sz w:val="18"/>
                <w:szCs w:val="18"/>
              </w:rPr>
              <w:t>三级</w:t>
            </w:r>
          </w:p>
        </w:tc>
        <w:tc>
          <w:tcPr>
            <w:tcW w:w="15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100.00</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100.00</w:t>
            </w:r>
          </w:p>
        </w:tc>
      </w:tr>
      <w:tr>
        <w:trPr>
          <w:trHeight w:val="352" w:hRule="exact"/>
        </w:trPr>
        <w:tc>
          <w:tcPr>
            <w:tcW w:w="35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枣强县智慧城市信息技术服务有限公司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hAnsi="宋体" w:cs="宋体" w:eastAsia="宋体" w:hint="default"/>
                <w:sz w:val="18"/>
                <w:szCs w:val="18"/>
              </w:rPr>
              <w:t>全资孙公司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hAnsi="宋体" w:cs="宋体" w:eastAsia="宋体" w:hint="default"/>
                <w:sz w:val="18"/>
                <w:szCs w:val="18"/>
              </w:rPr>
              <w:t>三级</w:t>
            </w:r>
          </w:p>
        </w:tc>
        <w:tc>
          <w:tcPr>
            <w:tcW w:w="15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100.00</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100.00</w:t>
            </w:r>
          </w:p>
        </w:tc>
      </w:tr>
      <w:tr>
        <w:trPr>
          <w:trHeight w:val="353" w:hRule="exact"/>
        </w:trPr>
        <w:tc>
          <w:tcPr>
            <w:tcW w:w="35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中普慧园科技（北京）有限公司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hAnsi="宋体" w:cs="宋体" w:eastAsia="宋体" w:hint="default"/>
                <w:sz w:val="18"/>
                <w:szCs w:val="18"/>
              </w:rPr>
              <w:t>全资孙公司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hAnsi="宋体" w:cs="宋体" w:eastAsia="宋体" w:hint="default"/>
                <w:sz w:val="18"/>
                <w:szCs w:val="18"/>
              </w:rPr>
              <w:t>三级</w:t>
            </w:r>
          </w:p>
        </w:tc>
        <w:tc>
          <w:tcPr>
            <w:tcW w:w="15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100.00</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100.00</w:t>
            </w:r>
          </w:p>
        </w:tc>
      </w:tr>
      <w:tr>
        <w:trPr>
          <w:trHeight w:val="352" w:hRule="exact"/>
        </w:trPr>
        <w:tc>
          <w:tcPr>
            <w:tcW w:w="35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凤凰智慧城市管理运营有限责任公司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hAnsi="宋体" w:cs="宋体" w:eastAsia="宋体" w:hint="default"/>
                <w:sz w:val="18"/>
                <w:szCs w:val="18"/>
              </w:rPr>
              <w:t>控股孙公司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hAnsi="宋体" w:cs="宋体" w:eastAsia="宋体" w:hint="default"/>
                <w:sz w:val="18"/>
                <w:szCs w:val="18"/>
              </w:rPr>
              <w:t>三级</w:t>
            </w:r>
          </w:p>
        </w:tc>
        <w:tc>
          <w:tcPr>
            <w:tcW w:w="15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80.00</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80.00</w:t>
            </w:r>
          </w:p>
        </w:tc>
      </w:tr>
      <w:tr>
        <w:trPr>
          <w:trHeight w:val="352" w:hRule="exact"/>
        </w:trPr>
        <w:tc>
          <w:tcPr>
            <w:tcW w:w="35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云南中电新联通信网络有限公司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hAnsi="宋体" w:cs="宋体" w:eastAsia="宋体" w:hint="default"/>
                <w:sz w:val="18"/>
                <w:szCs w:val="18"/>
              </w:rPr>
              <w:t>全资孙公司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hAnsi="宋体" w:cs="宋体" w:eastAsia="宋体" w:hint="default"/>
                <w:sz w:val="18"/>
                <w:szCs w:val="18"/>
              </w:rPr>
              <w:t>三级</w:t>
            </w:r>
          </w:p>
        </w:tc>
        <w:tc>
          <w:tcPr>
            <w:tcW w:w="15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100.00</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100.00</w:t>
            </w:r>
          </w:p>
        </w:tc>
      </w:tr>
      <w:tr>
        <w:trPr>
          <w:trHeight w:val="665" w:hRule="exact"/>
        </w:trPr>
        <w:tc>
          <w:tcPr>
            <w:tcW w:w="35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昭通中典联网络科技有限公司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61" w:right="0"/>
              <w:jc w:val="left"/>
              <w:rPr>
                <w:rFonts w:ascii="宋体" w:hAnsi="宋体" w:cs="宋体" w:eastAsia="宋体" w:hint="default"/>
                <w:sz w:val="18"/>
                <w:szCs w:val="18"/>
              </w:rPr>
            </w:pPr>
            <w:r>
              <w:rPr>
                <w:rFonts w:ascii="宋体" w:hAnsi="宋体" w:cs="宋体" w:eastAsia="宋体" w:hint="default"/>
                <w:sz w:val="18"/>
                <w:szCs w:val="18"/>
              </w:rPr>
              <w:t>控股孙公司的</w:t>
            </w:r>
          </w:p>
          <w:p>
            <w:pPr>
              <w:pStyle w:val="TableParagraph"/>
              <w:spacing w:line="240" w:lineRule="auto" w:before="76"/>
              <w:ind w:left="70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hAnsi="宋体" w:cs="宋体" w:eastAsia="宋体" w:hint="default"/>
                <w:sz w:val="18"/>
                <w:szCs w:val="18"/>
              </w:rPr>
              <w:t>四级</w:t>
            </w:r>
          </w:p>
        </w:tc>
        <w:tc>
          <w:tcPr>
            <w:tcW w:w="15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68.00</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68.00</w:t>
            </w:r>
          </w:p>
        </w:tc>
      </w:tr>
      <w:tr>
        <w:trPr>
          <w:trHeight w:val="664" w:hRule="exact"/>
        </w:trPr>
        <w:tc>
          <w:tcPr>
            <w:tcW w:w="35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昭通欣联企业管理有限合伙企业</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61" w:right="0"/>
              <w:jc w:val="left"/>
              <w:rPr>
                <w:rFonts w:ascii="宋体" w:hAnsi="宋体" w:cs="宋体" w:eastAsia="宋体" w:hint="default"/>
                <w:sz w:val="18"/>
                <w:szCs w:val="18"/>
              </w:rPr>
            </w:pPr>
            <w:r>
              <w:rPr>
                <w:rFonts w:ascii="宋体" w:hAnsi="宋体" w:cs="宋体" w:eastAsia="宋体" w:hint="default"/>
                <w:sz w:val="18"/>
                <w:szCs w:val="18"/>
              </w:rPr>
              <w:t>控股孙公司的</w:t>
            </w:r>
          </w:p>
          <w:p>
            <w:pPr>
              <w:pStyle w:val="TableParagraph"/>
              <w:spacing w:line="240" w:lineRule="auto" w:before="76"/>
              <w:ind w:left="70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hAnsi="宋体" w:cs="宋体" w:eastAsia="宋体" w:hint="default"/>
                <w:sz w:val="18"/>
                <w:szCs w:val="18"/>
              </w:rPr>
              <w:t>四级</w:t>
            </w:r>
          </w:p>
        </w:tc>
        <w:tc>
          <w:tcPr>
            <w:tcW w:w="15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40.625</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40.625</w:t>
            </w:r>
          </w:p>
        </w:tc>
      </w:tr>
      <w:tr>
        <w:trPr>
          <w:trHeight w:val="664" w:hRule="exact"/>
        </w:trPr>
        <w:tc>
          <w:tcPr>
            <w:tcW w:w="35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曲靖中典联网络科技有限公司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61" w:right="0"/>
              <w:jc w:val="left"/>
              <w:rPr>
                <w:rFonts w:ascii="宋体" w:hAnsi="宋体" w:cs="宋体" w:eastAsia="宋体" w:hint="default"/>
                <w:sz w:val="18"/>
                <w:szCs w:val="18"/>
              </w:rPr>
            </w:pPr>
            <w:r>
              <w:rPr>
                <w:rFonts w:ascii="宋体" w:hAnsi="宋体" w:cs="宋体" w:eastAsia="宋体" w:hint="default"/>
                <w:sz w:val="18"/>
                <w:szCs w:val="18"/>
              </w:rPr>
              <w:t>控股孙公司的</w:t>
            </w:r>
          </w:p>
          <w:p>
            <w:pPr>
              <w:pStyle w:val="TableParagraph"/>
              <w:spacing w:line="240" w:lineRule="auto" w:before="76"/>
              <w:ind w:left="70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hAnsi="宋体" w:cs="宋体" w:eastAsia="宋体" w:hint="default"/>
                <w:sz w:val="18"/>
                <w:szCs w:val="18"/>
              </w:rPr>
              <w:t>四级</w:t>
            </w:r>
          </w:p>
        </w:tc>
        <w:tc>
          <w:tcPr>
            <w:tcW w:w="15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68.00</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68.00</w:t>
            </w:r>
          </w:p>
        </w:tc>
      </w:tr>
      <w:tr>
        <w:trPr>
          <w:trHeight w:val="665" w:hRule="exact"/>
        </w:trPr>
        <w:tc>
          <w:tcPr>
            <w:tcW w:w="35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曲靖卓联企业管理合伙企业（有限合伙）</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61" w:right="0"/>
              <w:jc w:val="left"/>
              <w:rPr>
                <w:rFonts w:ascii="宋体" w:hAnsi="宋体" w:cs="宋体" w:eastAsia="宋体" w:hint="default"/>
                <w:sz w:val="18"/>
                <w:szCs w:val="18"/>
              </w:rPr>
            </w:pPr>
            <w:r>
              <w:rPr>
                <w:rFonts w:ascii="宋体" w:hAnsi="宋体" w:cs="宋体" w:eastAsia="宋体" w:hint="default"/>
                <w:sz w:val="18"/>
                <w:szCs w:val="18"/>
              </w:rPr>
              <w:t>控股孙公司的</w:t>
            </w:r>
          </w:p>
          <w:p>
            <w:pPr>
              <w:pStyle w:val="TableParagraph"/>
              <w:spacing w:line="240" w:lineRule="auto" w:before="76"/>
              <w:ind w:left="70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hAnsi="宋体" w:cs="宋体" w:eastAsia="宋体" w:hint="default"/>
                <w:sz w:val="18"/>
                <w:szCs w:val="18"/>
              </w:rPr>
              <w:t>四级</w:t>
            </w:r>
          </w:p>
        </w:tc>
        <w:tc>
          <w:tcPr>
            <w:tcW w:w="15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40.625</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40.625</w:t>
            </w:r>
          </w:p>
        </w:tc>
      </w:tr>
      <w:tr>
        <w:trPr>
          <w:trHeight w:val="664" w:hRule="exact"/>
        </w:trPr>
        <w:tc>
          <w:tcPr>
            <w:tcW w:w="35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普洱中典联网络科技有限公司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61" w:right="0"/>
              <w:jc w:val="left"/>
              <w:rPr>
                <w:rFonts w:ascii="宋体" w:hAnsi="宋体" w:cs="宋体" w:eastAsia="宋体" w:hint="default"/>
                <w:sz w:val="18"/>
                <w:szCs w:val="18"/>
              </w:rPr>
            </w:pPr>
            <w:r>
              <w:rPr>
                <w:rFonts w:ascii="宋体" w:hAnsi="宋体" w:cs="宋体" w:eastAsia="宋体" w:hint="default"/>
                <w:sz w:val="18"/>
                <w:szCs w:val="18"/>
              </w:rPr>
              <w:t>控股孙公司的</w:t>
            </w:r>
          </w:p>
          <w:p>
            <w:pPr>
              <w:pStyle w:val="TableParagraph"/>
              <w:spacing w:line="240" w:lineRule="auto" w:before="76"/>
              <w:ind w:left="70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hAnsi="宋体" w:cs="宋体" w:eastAsia="宋体" w:hint="default"/>
                <w:sz w:val="18"/>
                <w:szCs w:val="18"/>
              </w:rPr>
              <w:t>四级</w:t>
            </w:r>
          </w:p>
        </w:tc>
        <w:tc>
          <w:tcPr>
            <w:tcW w:w="15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68.00</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68.00</w:t>
            </w:r>
          </w:p>
        </w:tc>
      </w:tr>
      <w:tr>
        <w:trPr>
          <w:trHeight w:val="664" w:hRule="exact"/>
        </w:trPr>
        <w:tc>
          <w:tcPr>
            <w:tcW w:w="35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普洱卓联企业管理合伙企业（有限合伙）</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61" w:right="0"/>
              <w:jc w:val="left"/>
              <w:rPr>
                <w:rFonts w:ascii="宋体" w:hAnsi="宋体" w:cs="宋体" w:eastAsia="宋体" w:hint="default"/>
                <w:sz w:val="18"/>
                <w:szCs w:val="18"/>
              </w:rPr>
            </w:pPr>
            <w:r>
              <w:rPr>
                <w:rFonts w:ascii="宋体" w:hAnsi="宋体" w:cs="宋体" w:eastAsia="宋体" w:hint="default"/>
                <w:sz w:val="18"/>
                <w:szCs w:val="18"/>
              </w:rPr>
              <w:t>控股孙公司的</w:t>
            </w:r>
          </w:p>
          <w:p>
            <w:pPr>
              <w:pStyle w:val="TableParagraph"/>
              <w:spacing w:line="240" w:lineRule="auto" w:before="76"/>
              <w:ind w:left="70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hAnsi="宋体" w:cs="宋体" w:eastAsia="宋体" w:hint="default"/>
                <w:sz w:val="18"/>
                <w:szCs w:val="18"/>
              </w:rPr>
              <w:t>四级</w:t>
            </w:r>
          </w:p>
        </w:tc>
        <w:tc>
          <w:tcPr>
            <w:tcW w:w="15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40.625</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40.625</w:t>
            </w:r>
          </w:p>
        </w:tc>
      </w:tr>
      <w:tr>
        <w:trPr>
          <w:trHeight w:val="665" w:hRule="exact"/>
        </w:trPr>
        <w:tc>
          <w:tcPr>
            <w:tcW w:w="35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楚雄彝州云数据科技有限公司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161" w:right="0"/>
              <w:jc w:val="left"/>
              <w:rPr>
                <w:rFonts w:ascii="宋体" w:hAnsi="宋体" w:cs="宋体" w:eastAsia="宋体" w:hint="default"/>
                <w:sz w:val="18"/>
                <w:szCs w:val="18"/>
              </w:rPr>
            </w:pPr>
            <w:r>
              <w:rPr>
                <w:rFonts w:ascii="宋体" w:hAnsi="宋体" w:cs="宋体" w:eastAsia="宋体" w:hint="default"/>
                <w:sz w:val="18"/>
                <w:szCs w:val="18"/>
              </w:rPr>
              <w:t>控股孙公司的</w:t>
            </w:r>
          </w:p>
          <w:p>
            <w:pPr>
              <w:pStyle w:val="TableParagraph"/>
              <w:spacing w:line="240" w:lineRule="auto" w:before="76"/>
              <w:ind w:left="70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right="0"/>
              <w:jc w:val="right"/>
              <w:rPr>
                <w:rFonts w:ascii="宋体" w:hAnsi="宋体" w:cs="宋体" w:eastAsia="宋体" w:hint="default"/>
                <w:sz w:val="18"/>
                <w:szCs w:val="18"/>
              </w:rPr>
            </w:pPr>
            <w:r>
              <w:rPr>
                <w:rFonts w:ascii="宋体" w:hAnsi="宋体" w:cs="宋体" w:eastAsia="宋体" w:hint="default"/>
                <w:sz w:val="18"/>
                <w:szCs w:val="18"/>
              </w:rPr>
              <w:t>四级</w:t>
            </w:r>
          </w:p>
        </w:tc>
        <w:tc>
          <w:tcPr>
            <w:tcW w:w="15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68.00</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68.00</w:t>
            </w:r>
          </w:p>
        </w:tc>
      </w:tr>
      <w:tr>
        <w:trPr>
          <w:trHeight w:val="664" w:hRule="exact"/>
        </w:trPr>
        <w:tc>
          <w:tcPr>
            <w:tcW w:w="35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楚雄市卓联企业管理合伙企业（有限合伙）</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61" w:right="0"/>
              <w:jc w:val="left"/>
              <w:rPr>
                <w:rFonts w:ascii="宋体" w:hAnsi="宋体" w:cs="宋体" w:eastAsia="宋体" w:hint="default"/>
                <w:sz w:val="18"/>
                <w:szCs w:val="18"/>
              </w:rPr>
            </w:pPr>
            <w:r>
              <w:rPr>
                <w:rFonts w:ascii="宋体" w:hAnsi="宋体" w:cs="宋体" w:eastAsia="宋体" w:hint="default"/>
                <w:sz w:val="18"/>
                <w:szCs w:val="18"/>
              </w:rPr>
              <w:t>控股孙公司的</w:t>
            </w:r>
          </w:p>
          <w:p>
            <w:pPr>
              <w:pStyle w:val="TableParagraph"/>
              <w:spacing w:line="240" w:lineRule="auto" w:before="76"/>
              <w:ind w:left="70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hAnsi="宋体" w:cs="宋体" w:eastAsia="宋体" w:hint="default"/>
                <w:sz w:val="18"/>
                <w:szCs w:val="18"/>
              </w:rPr>
              <w:t>四级</w:t>
            </w:r>
          </w:p>
        </w:tc>
        <w:tc>
          <w:tcPr>
            <w:tcW w:w="15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40.625</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40.625</w:t>
            </w:r>
          </w:p>
        </w:tc>
      </w:tr>
      <w:tr>
        <w:trPr>
          <w:trHeight w:val="352" w:hRule="exact"/>
        </w:trPr>
        <w:tc>
          <w:tcPr>
            <w:tcW w:w="35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湖南恒联通达信息科技有限公司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hAnsi="宋体" w:cs="宋体" w:eastAsia="宋体" w:hint="default"/>
                <w:sz w:val="18"/>
                <w:szCs w:val="18"/>
              </w:rPr>
              <w:t>控股孙公司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hAnsi="宋体" w:cs="宋体" w:eastAsia="宋体" w:hint="default"/>
                <w:sz w:val="18"/>
                <w:szCs w:val="18"/>
              </w:rPr>
              <w:t>三级</w:t>
            </w:r>
          </w:p>
        </w:tc>
        <w:tc>
          <w:tcPr>
            <w:tcW w:w="15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70.00</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70.00</w:t>
            </w:r>
          </w:p>
        </w:tc>
      </w:tr>
    </w:tbl>
    <w:p>
      <w:pPr>
        <w:spacing w:line="240" w:lineRule="auto" w:before="10"/>
        <w:rPr>
          <w:rFonts w:ascii="宋体" w:hAnsi="宋体" w:cs="宋体" w:eastAsia="宋体" w:hint="default"/>
          <w:sz w:val="15"/>
          <w:szCs w:val="15"/>
        </w:rPr>
      </w:pPr>
    </w:p>
    <w:p>
      <w:pPr>
        <w:pStyle w:val="BodyText"/>
        <w:spacing w:line="240" w:lineRule="auto"/>
        <w:ind w:left="444" w:right="0"/>
        <w:jc w:val="left"/>
      </w:pPr>
      <w:r>
        <w:rPr>
          <w:rFonts w:ascii="Times New Roman" w:hAnsi="Times New Roman" w:cs="Times New Roman" w:eastAsia="Times New Roman" w:hint="default"/>
        </w:rPr>
        <w:t>1</w:t>
      </w:r>
      <w:r>
        <w:rPr/>
        <w:t>、本期新纳入合并范围的子公司、特殊目的主体、通过受托经营或承租等方式形成控制权的经营实体</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3370"/>
        <w:gridCol w:w="5160"/>
      </w:tblGrid>
      <w:tr>
        <w:trPr>
          <w:trHeight w:val="356" w:hRule="exact"/>
        </w:trPr>
        <w:tc>
          <w:tcPr>
            <w:tcW w:w="33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516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6"/>
              <w:jc w:val="center"/>
              <w:rPr>
                <w:rFonts w:ascii="宋体" w:hAnsi="宋体" w:cs="宋体" w:eastAsia="宋体" w:hint="default"/>
                <w:sz w:val="18"/>
                <w:szCs w:val="18"/>
              </w:rPr>
            </w:pPr>
            <w:r>
              <w:rPr>
                <w:rFonts w:ascii="宋体" w:hAnsi="宋体" w:cs="宋体" w:eastAsia="宋体" w:hint="default"/>
                <w:sz w:val="18"/>
                <w:szCs w:val="18"/>
              </w:rPr>
              <w:t>变更原因</w:t>
            </w:r>
          </w:p>
        </w:tc>
      </w:tr>
      <w:tr>
        <w:trPr>
          <w:trHeight w:val="352"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天津滨龙工程管理咨询有限公司</w:t>
            </w:r>
          </w:p>
        </w:tc>
        <w:tc>
          <w:tcPr>
            <w:tcW w:w="51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新设成立</w:t>
            </w:r>
          </w:p>
        </w:tc>
      </w:tr>
      <w:tr>
        <w:trPr>
          <w:trHeight w:val="352"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苏州天平安装工程有限公司</w:t>
            </w:r>
          </w:p>
        </w:tc>
        <w:tc>
          <w:tcPr>
            <w:tcW w:w="51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非同一控制下购并</w:t>
            </w:r>
          </w:p>
        </w:tc>
      </w:tr>
      <w:tr>
        <w:trPr>
          <w:trHeight w:val="353"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安徽中电兴发科技有限公司</w:t>
            </w:r>
          </w:p>
        </w:tc>
        <w:tc>
          <w:tcPr>
            <w:tcW w:w="51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新设成立</w:t>
            </w:r>
          </w:p>
        </w:tc>
      </w:tr>
      <w:tr>
        <w:trPr>
          <w:trHeight w:val="352"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中电兴发软件研发（北京）有限公司</w:t>
            </w:r>
          </w:p>
        </w:tc>
        <w:tc>
          <w:tcPr>
            <w:tcW w:w="51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新设成立</w:t>
            </w:r>
          </w:p>
        </w:tc>
      </w:tr>
      <w:tr>
        <w:trPr>
          <w:trHeight w:val="352"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北京普天智慧科技有限公司</w:t>
            </w:r>
          </w:p>
        </w:tc>
        <w:tc>
          <w:tcPr>
            <w:tcW w:w="51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新设成立</w:t>
            </w:r>
          </w:p>
        </w:tc>
      </w:tr>
      <w:tr>
        <w:trPr>
          <w:trHeight w:val="353"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枣强县智慧城市信息技术服务有限公司</w:t>
            </w:r>
          </w:p>
        </w:tc>
        <w:tc>
          <w:tcPr>
            <w:tcW w:w="51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新设成立</w:t>
            </w:r>
          </w:p>
        </w:tc>
      </w:tr>
      <w:tr>
        <w:trPr>
          <w:trHeight w:val="352"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中普慧园科技（北京）有限公司</w:t>
            </w:r>
          </w:p>
        </w:tc>
        <w:tc>
          <w:tcPr>
            <w:tcW w:w="51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新设成立</w:t>
            </w:r>
          </w:p>
        </w:tc>
      </w:tr>
      <w:tr>
        <w:trPr>
          <w:trHeight w:val="352"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凤凰智慧城市管理运营有限责任公司</w:t>
            </w:r>
          </w:p>
        </w:tc>
        <w:tc>
          <w:tcPr>
            <w:tcW w:w="51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新设成立</w:t>
            </w:r>
          </w:p>
        </w:tc>
      </w:tr>
      <w:tr>
        <w:trPr>
          <w:trHeight w:val="353"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云南中电新联通信网络有限公司</w:t>
            </w:r>
          </w:p>
        </w:tc>
        <w:tc>
          <w:tcPr>
            <w:tcW w:w="51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新设成立</w:t>
            </w:r>
          </w:p>
        </w:tc>
      </w:tr>
      <w:tr>
        <w:trPr>
          <w:trHeight w:val="352"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昭通中典联网络科技有限公司</w:t>
            </w:r>
          </w:p>
        </w:tc>
        <w:tc>
          <w:tcPr>
            <w:tcW w:w="51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新设成立</w:t>
            </w:r>
          </w:p>
        </w:tc>
      </w:tr>
      <w:tr>
        <w:trPr>
          <w:trHeight w:val="352"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昭通欣联企业管理有限合伙企业</w:t>
            </w:r>
          </w:p>
        </w:tc>
        <w:tc>
          <w:tcPr>
            <w:tcW w:w="51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新设成立</w:t>
            </w:r>
          </w:p>
        </w:tc>
      </w:tr>
      <w:tr>
        <w:trPr>
          <w:trHeight w:val="353"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曲靖中典联网络科技有限公司</w:t>
            </w:r>
          </w:p>
        </w:tc>
        <w:tc>
          <w:tcPr>
            <w:tcW w:w="51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新设成立</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3370"/>
        <w:gridCol w:w="5160"/>
      </w:tblGrid>
      <w:tr>
        <w:trPr>
          <w:trHeight w:val="355" w:hRule="exact"/>
        </w:trPr>
        <w:tc>
          <w:tcPr>
            <w:tcW w:w="33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曲靖卓联企业管理合伙企业（有限合伙）</w:t>
            </w:r>
          </w:p>
        </w:tc>
        <w:tc>
          <w:tcPr>
            <w:tcW w:w="516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6"/>
              <w:jc w:val="center"/>
              <w:rPr>
                <w:rFonts w:ascii="宋体" w:hAnsi="宋体" w:cs="宋体" w:eastAsia="宋体" w:hint="default"/>
                <w:sz w:val="18"/>
                <w:szCs w:val="18"/>
              </w:rPr>
            </w:pPr>
            <w:r>
              <w:rPr>
                <w:rFonts w:ascii="宋体" w:hAnsi="宋体" w:cs="宋体" w:eastAsia="宋体" w:hint="default"/>
                <w:sz w:val="18"/>
                <w:szCs w:val="18"/>
              </w:rPr>
              <w:t>新设成立</w:t>
            </w:r>
          </w:p>
        </w:tc>
      </w:tr>
      <w:tr>
        <w:trPr>
          <w:trHeight w:val="352"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普洱中典联网络科技有限公司</w:t>
            </w:r>
          </w:p>
        </w:tc>
        <w:tc>
          <w:tcPr>
            <w:tcW w:w="51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新设成立</w:t>
            </w:r>
          </w:p>
        </w:tc>
      </w:tr>
      <w:tr>
        <w:trPr>
          <w:trHeight w:val="353"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普洱卓联企业管理合伙企业（有限合伙）</w:t>
            </w:r>
          </w:p>
        </w:tc>
        <w:tc>
          <w:tcPr>
            <w:tcW w:w="51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新设成立</w:t>
            </w:r>
          </w:p>
        </w:tc>
      </w:tr>
      <w:tr>
        <w:trPr>
          <w:trHeight w:val="352"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楚雄彝州云数据科技有限公司</w:t>
            </w:r>
          </w:p>
        </w:tc>
        <w:tc>
          <w:tcPr>
            <w:tcW w:w="51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新设成立</w:t>
            </w:r>
          </w:p>
        </w:tc>
      </w:tr>
      <w:tr>
        <w:trPr>
          <w:trHeight w:val="352"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楚雄市卓联企业管理合伙企业（有限合伙</w:t>
            </w:r>
          </w:p>
        </w:tc>
        <w:tc>
          <w:tcPr>
            <w:tcW w:w="5160" w:type="dxa"/>
            <w:tcBorders>
              <w:top w:val="single" w:sz="12" w:space="0" w:color="000000"/>
              <w:left w:val="single" w:sz="6" w:space="0" w:color="000000"/>
              <w:bottom w:val="single" w:sz="12" w:space="0" w:color="000000"/>
              <w:right w:val="nil" w:sz="6" w:space="0" w:color="auto"/>
            </w:tcBorders>
          </w:tcPr>
          <w:p>
            <w:pPr>
              <w:pStyle w:val="TableParagraph"/>
              <w:tabs>
                <w:tab w:pos="2211" w:val="left" w:leader="none"/>
              </w:tabs>
              <w:spacing w:line="240" w:lineRule="auto" w:before="10"/>
              <w:ind w:left="-128" w:right="0"/>
              <w:jc w:val="left"/>
              <w:rPr>
                <w:rFonts w:ascii="宋体" w:hAnsi="宋体" w:cs="宋体" w:eastAsia="宋体" w:hint="default"/>
                <w:sz w:val="18"/>
                <w:szCs w:val="18"/>
              </w:rPr>
            </w:pPr>
            <w:r>
              <w:rPr>
                <w:rFonts w:ascii="宋体" w:hAnsi="宋体" w:cs="宋体" w:eastAsia="宋体" w:hint="default"/>
                <w:sz w:val="18"/>
                <w:szCs w:val="18"/>
              </w:rPr>
              <w:t>）</w:t>
              <w:tab/>
              <w:t>新设成立</w:t>
            </w:r>
          </w:p>
        </w:tc>
      </w:tr>
      <w:tr>
        <w:trPr>
          <w:trHeight w:val="353"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湖南恒联通达信息科技有限公司</w:t>
            </w:r>
          </w:p>
        </w:tc>
        <w:tc>
          <w:tcPr>
            <w:tcW w:w="51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非同一控制下购并</w:t>
            </w:r>
          </w:p>
        </w:tc>
      </w:tr>
    </w:tbl>
    <w:p>
      <w:pPr>
        <w:spacing w:line="240" w:lineRule="auto" w:before="8"/>
        <w:rPr>
          <w:rFonts w:ascii="宋体" w:hAnsi="宋体" w:cs="宋体" w:eastAsia="宋体" w:hint="default"/>
          <w:sz w:val="6"/>
          <w:szCs w:val="6"/>
        </w:rPr>
      </w:pPr>
    </w:p>
    <w:p>
      <w:pPr>
        <w:pStyle w:val="BodyText"/>
        <w:spacing w:line="415" w:lineRule="auto"/>
        <w:ind w:left="514" w:right="1912" w:hanging="70"/>
        <w:jc w:val="left"/>
      </w:pPr>
      <w:r>
        <w:rPr>
          <w:rFonts w:ascii="Times New Roman" w:hAnsi="Times New Roman" w:cs="Times New Roman" w:eastAsia="Times New Roman" w:hint="default"/>
        </w:rPr>
        <w:t>2</w:t>
      </w:r>
      <w:r>
        <w:rPr/>
        <w:t>、本期无不再纳入合并范围的子公司、特殊目的主体、通过委托经营或出租等方式丧失控制权的经营实体。 合并范围变更主体的具体信息详见</w:t>
      </w:r>
      <w:r>
        <w:rPr>
          <w:rFonts w:ascii="Times New Roman" w:hAnsi="Times New Roman" w:cs="Times New Roman" w:eastAsia="Times New Roman" w:hint="default"/>
        </w:rPr>
        <w:t>“</w:t>
      </w:r>
      <w:r>
        <w:rPr/>
        <w:t>本节八、合并范围的变更</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8"/>
          <w:szCs w:val="18"/>
        </w:rPr>
      </w:pPr>
    </w:p>
    <w:p>
      <w:pPr>
        <w:pStyle w:val="Heading2"/>
        <w:spacing w:line="240" w:lineRule="auto"/>
        <w:ind w:right="0"/>
        <w:jc w:val="left"/>
        <w:rPr>
          <w:b w:val="0"/>
          <w:bCs w:val="0"/>
        </w:rPr>
      </w:pPr>
      <w:bookmarkStart w:name="四、财务报表的编制基础" w:id="171"/>
      <w:bookmarkEnd w:id="171"/>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编制基础" w:id="172"/>
      <w:bookmarkEnd w:id="172"/>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300" w:lineRule="auto" w:before="0"/>
        <w:ind w:right="1130" w:firstLine="360"/>
        <w:jc w:val="both"/>
      </w:pPr>
      <w:r>
        <w:rPr>
          <w:spacing w:val="-2"/>
        </w:rPr>
        <w:t>本公司根据实际发生的交易和事项，按照财政部颁布的《企业会计准则</w:t>
      </w:r>
      <w:r>
        <w:rPr>
          <w:rFonts w:ascii="Times New Roman" w:hAnsi="Times New Roman" w:cs="Times New Roman" w:eastAsia="Times New Roman" w:hint="default"/>
          <w:spacing w:val="-2"/>
        </w:rPr>
        <w:t>——</w:t>
      </w:r>
      <w:r>
        <w:rPr>
          <w:spacing w:val="-2"/>
        </w:rPr>
        <w:t>基本准则》和具体企业会计准则、企业会计</w:t>
      </w:r>
      <w:r>
        <w:rPr/>
        <w:t> </w:t>
      </w:r>
      <w:r>
        <w:rPr>
          <w:spacing w:val="-2"/>
        </w:rPr>
        <w:t>准则应用指南、企业会计准则解释及其他相关规定（以下合称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）进行确认和计量，在此基础上，结合中国证</w:t>
      </w:r>
      <w:r>
        <w:rPr>
          <w:spacing w:val="-47"/>
        </w:rPr>
        <w:t> </w:t>
      </w:r>
      <w:r>
        <w:rPr>
          <w:spacing w:val="-47"/>
        </w:rPr>
      </w:r>
      <w:r>
        <w:rPr>
          <w:spacing w:val="-2"/>
        </w:rPr>
        <w:t>券监督管理委员会《公开发行证券的公司信息披露编报规则第</w:t>
      </w:r>
      <w:r>
        <w:rPr>
          <w:rFonts w:ascii="Times New Roman" w:hAnsi="Times New Roman" w:cs="Times New Roman" w:eastAsia="Times New Roman" w:hint="default"/>
          <w:spacing w:val="-2"/>
        </w:rPr>
        <w:t>15</w:t>
      </w:r>
      <w:r>
        <w:rPr>
          <w:spacing w:val="-2"/>
        </w:rPr>
        <w:t>号</w:t>
      </w:r>
      <w:r>
        <w:rPr>
          <w:rFonts w:ascii="Times New Roman" w:hAnsi="Times New Roman" w:cs="Times New Roman" w:eastAsia="Times New Roman" w:hint="default"/>
          <w:spacing w:val="-2"/>
        </w:rPr>
        <w:t>——</w:t>
      </w:r>
      <w:r>
        <w:rPr>
          <w:spacing w:val="-2"/>
        </w:rPr>
        <w:t>财务报告的一般规定》（</w:t>
      </w:r>
      <w:r>
        <w:rPr>
          <w:rFonts w:ascii="Times New Roman" w:hAnsi="Times New Roman" w:cs="Times New Roman" w:eastAsia="Times New Roman" w:hint="default"/>
          <w:spacing w:val="-2"/>
        </w:rPr>
        <w:t>2014</w:t>
      </w:r>
      <w:r>
        <w:rPr>
          <w:spacing w:val="-2"/>
        </w:rPr>
        <w:t>年修订）的规定，编制</w:t>
      </w:r>
      <w:r>
        <w:rPr>
          <w:spacing w:val="-60"/>
        </w:rPr>
        <w:t> </w:t>
      </w:r>
      <w:r>
        <w:rPr>
          <w:spacing w:val="-60"/>
        </w:rPr>
      </w:r>
      <w:r>
        <w:rPr/>
        <w:t>财务报表。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48"/>
        <w:ind w:right="0"/>
        <w:jc w:val="left"/>
        <w:rPr>
          <w:b w:val="0"/>
          <w:bCs w:val="0"/>
        </w:rPr>
      </w:pPr>
      <w:bookmarkStart w:name="2、持续经营" w:id="173"/>
      <w:bookmarkEnd w:id="173"/>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300" w:lineRule="auto" w:before="0"/>
        <w:ind w:right="1131" w:firstLine="362"/>
        <w:jc w:val="both"/>
      </w:pPr>
      <w:r>
        <w:rPr>
          <w:spacing w:val="-2"/>
        </w:rPr>
        <w:t>本公司对报告期末起</w:t>
      </w:r>
      <w:r>
        <w:rPr>
          <w:rFonts w:ascii="Times New Roman" w:hAnsi="Times New Roman" w:cs="Times New Roman" w:eastAsia="Times New Roman" w:hint="default"/>
          <w:spacing w:val="-2"/>
        </w:rPr>
        <w:t>12</w:t>
      </w:r>
      <w:r>
        <w:rPr>
          <w:spacing w:val="-2"/>
        </w:rPr>
        <w:t>个月的持续经营能力进行了评价，未发现对持续经营能力产生重大怀疑的事项或情况。因此，本</w:t>
      </w:r>
      <w:r>
        <w:rPr/>
        <w:t> 财务报表系在持续经营假设的基础上编制。</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25"/>
        <w:ind w:right="0"/>
        <w:jc w:val="left"/>
        <w:rPr>
          <w:b w:val="0"/>
          <w:bCs w:val="0"/>
        </w:rPr>
      </w:pPr>
      <w:bookmarkStart w:name="五、重要会计政策及会计估计" w:id="174"/>
      <w:bookmarkEnd w:id="174"/>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57" w:lineRule="auto" w:before="0"/>
        <w:ind w:right="7692"/>
        <w:jc w:val="left"/>
      </w:pPr>
      <w:r>
        <w:rPr/>
        <w:t>公司是否需要遵守特殊行业的披露要求 是</w:t>
      </w:r>
    </w:p>
    <w:p>
      <w:pPr>
        <w:pStyle w:val="BodyText"/>
        <w:spacing w:line="357" w:lineRule="auto" w:before="29"/>
        <w:ind w:right="8232"/>
        <w:jc w:val="left"/>
      </w:pPr>
      <w:r>
        <w:rPr/>
        <w:t>软件与信息技术服务业 具体会计政策和会计估计提示：</w:t>
      </w:r>
    </w:p>
    <w:p>
      <w:pPr>
        <w:pStyle w:val="BodyText"/>
        <w:spacing w:line="240" w:lineRule="auto" w:before="28"/>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1"/>
        </w:rPr>
        <w:t> </w:t>
      </w:r>
      <w:r>
        <w:rPr/>
        <w:t>不适用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6"/>
          <w:szCs w:val="16"/>
        </w:rPr>
      </w:pPr>
    </w:p>
    <w:p>
      <w:pPr>
        <w:pStyle w:val="Heading4"/>
        <w:spacing w:line="240" w:lineRule="auto"/>
        <w:ind w:right="0"/>
        <w:jc w:val="left"/>
        <w:rPr>
          <w:b w:val="0"/>
          <w:bCs w:val="0"/>
        </w:rPr>
      </w:pPr>
      <w:bookmarkStart w:name="1、遵循企业会计准则的声明" w:id="175"/>
      <w:bookmarkEnd w:id="175"/>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19" w:lineRule="auto" w:before="0"/>
        <w:ind w:right="1131" w:firstLine="360"/>
        <w:jc w:val="both"/>
      </w:pPr>
      <w:r>
        <w:rPr>
          <w:spacing w:val="-2"/>
        </w:rPr>
        <w:t>本公司所编制的财务报表符合企业会计准则的要求，真实、完整地反映了报告期公司的财务状况、经营成果、现金流量</w:t>
      </w:r>
      <w:r>
        <w:rPr/>
        <w:t> 等有关信息。</w:t>
      </w:r>
    </w:p>
    <w:p>
      <w:pPr>
        <w:spacing w:after="0" w:line="319"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2、会计期间" w:id="176"/>
      <w:bookmarkEnd w:id="176"/>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514" w:right="0"/>
        <w:jc w:val="left"/>
      </w:pPr>
      <w:r>
        <w:rPr/>
        <w:t>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日止为一个会计年度。</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Heading4"/>
        <w:spacing w:line="240" w:lineRule="auto"/>
        <w:ind w:right="0"/>
        <w:jc w:val="left"/>
        <w:rPr>
          <w:b w:val="0"/>
          <w:bCs w:val="0"/>
        </w:rPr>
      </w:pPr>
      <w:bookmarkStart w:name="3、营业周期" w:id="177"/>
      <w:bookmarkEnd w:id="177"/>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444" w:right="0"/>
        <w:jc w:val="left"/>
      </w:pPr>
      <w:r>
        <w:rPr/>
        <w:t>本公司以</w:t>
      </w:r>
      <w:r>
        <w:rPr>
          <w:rFonts w:ascii="Times New Roman" w:hAnsi="Times New Roman" w:cs="Times New Roman" w:eastAsia="Times New Roman" w:hint="default"/>
        </w:rPr>
        <w:t>12</w:t>
      </w:r>
      <w:r>
        <w:rPr/>
        <w:t>个月作为一个营业周期，并以其作为资产和负债的流动性划分标准。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4"/>
        <w:spacing w:line="240" w:lineRule="auto"/>
        <w:ind w:right="0"/>
        <w:jc w:val="left"/>
        <w:rPr>
          <w:b w:val="0"/>
          <w:bCs w:val="0"/>
        </w:rPr>
      </w:pPr>
      <w:bookmarkStart w:name="4、记账本位币" w:id="178"/>
      <w:bookmarkEnd w:id="178"/>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514" w:right="0"/>
        <w:jc w:val="left"/>
      </w:pPr>
      <w:r>
        <w:rPr/>
        <w:t>采用人民币为记账本位币。</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4"/>
        <w:spacing w:line="240" w:lineRule="auto"/>
        <w:ind w:right="0"/>
        <w:jc w:val="left"/>
        <w:rPr>
          <w:b w:val="0"/>
          <w:bCs w:val="0"/>
        </w:rPr>
      </w:pPr>
      <w:bookmarkStart w:name="5、同一控制下和非同一控制下企业合并的会计处理方法" w:id="179"/>
      <w:bookmarkEnd w:id="179"/>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6"/>
          <w:szCs w:val="26"/>
        </w:rPr>
      </w:pPr>
    </w:p>
    <w:p>
      <w:pPr>
        <w:pStyle w:val="Heading5"/>
        <w:spacing w:line="300" w:lineRule="auto"/>
        <w:ind w:left="511" w:right="0" w:firstLine="360"/>
        <w:jc w:val="left"/>
        <w:rPr>
          <w:b w:val="0"/>
          <w:bCs w:val="0"/>
        </w:rPr>
      </w:pPr>
      <w:r>
        <w:rPr>
          <w:rFonts w:ascii="Times New Roman" w:hAnsi="Times New Roman" w:cs="Times New Roman" w:eastAsia="Times New Roman" w:hint="default"/>
          <w:w w:val="95"/>
        </w:rPr>
        <w:t>1</w:t>
      </w:r>
      <w:r>
        <w:rPr>
          <w:w w:val="95"/>
        </w:rPr>
        <w:t>、分步实现企业合并过程中的各项交易的条款、条件以及经济影响符合以下一种或多种情况，将多次交易事项作</w:t>
      </w:r>
      <w:r>
        <w:rPr>
          <w:spacing w:val="-30"/>
          <w:w w:val="95"/>
        </w:rPr>
        <w:t> </w:t>
      </w:r>
      <w:r>
        <w:rPr>
          <w:spacing w:val="-30"/>
          <w:w w:val="95"/>
        </w:rPr>
      </w:r>
      <w:r>
        <w:rPr/>
        <w:t>为一揽子交易进行会计处理</w:t>
      </w:r>
      <w:r>
        <w:rPr>
          <w:b w:val="0"/>
          <w:bCs w:val="0"/>
        </w:rPr>
      </w:r>
    </w:p>
    <w:p>
      <w:pPr>
        <w:pStyle w:val="BodyText"/>
        <w:spacing w:line="240" w:lineRule="auto" w:before="31"/>
        <w:ind w:left="874" w:right="0"/>
        <w:jc w:val="left"/>
      </w:pPr>
      <w:r>
        <w:rPr/>
        <w:t>（</w:t>
      </w:r>
      <w:r>
        <w:rPr>
          <w:rFonts w:ascii="Times New Roman" w:hAnsi="Times New Roman" w:cs="Times New Roman" w:eastAsia="Times New Roman" w:hint="default"/>
        </w:rPr>
        <w:t>1</w:t>
      </w:r>
      <w:r>
        <w:rPr/>
        <w:t>） 这些交易是同时或者在考虑了彼此影响的情况下订立的；</w:t>
      </w:r>
    </w:p>
    <w:p>
      <w:pPr>
        <w:pStyle w:val="BodyText"/>
        <w:spacing w:line="240" w:lineRule="auto" w:before="63"/>
        <w:ind w:left="874" w:right="0"/>
        <w:jc w:val="left"/>
      </w:pPr>
      <w:r>
        <w:rPr/>
        <w:t>（</w:t>
      </w:r>
      <w:r>
        <w:rPr>
          <w:rFonts w:ascii="Times New Roman" w:hAnsi="Times New Roman" w:cs="Times New Roman" w:eastAsia="Times New Roman" w:hint="default"/>
        </w:rPr>
        <w:t>2</w:t>
      </w:r>
      <w:r>
        <w:rPr/>
        <w:t>） 这些交易整体才能达成一项完整的商业结果；</w:t>
      </w:r>
    </w:p>
    <w:p>
      <w:pPr>
        <w:pStyle w:val="BodyText"/>
        <w:spacing w:line="240" w:lineRule="auto" w:before="63"/>
        <w:ind w:left="874" w:right="0"/>
        <w:jc w:val="left"/>
      </w:pPr>
      <w:r>
        <w:rPr/>
        <w:t>（</w:t>
      </w:r>
      <w:r>
        <w:rPr>
          <w:rFonts w:ascii="Times New Roman" w:hAnsi="Times New Roman" w:cs="Times New Roman" w:eastAsia="Times New Roman" w:hint="default"/>
        </w:rPr>
        <w:t>3</w:t>
      </w:r>
      <w:r>
        <w:rPr/>
        <w:t>） 一项交易的发生取决于其他至少一项交易的发生；</w:t>
      </w:r>
    </w:p>
    <w:p>
      <w:pPr>
        <w:pStyle w:val="BodyText"/>
        <w:spacing w:line="240" w:lineRule="auto" w:before="63"/>
        <w:ind w:left="874" w:right="0"/>
        <w:jc w:val="left"/>
      </w:pPr>
      <w:r>
        <w:rPr/>
        <w:t>（</w:t>
      </w:r>
      <w:r>
        <w:rPr>
          <w:rFonts w:ascii="Times New Roman" w:hAnsi="Times New Roman" w:cs="Times New Roman" w:eastAsia="Times New Roman" w:hint="default"/>
        </w:rPr>
        <w:t>4</w:t>
      </w:r>
      <w:r>
        <w:rPr/>
        <w:t>） 一项交易单独看是不经济的，但是和其他交易一并考虑时是经济的。</w:t>
      </w:r>
    </w:p>
    <w:p>
      <w:pPr>
        <w:spacing w:line="300" w:lineRule="auto" w:before="63"/>
        <w:ind w:left="874" w:right="0" w:hanging="3"/>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、同一控制下的企业合并</w:t>
      </w:r>
      <w:r>
        <w:rPr>
          <w:rFonts w:ascii="宋体" w:hAnsi="宋体" w:cs="宋体" w:eastAsia="宋体" w:hint="default"/>
          <w:b/>
          <w:bCs/>
          <w:w w:val="99"/>
          <w:sz w:val="18"/>
          <w:szCs w:val="18"/>
        </w:rPr>
        <w:t> </w:t>
      </w:r>
      <w:r>
        <w:rPr>
          <w:rFonts w:ascii="宋体" w:hAnsi="宋体" w:cs="宋体" w:eastAsia="宋体" w:hint="default"/>
          <w:spacing w:val="-2"/>
          <w:sz w:val="18"/>
          <w:szCs w:val="18"/>
        </w:rPr>
        <w:t>本公司在企业合并中取得的资产和负债，按照合并日在被合并方资产、负债（包括最终控制方收购被合并方而形成</w:t>
      </w:r>
    </w:p>
    <w:p>
      <w:pPr>
        <w:pStyle w:val="BodyText"/>
        <w:spacing w:line="316" w:lineRule="auto" w:before="31"/>
        <w:ind w:left="514" w:right="1117"/>
        <w:jc w:val="left"/>
      </w:pPr>
      <w:r>
        <w:rPr>
          <w:spacing w:val="-5"/>
        </w:rPr>
        <w:t>的商誉）在最终控制方合并财务报表中的账面价值计量。在合并中取得的净资产账面价值与支付的合并对价账面价值（或</w:t>
      </w:r>
      <w:r>
        <w:rPr/>
        <w:t> 发行股份面值总额）的差额，调整资本公积中的股本溢价，资本公积中的股本溢价不足冲减的，调整留存收益。</w:t>
      </w:r>
    </w:p>
    <w:p>
      <w:pPr>
        <w:pStyle w:val="BodyText"/>
        <w:spacing w:line="316" w:lineRule="auto" w:before="19"/>
        <w:ind w:left="514" w:right="0" w:firstLine="360"/>
        <w:jc w:val="left"/>
      </w:pPr>
      <w:r>
        <w:rPr>
          <w:spacing w:val="-2"/>
        </w:rPr>
        <w:t>如果存在或有对价并需要确认预计负债或资产，该预计负债或资产金额与后续或有对价结算金额的差额，调整资本</w:t>
      </w:r>
      <w:r>
        <w:rPr/>
        <w:t> 公积（资本溢价或股本溢价），资本公积不足的，调整留存收益。</w:t>
      </w:r>
    </w:p>
    <w:p>
      <w:pPr>
        <w:pStyle w:val="BodyText"/>
        <w:spacing w:line="316" w:lineRule="auto" w:before="19"/>
        <w:ind w:left="514" w:right="0" w:firstLine="360"/>
        <w:jc w:val="left"/>
      </w:pPr>
      <w:r>
        <w:rPr>
          <w:spacing w:val="-4"/>
        </w:rPr>
        <w:t>对于通过多次交易最终实现企业合并的，属于一揽子交易的，将各项交易作为一项取得控制权的交易进行会计处理；</w:t>
      </w:r>
      <w:r>
        <w:rPr/>
        <w:t> </w:t>
      </w:r>
      <w:r>
        <w:rPr>
          <w:spacing w:val="-2"/>
        </w:rPr>
        <w:t>不属于一揽子交易的，在取得控制权日，长期股权投资初始投资成本，与达到合并前的长期股权投资账面价值加上合并</w:t>
      </w:r>
      <w:r>
        <w:rPr>
          <w:spacing w:val="-70"/>
        </w:rPr>
        <w:t> </w:t>
      </w:r>
      <w:r>
        <w:rPr>
          <w:spacing w:val="-70"/>
        </w:rPr>
      </w:r>
      <w:r>
        <w:rPr>
          <w:spacing w:val="-2"/>
        </w:rPr>
        <w:t>日进一步取得股份新支付对价的账面价值之和的差额，调整资本公积；资本公积不足冲减的，调整留存收益。对于合并</w:t>
      </w:r>
      <w:r>
        <w:rPr>
          <w:spacing w:val="-70"/>
        </w:rPr>
        <w:t> </w:t>
      </w:r>
      <w:r>
        <w:rPr>
          <w:spacing w:val="-70"/>
        </w:rPr>
      </w:r>
      <w:r>
        <w:rPr>
          <w:spacing w:val="-4"/>
        </w:rPr>
        <w:t>日之前持有的股权投资，因采用权益法核算或金融工具确认和计量准则核算而确认的其他综合收益，暂不进行会计处理，</w:t>
      </w:r>
      <w:r>
        <w:rPr>
          <w:spacing w:val="-52"/>
        </w:rPr>
        <w:t> </w:t>
      </w:r>
      <w:r>
        <w:rPr>
          <w:spacing w:val="-52"/>
        </w:rPr>
      </w:r>
      <w:r>
        <w:rPr>
          <w:spacing w:val="-2"/>
        </w:rPr>
        <w:t>直至处置该项投资时采用与被投资单位直接处置相关资产或负债相同的基础进行会计处理；因采用权益法核算而确认的</w:t>
      </w:r>
      <w:r>
        <w:rPr>
          <w:spacing w:val="-68"/>
        </w:rPr>
        <w:t> </w:t>
      </w:r>
      <w:r>
        <w:rPr>
          <w:spacing w:val="-68"/>
        </w:rPr>
      </w:r>
      <w:r>
        <w:rPr>
          <w:spacing w:val="-2"/>
        </w:rPr>
        <w:t>被投资单位净资产中除净损益、其他综合收益和利润分配以外的所有者权益其他变动，暂不进行会计处理，直至处置该</w:t>
      </w:r>
      <w:r>
        <w:rPr>
          <w:spacing w:val="-70"/>
        </w:rPr>
        <w:t> </w:t>
      </w:r>
      <w:r>
        <w:rPr>
          <w:spacing w:val="-70"/>
        </w:rPr>
      </w:r>
      <w:r>
        <w:rPr/>
        <w:t>项投资时转入当期损益。</w:t>
      </w:r>
    </w:p>
    <w:p>
      <w:pPr>
        <w:spacing w:line="300" w:lineRule="auto" w:before="19"/>
        <w:ind w:left="874" w:right="0" w:hanging="3"/>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、非同一控制下的企业合并</w:t>
      </w:r>
      <w:r>
        <w:rPr>
          <w:rFonts w:ascii="宋体" w:hAnsi="宋体" w:cs="宋体" w:eastAsia="宋体" w:hint="default"/>
          <w:b/>
          <w:bCs/>
          <w:w w:val="99"/>
          <w:sz w:val="18"/>
          <w:szCs w:val="18"/>
        </w:rPr>
        <w:t> </w:t>
      </w:r>
      <w:r>
        <w:rPr>
          <w:rFonts w:ascii="宋体" w:hAnsi="宋体" w:cs="宋体" w:eastAsia="宋体" w:hint="default"/>
          <w:spacing w:val="-2"/>
          <w:sz w:val="18"/>
          <w:szCs w:val="18"/>
        </w:rPr>
        <w:t>购买日是指本公司实际取得对被购买方控制权的日期，即被购买方的净资产或生产经营决策的控制权转移给本公司</w:t>
      </w:r>
    </w:p>
    <w:p>
      <w:pPr>
        <w:pStyle w:val="BodyText"/>
        <w:spacing w:line="240" w:lineRule="auto" w:before="31"/>
        <w:ind w:left="514" w:right="0"/>
        <w:jc w:val="left"/>
      </w:pPr>
      <w:r>
        <w:rPr/>
        <w:t>的日期。同时满足下列条件时，本公司一般认为实现了控制权的转移：</w:t>
      </w:r>
    </w:p>
    <w:p>
      <w:pPr>
        <w:pStyle w:val="BodyText"/>
        <w:spacing w:line="240" w:lineRule="auto" w:before="76"/>
        <w:ind w:left="874" w:right="0"/>
        <w:jc w:val="left"/>
      </w:pPr>
      <w:r>
        <w:rPr/>
        <w:t>①企业合并合同或协议已获本公司内部权力机构通过。</w:t>
      </w:r>
    </w:p>
    <w:p>
      <w:pPr>
        <w:pStyle w:val="BodyText"/>
        <w:spacing w:line="240" w:lineRule="auto" w:before="77"/>
        <w:ind w:left="874" w:right="0"/>
        <w:jc w:val="left"/>
      </w:pPr>
      <w:r>
        <w:rPr/>
        <w:t>②企业合并事项需要经过国家有关主管部门审批的，已获得批准。</w:t>
      </w:r>
    </w:p>
    <w:p>
      <w:pPr>
        <w:pStyle w:val="BodyText"/>
        <w:spacing w:line="240" w:lineRule="auto" w:before="76"/>
        <w:ind w:left="874" w:right="0"/>
        <w:jc w:val="left"/>
      </w:pPr>
      <w:r>
        <w:rPr/>
        <w:t>③已办理了必要的财产权转移手续。</w:t>
      </w:r>
    </w:p>
    <w:p>
      <w:pPr>
        <w:pStyle w:val="BodyText"/>
        <w:spacing w:line="240" w:lineRule="auto" w:before="76"/>
        <w:ind w:left="874" w:right="0"/>
        <w:jc w:val="left"/>
      </w:pPr>
      <w:r>
        <w:rPr/>
        <w:t>④本公司已支付了合并价款的大部分，并且有能力、有计划支付剩余款项。</w:t>
      </w:r>
    </w:p>
    <w:p>
      <w:pPr>
        <w:pStyle w:val="BodyText"/>
        <w:spacing w:line="316" w:lineRule="auto" w:before="76"/>
        <w:ind w:left="874" w:right="0"/>
        <w:jc w:val="left"/>
      </w:pPr>
      <w:r>
        <w:rPr/>
        <w:t>⑤本公司实际上已经控制了被购买方的财务和经营政策，并享有相应的利益、承担相应的风险。 </w:t>
      </w:r>
      <w:r>
        <w:rPr>
          <w:spacing w:val="-2"/>
        </w:rPr>
        <w:t>本公司在购买日对作为企业合并对价付出的资产、发生或承担的负债按照公允价值计量，公允价值与其账面价值的</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ind w:left="874" w:right="0" w:hanging="361"/>
        <w:jc w:val="left"/>
      </w:pPr>
      <w:r>
        <w:rPr/>
        <w:t>差额，计入当期损益。 </w:t>
      </w:r>
      <w:r>
        <w:rPr>
          <w:spacing w:val="-2"/>
        </w:rPr>
        <w:t>本公司对合并成本大于合并中取得的被购买方可辨认净资产公允价值份额的差额，确认为商誉；合并成本小于合并</w:t>
      </w:r>
    </w:p>
    <w:p>
      <w:pPr>
        <w:pStyle w:val="BodyText"/>
        <w:spacing w:line="316" w:lineRule="auto" w:before="19"/>
        <w:ind w:left="874" w:right="0" w:hanging="361"/>
        <w:jc w:val="left"/>
      </w:pPr>
      <w:r>
        <w:rPr/>
        <w:t>中取得的被购买方可辨认净资产公允价值份额的差额，经复核后，计入当期损益。 </w:t>
      </w:r>
      <w:r>
        <w:rPr>
          <w:spacing w:val="-2"/>
        </w:rPr>
        <w:t>通过多次交换交易分步实现的非同一控制下企业合并，属于一揽子交易的，将各项交易作为一项取得控制权的交易</w:t>
      </w:r>
    </w:p>
    <w:p>
      <w:pPr>
        <w:pStyle w:val="BodyText"/>
        <w:spacing w:line="316" w:lineRule="auto" w:before="19"/>
        <w:ind w:left="514" w:right="0"/>
        <w:jc w:val="left"/>
      </w:pPr>
      <w:r>
        <w:rPr>
          <w:spacing w:val="-2"/>
        </w:rPr>
        <w:t>进行会计处理；不属于一揽子交易的，合并日之前持有的股权投资采用权益法核算的，以购买日之前所持被购买方的股</w:t>
      </w:r>
      <w:r>
        <w:rPr>
          <w:spacing w:val="-70"/>
        </w:rPr>
        <w:t> </w:t>
      </w:r>
      <w:r>
        <w:rPr>
          <w:spacing w:val="-70"/>
        </w:rPr>
      </w:r>
      <w:r>
        <w:rPr>
          <w:spacing w:val="-2"/>
        </w:rPr>
        <w:t>权投资的账面价值与购买日新增投资成本之和，作为该项投资的初始投资成本；购买日之前持有的股权投资因采用权益</w:t>
      </w:r>
      <w:r>
        <w:rPr>
          <w:spacing w:val="-68"/>
        </w:rPr>
        <w:t> </w:t>
      </w:r>
      <w:r>
        <w:rPr>
          <w:spacing w:val="-68"/>
        </w:rPr>
      </w:r>
      <w:r>
        <w:rPr/>
        <w:t>法核算而确认的其他综合收益，在处置该项投资时采用与被投资单位直接处置相关资产或负债相同的基础进行会计处 </w:t>
      </w:r>
      <w:r>
        <w:rPr>
          <w:spacing w:val="-2"/>
        </w:rPr>
        <w:t>理。合并日之前持有的股权投资采用金融工具确认和计量准则核算的，以该股权投资在合并日的公允价值加上新增投资</w:t>
      </w:r>
      <w:r>
        <w:rPr>
          <w:spacing w:val="-68"/>
        </w:rPr>
        <w:t> </w:t>
      </w:r>
      <w:r>
        <w:rPr>
          <w:spacing w:val="-68"/>
        </w:rPr>
      </w:r>
      <w:r>
        <w:rPr>
          <w:spacing w:val="-2"/>
        </w:rPr>
        <w:t>成本之和，作为合并日的初始投资成本。原持有股权的公允价值与账面价值之间的差额以及原计入其他综合收益的累计</w:t>
      </w:r>
      <w:r>
        <w:rPr>
          <w:spacing w:val="-68"/>
        </w:rPr>
        <w:t> </w:t>
      </w:r>
      <w:r>
        <w:rPr>
          <w:spacing w:val="-68"/>
        </w:rPr>
      </w:r>
      <w:r>
        <w:rPr/>
        <w:t>公允价值变动应全部转入合并日当期的投资收益。</w:t>
      </w:r>
    </w:p>
    <w:p>
      <w:pPr>
        <w:spacing w:line="300" w:lineRule="auto" w:before="19"/>
        <w:ind w:left="874" w:right="0" w:hanging="3"/>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、为合并发生的相关费用</w:t>
      </w:r>
      <w:r>
        <w:rPr>
          <w:rFonts w:ascii="宋体" w:hAnsi="宋体" w:cs="宋体" w:eastAsia="宋体" w:hint="default"/>
          <w:b/>
          <w:bCs/>
          <w:w w:val="99"/>
          <w:sz w:val="18"/>
          <w:szCs w:val="18"/>
        </w:rPr>
        <w:t> </w:t>
      </w:r>
      <w:r>
        <w:rPr>
          <w:rFonts w:ascii="宋体" w:hAnsi="宋体" w:cs="宋体" w:eastAsia="宋体" w:hint="default"/>
          <w:spacing w:val="-2"/>
          <w:sz w:val="18"/>
          <w:szCs w:val="18"/>
        </w:rPr>
        <w:t>为企业合并发生的审计、法律服务、评估咨询等中介费用以及其他直接相关费用，于发生时计入当期损益；为企业</w:t>
      </w:r>
    </w:p>
    <w:p>
      <w:pPr>
        <w:pStyle w:val="BodyText"/>
        <w:spacing w:line="240" w:lineRule="auto" w:before="31"/>
        <w:ind w:left="514" w:right="0"/>
        <w:jc w:val="left"/>
      </w:pPr>
      <w:r>
        <w:rPr/>
        <w:t>合并而发行权益性证券的交易费用，可直接归属于权益性交易的从权益中扣减。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4"/>
        <w:spacing w:line="240" w:lineRule="auto"/>
        <w:ind w:right="0"/>
        <w:jc w:val="left"/>
        <w:rPr>
          <w:b w:val="0"/>
          <w:bCs w:val="0"/>
        </w:rPr>
      </w:pPr>
      <w:bookmarkStart w:name="6、合并财务报表的编制方法" w:id="180"/>
      <w:bookmarkEnd w:id="180"/>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300" w:lineRule="auto" w:before="0"/>
        <w:ind w:left="874" w:right="1118" w:hanging="3"/>
        <w:jc w:val="left"/>
      </w:pPr>
      <w:r>
        <w:rPr>
          <w:rFonts w:ascii="Times New Roman" w:hAnsi="Times New Roman" w:cs="Times New Roman" w:eastAsia="Times New Roman" w:hint="default"/>
          <w:b/>
          <w:bCs/>
        </w:rPr>
        <w:t>1</w:t>
      </w:r>
      <w:r>
        <w:rPr>
          <w:rFonts w:ascii="宋体" w:hAnsi="宋体" w:cs="宋体" w:eastAsia="宋体" w:hint="default"/>
          <w:b/>
          <w:bCs/>
        </w:rPr>
        <w:t>、合并范围</w:t>
      </w:r>
      <w:r>
        <w:rPr>
          <w:rFonts w:ascii="宋体" w:hAnsi="宋体" w:cs="宋体" w:eastAsia="宋体" w:hint="default"/>
          <w:b/>
          <w:bCs/>
          <w:w w:val="99"/>
        </w:rPr>
        <w:t> </w:t>
      </w:r>
      <w:r>
        <w:rPr>
          <w:spacing w:val="-2"/>
        </w:rPr>
        <w:t>本公司合并财务报表的合并范围以控制为基础确定，所有子公司（包括本公司所控制的单独主体）均纳入合并财务</w:t>
      </w:r>
    </w:p>
    <w:p>
      <w:pPr>
        <w:pStyle w:val="BodyText"/>
        <w:spacing w:line="240" w:lineRule="auto" w:before="31"/>
        <w:ind w:left="514" w:right="0"/>
        <w:jc w:val="left"/>
      </w:pPr>
      <w:r>
        <w:rPr/>
        <w:t>报表。</w:t>
      </w:r>
    </w:p>
    <w:p>
      <w:pPr>
        <w:pStyle w:val="BodyText"/>
        <w:spacing w:line="300" w:lineRule="auto" w:before="76"/>
        <w:ind w:left="514" w:right="1131" w:firstLine="358"/>
        <w:jc w:val="both"/>
      </w:pPr>
      <w:r>
        <w:rPr>
          <w:rFonts w:ascii="Times New Roman" w:hAnsi="Times New Roman" w:cs="Times New Roman" w:eastAsia="Times New Roman" w:hint="default"/>
          <w:b/>
          <w:bCs/>
        </w:rPr>
        <w:t>2</w:t>
      </w:r>
      <w:r>
        <w:rPr>
          <w:rFonts w:ascii="宋体" w:hAnsi="宋体" w:cs="宋体" w:eastAsia="宋体" w:hint="default"/>
          <w:b/>
          <w:bCs/>
        </w:rPr>
        <w:t>、合并程序</w:t>
      </w:r>
      <w:r>
        <w:rPr>
          <w:rFonts w:ascii="宋体" w:hAnsi="宋体" w:cs="宋体" w:eastAsia="宋体" w:hint="default"/>
          <w:b/>
          <w:bCs/>
          <w:w w:val="99"/>
        </w:rPr>
        <w:t> </w:t>
      </w:r>
      <w:r>
        <w:rPr>
          <w:spacing w:val="-2"/>
        </w:rPr>
        <w:t>本公司以自身和各子公司的财务报表为基础，根据其他有关资料，编制合并财务报表。本公司编制合并财务报表，将整</w:t>
      </w:r>
    </w:p>
    <w:p>
      <w:pPr>
        <w:pStyle w:val="BodyText"/>
        <w:spacing w:line="316" w:lineRule="auto" w:before="32"/>
        <w:ind w:right="0"/>
        <w:jc w:val="left"/>
      </w:pPr>
      <w:r>
        <w:rPr>
          <w:spacing w:val="-2"/>
        </w:rPr>
        <w:t>个企业集团视为一个会计主体，依据相关企业会计准则的确认、计量和列报要求，按照统一的会计政策，反映本企业集团整</w:t>
      </w:r>
      <w:r>
        <w:rPr>
          <w:spacing w:val="-66"/>
        </w:rPr>
        <w:t> </w:t>
      </w:r>
      <w:r>
        <w:rPr>
          <w:spacing w:val="-66"/>
        </w:rPr>
      </w:r>
      <w:r>
        <w:rPr/>
        <w:t>体财务状况、经营成果和现金流量。</w:t>
      </w:r>
    </w:p>
    <w:p>
      <w:pPr>
        <w:pStyle w:val="BodyText"/>
        <w:spacing w:line="316" w:lineRule="auto" w:before="19"/>
        <w:ind w:right="1133" w:firstLine="360"/>
        <w:jc w:val="both"/>
      </w:pPr>
      <w:r>
        <w:rPr>
          <w:spacing w:val="-2"/>
        </w:rPr>
        <w:t>所有纳入合并财务报表合并范围的子公司所采用的会计政策、会计期间与本公司一致，如子公司采用的会计政策、会计</w:t>
      </w:r>
      <w:r>
        <w:rPr/>
        <w:t> 期间与本公司不一致的，在编制合并财务报表时，按本公司的会计政策、会计期间进行必要的调整。</w:t>
      </w:r>
    </w:p>
    <w:p>
      <w:pPr>
        <w:pStyle w:val="BodyText"/>
        <w:spacing w:line="316" w:lineRule="auto" w:before="19"/>
        <w:ind w:right="1132" w:firstLine="360"/>
        <w:jc w:val="both"/>
      </w:pPr>
      <w:r>
        <w:rPr>
          <w:spacing w:val="-2"/>
        </w:rPr>
        <w:t>合并财务报表时抵销本公司与各子公司、各子公司相互之间发生的内部交易对合并资产负债表、合并利润表、合并现金</w:t>
      </w:r>
      <w:r>
        <w:rPr/>
        <w:t> </w:t>
      </w:r>
      <w:r>
        <w:rPr>
          <w:spacing w:val="-2"/>
        </w:rPr>
        <w:t>流量表、合并股东权益变动表的影响。如果站在企业集团合并财务报表角度与以本公司或子公司为会计主体对同一交易的认</w:t>
      </w:r>
      <w:r>
        <w:rPr>
          <w:spacing w:val="-64"/>
        </w:rPr>
        <w:t> </w:t>
      </w:r>
      <w:r>
        <w:rPr>
          <w:spacing w:val="-64"/>
        </w:rPr>
      </w:r>
      <w:r>
        <w:rPr/>
        <w:t>定不同时，从企业集团的角度对该交易予以调整。</w:t>
      </w:r>
    </w:p>
    <w:p>
      <w:pPr>
        <w:pStyle w:val="BodyText"/>
        <w:spacing w:line="316" w:lineRule="auto" w:before="19"/>
        <w:ind w:right="1131" w:firstLine="360"/>
        <w:jc w:val="both"/>
      </w:pPr>
      <w:r>
        <w:rPr>
          <w:spacing w:val="-2"/>
        </w:rPr>
        <w:t>子公司所有者权益、当期净损益和当期综合收益中属于少数股东的份额分别在合并资产负债表中所有者权益项目下、合</w:t>
      </w:r>
      <w:r>
        <w:rPr/>
        <w:t> </w:t>
      </w:r>
      <w:r>
        <w:rPr>
          <w:spacing w:val="-2"/>
        </w:rPr>
        <w:t>并利润表中净利润项目下和综合收益总额项目下单独列示。子公司少数股东分担的当期亏损超过了少数股东在该子公司期初</w:t>
      </w:r>
      <w:r>
        <w:rPr>
          <w:spacing w:val="-64"/>
        </w:rPr>
        <w:t> </w:t>
      </w:r>
      <w:r>
        <w:rPr>
          <w:spacing w:val="-64"/>
        </w:rPr>
      </w:r>
      <w:r>
        <w:rPr/>
        <w:t>所有者权益中所享有份额而形成的余额，冲减少数股东权益。</w:t>
      </w:r>
    </w:p>
    <w:p>
      <w:pPr>
        <w:pStyle w:val="BodyText"/>
        <w:spacing w:line="316" w:lineRule="auto" w:before="19"/>
        <w:ind w:right="1131" w:firstLine="360"/>
        <w:jc w:val="both"/>
      </w:pPr>
      <w:r>
        <w:rPr>
          <w:spacing w:val="-2"/>
        </w:rPr>
        <w:t>对于同一控制下企业合并取得的子公司，以其资产、负债（包括最终控制方收购该子公司而形成的商誉）在最终控制方</w:t>
      </w:r>
      <w:r>
        <w:rPr/>
        <w:t> 财务报表中的账面价值为基础对其财务报表进行调整。</w:t>
      </w:r>
    </w:p>
    <w:p>
      <w:pPr>
        <w:pStyle w:val="BodyText"/>
        <w:spacing w:line="240" w:lineRule="auto" w:before="19"/>
        <w:ind w:left="514" w:right="0"/>
        <w:jc w:val="left"/>
      </w:pPr>
      <w:r>
        <w:rPr/>
        <w:t>对于非同一控制下企业合并取得的子公司，以购买日可辨认净资产公允价值为基础对其财务报表进行调整。</w:t>
      </w:r>
    </w:p>
    <w:p>
      <w:pPr>
        <w:pStyle w:val="BodyText"/>
        <w:spacing w:line="300" w:lineRule="auto" w:before="76"/>
        <w:ind w:left="874" w:right="0" w:hanging="3"/>
        <w:jc w:val="left"/>
      </w:pPr>
      <w:r>
        <w:rPr/>
        <w:t>（</w:t>
      </w:r>
      <w:r>
        <w:rPr>
          <w:rFonts w:ascii="Times New Roman" w:hAnsi="Times New Roman" w:cs="Times New Roman" w:eastAsia="Times New Roman" w:hint="default"/>
        </w:rPr>
        <w:t>1</w:t>
      </w:r>
      <w:r>
        <w:rPr/>
        <w:t>）增加子公司或业务 </w:t>
      </w:r>
      <w:r>
        <w:rPr>
          <w:spacing w:val="-2"/>
        </w:rPr>
        <w:t>在报告期内，若因同一控制下企业合并增加子公司或业务的，则调整合并资产负债表的期初数；将子公司或业务合</w:t>
      </w:r>
    </w:p>
    <w:p>
      <w:pPr>
        <w:pStyle w:val="BodyText"/>
        <w:spacing w:line="316" w:lineRule="auto" w:before="31"/>
        <w:ind w:left="514" w:right="0"/>
        <w:jc w:val="left"/>
      </w:pPr>
      <w:r>
        <w:rPr>
          <w:spacing w:val="-2"/>
        </w:rPr>
        <w:t>并当期期初至报告期末的收入、费用、利润纳入合并利润表；将子公司或业务合并当期期初至报告期末的现金流量纳入</w:t>
      </w:r>
      <w:r>
        <w:rPr>
          <w:spacing w:val="-70"/>
        </w:rPr>
        <w:t> </w:t>
      </w:r>
      <w:r>
        <w:rPr>
          <w:spacing w:val="-70"/>
        </w:rPr>
      </w:r>
      <w:r>
        <w:rPr>
          <w:spacing w:val="-4"/>
        </w:rPr>
        <w:t>合并现金流量表，同时对比较报表的相关项目进行调整，视同合并后的报告主体自最终控制方开始控制时点起一直存在。</w:t>
      </w:r>
    </w:p>
    <w:p>
      <w:pPr>
        <w:pStyle w:val="BodyText"/>
        <w:spacing w:line="319" w:lineRule="auto" w:before="19"/>
        <w:ind w:left="514" w:right="1131" w:firstLine="360"/>
        <w:jc w:val="both"/>
      </w:pPr>
      <w:r>
        <w:rPr>
          <w:spacing w:val="-2"/>
        </w:rPr>
        <w:t>因追加投资等原因能够对同一控制下的被投资方实施控制的，视同参与合并的各方在最终控制方开始控制时即以目</w:t>
      </w:r>
      <w:r>
        <w:rPr/>
        <w:t> </w:t>
      </w:r>
      <w:r>
        <w:rPr>
          <w:spacing w:val="-2"/>
        </w:rPr>
        <w:t>前的状态存在进行调整。在取得被合并方控制权之前持有的股权投资，在取得原股权之日与合并方和被合并方同处于同</w:t>
      </w:r>
      <w:r>
        <w:rPr>
          <w:spacing w:val="-68"/>
        </w:rPr>
        <w:t> </w:t>
      </w:r>
      <w:r>
        <w:rPr>
          <w:spacing w:val="-68"/>
        </w:rPr>
      </w:r>
      <w:r>
        <w:rPr>
          <w:spacing w:val="-2"/>
        </w:rPr>
        <w:t>一控制之日孰晚日起至合并日之间已确认有关损益、其他综合收益以及其他净资产变动，分别冲减比较报表期间的期初</w:t>
      </w:r>
      <w:r>
        <w:rPr>
          <w:spacing w:val="-68"/>
        </w:rPr>
        <w:t> </w:t>
      </w:r>
      <w:r>
        <w:rPr>
          <w:spacing w:val="-68"/>
        </w:rPr>
      </w:r>
      <w:r>
        <w:rPr/>
        <w:t>留存收益或当期损益。</w:t>
      </w:r>
    </w:p>
    <w:p>
      <w:pPr>
        <w:pStyle w:val="BodyText"/>
        <w:spacing w:line="240" w:lineRule="auto" w:before="17"/>
        <w:ind w:left="874" w:right="0"/>
        <w:jc w:val="left"/>
      </w:pPr>
      <w:r>
        <w:rPr/>
        <w:t>在报告期内，若因非同一控制下企业合并增加子公司或业务的，则不调整合并资产负债表期初数；将该子公司或业</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ind w:left="514" w:right="1133"/>
        <w:jc w:val="both"/>
      </w:pPr>
      <w:r>
        <w:rPr>
          <w:spacing w:val="-2"/>
        </w:rPr>
        <w:t>务自购买日至报告期末的收入、费用、利润纳入合并利润表；该子公司或业务自购买日至报告期末的现金流量纳入合并</w:t>
      </w:r>
      <w:r>
        <w:rPr>
          <w:spacing w:val="-70"/>
        </w:rPr>
        <w:t> </w:t>
      </w:r>
      <w:r>
        <w:rPr>
          <w:spacing w:val="-70"/>
        </w:rPr>
      </w:r>
      <w:r>
        <w:rPr/>
        <w:t>现金流量表。</w:t>
      </w:r>
    </w:p>
    <w:p>
      <w:pPr>
        <w:pStyle w:val="BodyText"/>
        <w:spacing w:line="319" w:lineRule="auto" w:before="19"/>
        <w:ind w:left="514" w:right="1032" w:firstLine="360"/>
        <w:jc w:val="left"/>
      </w:pPr>
      <w:r>
        <w:rPr>
          <w:spacing w:val="-2"/>
        </w:rPr>
        <w:t>因追加投资等原因能够对非同一控制下的被投资方实施控制的，对于购买日之前持有的被购买方的股权，本公司按</w:t>
      </w:r>
      <w:r>
        <w:rPr/>
        <w:t> </w:t>
      </w:r>
      <w:r>
        <w:rPr>
          <w:spacing w:val="-2"/>
        </w:rPr>
        <w:t>照该股权在购买日的公允价值进行重新计量，公允价值与其账面价值的差额计入当期投资收益。购买日之前持有的被购</w:t>
      </w:r>
      <w:r>
        <w:rPr>
          <w:spacing w:val="-68"/>
        </w:rPr>
        <w:t> </w:t>
      </w:r>
      <w:r>
        <w:rPr>
          <w:spacing w:val="-68"/>
        </w:rPr>
      </w:r>
      <w:r>
        <w:rPr/>
        <w:t>买方的股权涉及权益法核算下的其他综合收益以及除净损益、其他综合收益和利润分配之外的其他所有者权益变动的， </w:t>
      </w:r>
      <w:r>
        <w:rPr>
          <w:spacing w:val="-2"/>
        </w:rPr>
        <w:t>与其相关的其他综合收益、其他所有者权益变动转为购买日所属当期投资收益，由于被投资方重新计量设定受益计划净</w:t>
      </w:r>
      <w:r>
        <w:rPr>
          <w:spacing w:val="-68"/>
        </w:rPr>
        <w:t> </w:t>
      </w:r>
      <w:r>
        <w:rPr>
          <w:spacing w:val="-68"/>
        </w:rPr>
      </w:r>
      <w:r>
        <w:rPr/>
        <w:t>负债或净资产变动而产生的其他综合收益除外。</w:t>
      </w:r>
    </w:p>
    <w:p>
      <w:pPr>
        <w:pStyle w:val="BodyText"/>
        <w:spacing w:line="240" w:lineRule="auto" w:before="17"/>
        <w:ind w:left="871" w:right="0"/>
        <w:jc w:val="left"/>
      </w:pPr>
      <w:r>
        <w:rPr/>
        <w:t>（</w:t>
      </w:r>
      <w:r>
        <w:rPr>
          <w:rFonts w:ascii="Times New Roman" w:hAnsi="Times New Roman" w:cs="Times New Roman" w:eastAsia="Times New Roman" w:hint="default"/>
        </w:rPr>
        <w:t>2</w:t>
      </w:r>
      <w:r>
        <w:rPr/>
        <w:t>）处置子公司或业务</w:t>
      </w:r>
    </w:p>
    <w:p>
      <w:pPr>
        <w:pStyle w:val="BodyText"/>
        <w:spacing w:line="300" w:lineRule="auto" w:before="63"/>
        <w:ind w:left="874" w:right="0"/>
        <w:jc w:val="left"/>
      </w:pPr>
      <w:r>
        <w:rPr>
          <w:rFonts w:ascii="Times New Roman" w:hAnsi="Times New Roman" w:cs="Times New Roman" w:eastAsia="Times New Roman" w:hint="default"/>
        </w:rPr>
        <w:t>1</w:t>
      </w:r>
      <w:r>
        <w:rPr/>
        <w:t>）一般处理方法 </w:t>
      </w:r>
      <w:r>
        <w:rPr>
          <w:spacing w:val="-2"/>
        </w:rPr>
        <w:t>在报告期内，本公司处置子公司或业务，则该子公司或业务期初至处置日的收入、费用、利润纳入合并利润表；该</w:t>
      </w:r>
    </w:p>
    <w:p>
      <w:pPr>
        <w:pStyle w:val="BodyText"/>
        <w:spacing w:line="316" w:lineRule="auto" w:before="31"/>
        <w:ind w:left="874" w:right="0" w:hanging="361"/>
        <w:jc w:val="left"/>
      </w:pPr>
      <w:r>
        <w:rPr/>
        <w:t>子公司或业务期初至处置日的现金流量纳入合并现金流量表。 </w:t>
      </w:r>
      <w:r>
        <w:rPr>
          <w:spacing w:val="-2"/>
        </w:rPr>
        <w:t>因处置部分股权投资或其他原因丧失了对被投资方控制权时，对于处置后的剩余股权投资，本公司按照其在丧失控</w:t>
      </w:r>
    </w:p>
    <w:p>
      <w:pPr>
        <w:pStyle w:val="BodyText"/>
        <w:spacing w:line="316" w:lineRule="auto" w:before="19"/>
        <w:ind w:left="514" w:right="1131"/>
        <w:jc w:val="both"/>
      </w:pPr>
      <w:r>
        <w:rPr>
          <w:spacing w:val="-2"/>
        </w:rPr>
        <w:t>制权日的公允价值进行重新计量。处置股权取得的对价与剩余股权公允价值之和，减去按原持股比例计算应享有原有子</w:t>
      </w:r>
      <w:r>
        <w:rPr>
          <w:spacing w:val="-68"/>
        </w:rPr>
        <w:t> </w:t>
      </w:r>
      <w:r>
        <w:rPr>
          <w:spacing w:val="-68"/>
        </w:rPr>
      </w:r>
      <w:r>
        <w:rPr>
          <w:spacing w:val="-2"/>
        </w:rPr>
        <w:t>公司自购买日或合并日开始持续计算的净资产的份额与商誉之和的差额，计入丧失控制权当期的投资收益。与原有子公</w:t>
      </w:r>
      <w:r>
        <w:rPr>
          <w:spacing w:val="-68"/>
        </w:rPr>
        <w:t> </w:t>
      </w:r>
      <w:r>
        <w:rPr>
          <w:spacing w:val="-68"/>
        </w:rPr>
      </w:r>
      <w:r>
        <w:rPr>
          <w:spacing w:val="-2"/>
        </w:rPr>
        <w:t>司股权投资相关的其他综合收益或除净损益、其他综合收益及利润分配之外的其他所有者权益变动，在丧失控制权时转</w:t>
      </w:r>
      <w:r>
        <w:rPr>
          <w:spacing w:val="-68"/>
        </w:rPr>
        <w:t> </w:t>
      </w:r>
      <w:r>
        <w:rPr>
          <w:spacing w:val="-68"/>
        </w:rPr>
      </w:r>
      <w:r>
        <w:rPr/>
        <w:t>为当期投资收益，由于被投资方重新计量设定受益计划净负债或净资产变动而产生的其他综合收益除外。</w:t>
      </w:r>
    </w:p>
    <w:p>
      <w:pPr>
        <w:pStyle w:val="BodyText"/>
        <w:spacing w:line="300" w:lineRule="auto" w:before="19"/>
        <w:ind w:left="874" w:right="0"/>
        <w:jc w:val="left"/>
      </w:pPr>
      <w:r>
        <w:rPr>
          <w:rFonts w:ascii="Times New Roman" w:hAnsi="Times New Roman" w:cs="Times New Roman" w:eastAsia="Times New Roman" w:hint="default"/>
        </w:rPr>
        <w:t>2</w:t>
      </w:r>
      <w:r>
        <w:rPr/>
        <w:t>）分步处置子公司 </w:t>
      </w:r>
      <w:r>
        <w:rPr>
          <w:spacing w:val="-2"/>
        </w:rPr>
        <w:t>通过多次交易分步处置对子公司股权投资直至丧失控制权的，处置对子公司股权投资的各项交易的条款、条件以及</w:t>
      </w:r>
    </w:p>
    <w:p>
      <w:pPr>
        <w:pStyle w:val="BodyText"/>
        <w:spacing w:line="304" w:lineRule="auto" w:before="31"/>
        <w:ind w:left="874" w:right="2833" w:hanging="361"/>
        <w:jc w:val="left"/>
      </w:pPr>
      <w:r>
        <w:rPr/>
        <w:t>经济影响符合以下一种或多种情况，通常表明应将多次交易事项作为一揽子交易进行会计处理： </w:t>
      </w:r>
      <w:r>
        <w:rPr>
          <w:rFonts w:ascii="Times New Roman" w:hAnsi="Times New Roman" w:cs="Times New Roman" w:eastAsia="Times New Roman" w:hint="default"/>
        </w:rPr>
        <w:t>A.</w:t>
      </w:r>
      <w:r>
        <w:rPr/>
        <w:t>这些交易是同时或者在考虑了彼此影响的情况下订立的； </w:t>
      </w:r>
      <w:r>
        <w:rPr>
          <w:rFonts w:ascii="Times New Roman" w:hAnsi="Times New Roman" w:cs="Times New Roman" w:eastAsia="Times New Roman" w:hint="default"/>
        </w:rPr>
        <w:t>B.</w:t>
      </w:r>
      <w:r>
        <w:rPr/>
        <w:t>这些交易整体才能达成一项完整的商业结果； </w:t>
      </w:r>
      <w:r>
        <w:rPr>
          <w:rFonts w:ascii="Times New Roman" w:hAnsi="Times New Roman" w:cs="Times New Roman" w:eastAsia="Times New Roman" w:hint="default"/>
        </w:rPr>
        <w:t>C.</w:t>
      </w:r>
      <w:r>
        <w:rPr/>
        <w:t>一项交易的发生取决于其他至少一项交易的发生； </w:t>
      </w:r>
      <w:r>
        <w:rPr>
          <w:rFonts w:ascii="Times New Roman" w:hAnsi="Times New Roman" w:cs="Times New Roman" w:eastAsia="Times New Roman" w:hint="default"/>
        </w:rPr>
        <w:t>D.</w:t>
      </w:r>
      <w:r>
        <w:rPr/>
        <w:t>一项交易单独看是不经济的，但是和其他交易一并考虑时是经济的。</w:t>
      </w:r>
    </w:p>
    <w:p>
      <w:pPr>
        <w:pStyle w:val="BodyText"/>
        <w:spacing w:line="316" w:lineRule="auto" w:before="9"/>
        <w:ind w:left="514" w:right="1131" w:firstLine="360"/>
        <w:jc w:val="both"/>
      </w:pPr>
      <w:r>
        <w:rPr>
          <w:spacing w:val="-2"/>
        </w:rPr>
        <w:t>处置对子公司股权投资直至丧失控制权的各项交易属于一揽子交易的，本公司将各项交易作为一项处置子公司并丧</w:t>
      </w:r>
      <w:r>
        <w:rPr/>
        <w:t> </w:t>
      </w:r>
      <w:r>
        <w:rPr>
          <w:spacing w:val="-2"/>
        </w:rPr>
        <w:t>失控制权的交易进行会计处理；但是，在丧失控制权之前每一次处置价款与处置投资对应的享有该子公司净资产份额的</w:t>
      </w:r>
      <w:r>
        <w:rPr>
          <w:spacing w:val="-68"/>
        </w:rPr>
        <w:t> </w:t>
      </w:r>
      <w:r>
        <w:rPr>
          <w:spacing w:val="-68"/>
        </w:rPr>
      </w:r>
      <w:r>
        <w:rPr/>
        <w:t>差额，在合并财务报表中确认为其他综合收益，在丧失控制权时一并转入丧失控制权当期的损益。</w:t>
      </w:r>
    </w:p>
    <w:p>
      <w:pPr>
        <w:pStyle w:val="BodyText"/>
        <w:spacing w:line="316" w:lineRule="auto" w:before="19"/>
        <w:ind w:left="514" w:right="1131" w:firstLine="360"/>
        <w:jc w:val="both"/>
      </w:pPr>
      <w:r>
        <w:rPr>
          <w:spacing w:val="-2"/>
        </w:rPr>
        <w:t>处置对子公司股权投资直至丧失控制权的各项交易不属于一揽子交易的，在丧失控制权之前，按不丧失控制权的情</w:t>
      </w:r>
      <w:r>
        <w:rPr/>
        <w:t> </w:t>
      </w:r>
      <w:r>
        <w:rPr>
          <w:spacing w:val="-2"/>
        </w:rPr>
        <w:t>况下部分处置对子公司的股权投资的相关政策进行会计处理；在丧失控制权时，按处置子公司一般处理方法进行会计处</w:t>
      </w:r>
      <w:r>
        <w:rPr>
          <w:spacing w:val="-68"/>
        </w:rPr>
        <w:t> </w:t>
      </w:r>
      <w:r>
        <w:rPr>
          <w:spacing w:val="-68"/>
        </w:rPr>
      </w:r>
      <w:r>
        <w:rPr/>
        <w:t>理。</w:t>
      </w:r>
    </w:p>
    <w:p>
      <w:pPr>
        <w:pStyle w:val="BodyText"/>
        <w:spacing w:line="300" w:lineRule="auto" w:before="19"/>
        <w:ind w:left="874" w:right="0" w:hanging="3"/>
        <w:jc w:val="left"/>
      </w:pPr>
      <w:r>
        <w:rPr/>
        <w:t>（</w:t>
      </w:r>
      <w:r>
        <w:rPr>
          <w:rFonts w:ascii="Times New Roman" w:hAnsi="Times New Roman" w:cs="Times New Roman" w:eastAsia="Times New Roman" w:hint="default"/>
        </w:rPr>
        <w:t>3</w:t>
      </w:r>
      <w:r>
        <w:rPr/>
        <w:t>）购买子公司少数股权 </w:t>
      </w:r>
      <w:r>
        <w:rPr>
          <w:spacing w:val="-2"/>
        </w:rPr>
        <w:t>本公司因购买少数股权新取得的长期股权投资与按照新增持股比例计算应享有子公司自购买日（或合并日）开始持</w:t>
      </w:r>
    </w:p>
    <w:p>
      <w:pPr>
        <w:pStyle w:val="BodyText"/>
        <w:spacing w:line="316" w:lineRule="auto" w:before="31"/>
        <w:ind w:left="514" w:right="1043"/>
        <w:jc w:val="both"/>
      </w:pPr>
      <w:r>
        <w:rPr>
          <w:spacing w:val="-4"/>
        </w:rPr>
        <w:t>续计算的净资产份额之间的差额，调整合并资产负债表中的资本公积中的股本溢价，资本公积中的股本溢价不足冲减的，</w:t>
      </w:r>
      <w:r>
        <w:rPr>
          <w:spacing w:val="-52"/>
        </w:rPr>
        <w:t> </w:t>
      </w:r>
      <w:r>
        <w:rPr>
          <w:spacing w:val="-52"/>
        </w:rPr>
      </w:r>
      <w:r>
        <w:rPr/>
        <w:t>调整留存收益。</w:t>
      </w:r>
    </w:p>
    <w:p>
      <w:pPr>
        <w:pStyle w:val="BodyText"/>
        <w:spacing w:line="300" w:lineRule="auto" w:before="19"/>
        <w:ind w:left="514" w:right="1230" w:firstLine="358"/>
        <w:jc w:val="both"/>
      </w:pPr>
      <w:r>
        <w:rPr/>
        <w:t>（</w:t>
      </w:r>
      <w:r>
        <w:rPr>
          <w:rFonts w:ascii="Times New Roman" w:hAnsi="Times New Roman" w:cs="Times New Roman" w:eastAsia="Times New Roman" w:hint="default"/>
        </w:rPr>
        <w:t>4</w:t>
      </w:r>
      <w:r>
        <w:rPr/>
        <w:t>）不丧失控制权的情况下部分处置对子公司的股权投资 在不丧失控制权的情况下因部分处置对子公司的长期股权投资而取得的处置价款与处置长期股权投资相对应享有子公</w:t>
      </w:r>
    </w:p>
    <w:p>
      <w:pPr>
        <w:pStyle w:val="BodyText"/>
        <w:spacing w:line="316" w:lineRule="auto" w:before="31"/>
        <w:ind w:right="0"/>
        <w:jc w:val="left"/>
      </w:pPr>
      <w:r>
        <w:rPr>
          <w:spacing w:val="-2"/>
        </w:rPr>
        <w:t>司自购买日或合并日开始持续计算的净资产份额之间的差额，调整合并资产负债表中的资本公积中的股本溢价，资本公积中</w:t>
      </w:r>
      <w:r>
        <w:rPr>
          <w:spacing w:val="-64"/>
        </w:rPr>
        <w:t> </w:t>
      </w:r>
      <w:r>
        <w:rPr>
          <w:spacing w:val="-64"/>
        </w:rPr>
      </w:r>
      <w:r>
        <w:rPr/>
        <w:t>的股本溢价不足冲减的，调整留存收益。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6"/>
          <w:szCs w:val="16"/>
        </w:rPr>
      </w:pPr>
    </w:p>
    <w:p>
      <w:pPr>
        <w:pStyle w:val="Heading4"/>
        <w:spacing w:line="240" w:lineRule="auto"/>
        <w:ind w:right="0"/>
        <w:jc w:val="left"/>
        <w:rPr>
          <w:b w:val="0"/>
          <w:bCs w:val="0"/>
        </w:rPr>
      </w:pPr>
      <w:bookmarkStart w:name="7、合营安排分类及共同经营会计处理方法" w:id="181"/>
      <w:bookmarkEnd w:id="181"/>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6"/>
          <w:szCs w:val="26"/>
        </w:rPr>
      </w:pPr>
    </w:p>
    <w:p>
      <w:pPr>
        <w:pStyle w:val="BodyText"/>
        <w:spacing w:line="300" w:lineRule="auto" w:before="0"/>
        <w:ind w:left="874" w:right="0" w:hanging="3"/>
        <w:jc w:val="left"/>
      </w:pPr>
      <w:r>
        <w:rPr>
          <w:rFonts w:ascii="Times New Roman" w:hAnsi="Times New Roman" w:cs="Times New Roman" w:eastAsia="Times New Roman" w:hint="default"/>
          <w:b/>
          <w:bCs/>
        </w:rPr>
        <w:t>1</w:t>
      </w:r>
      <w:r>
        <w:rPr>
          <w:rFonts w:ascii="宋体" w:hAnsi="宋体" w:cs="宋体" w:eastAsia="宋体" w:hint="default"/>
          <w:b/>
          <w:bCs/>
        </w:rPr>
        <w:t>、合营安排的分类</w:t>
      </w:r>
      <w:r>
        <w:rPr>
          <w:rFonts w:ascii="宋体" w:hAnsi="宋体" w:cs="宋体" w:eastAsia="宋体" w:hint="default"/>
          <w:b/>
          <w:bCs/>
          <w:w w:val="99"/>
        </w:rPr>
        <w:t> </w:t>
      </w:r>
      <w:r>
        <w:rPr>
          <w:spacing w:val="-2"/>
        </w:rPr>
        <w:t>本公司根据合营安排的结构、法律形式以及合营安排中约定的条款、其他相关事实和情况等因素，将合营安排分为</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ind w:left="874" w:right="0" w:hanging="361"/>
        <w:jc w:val="left"/>
      </w:pPr>
      <w:r>
        <w:rPr/>
        <w:t>共同经营和合营企业。 </w:t>
      </w:r>
      <w:r>
        <w:rPr>
          <w:spacing w:val="-2"/>
        </w:rPr>
        <w:t>未通过单独主体达成的合营安排，划分为共同经营；通过单独主体达成的合营安排，通常划分为合营企业；但有确</w:t>
      </w:r>
    </w:p>
    <w:p>
      <w:pPr>
        <w:pStyle w:val="BodyText"/>
        <w:spacing w:line="240" w:lineRule="auto" w:before="19"/>
        <w:ind w:left="514" w:right="0"/>
        <w:jc w:val="left"/>
      </w:pPr>
      <w:r>
        <w:rPr/>
        <w:t>凿证据表明满足下列任一条件并且符合相关法律法规规定的合营安排划分为共同经营：</w:t>
      </w:r>
    </w:p>
    <w:p>
      <w:pPr>
        <w:pStyle w:val="BodyText"/>
        <w:spacing w:line="240" w:lineRule="auto" w:before="76"/>
        <w:ind w:left="871" w:right="0"/>
        <w:jc w:val="left"/>
      </w:pPr>
      <w:r>
        <w:rPr/>
        <w:t>（</w:t>
      </w:r>
      <w:r>
        <w:rPr>
          <w:rFonts w:ascii="Times New Roman" w:hAnsi="Times New Roman" w:cs="Times New Roman" w:eastAsia="Times New Roman" w:hint="default"/>
        </w:rPr>
        <w:t>1</w:t>
      </w:r>
      <w:r>
        <w:rPr/>
        <w:t>）合营安排的法律形式表明，合营方对该安排中的相关资产和负债分别享有权利和承担义务。</w:t>
      </w:r>
    </w:p>
    <w:p>
      <w:pPr>
        <w:pStyle w:val="BodyText"/>
        <w:spacing w:line="240" w:lineRule="auto" w:before="63"/>
        <w:ind w:left="871" w:right="0"/>
        <w:jc w:val="left"/>
      </w:pPr>
      <w:r>
        <w:rPr/>
        <w:t>（</w:t>
      </w:r>
      <w:r>
        <w:rPr>
          <w:rFonts w:ascii="Times New Roman" w:hAnsi="Times New Roman" w:cs="Times New Roman" w:eastAsia="Times New Roman" w:hint="default"/>
        </w:rPr>
        <w:t>2</w:t>
      </w:r>
      <w:r>
        <w:rPr/>
        <w:t>）合营安排的合同条款约定，合营方对该安排中的相关资产和负债分别享有权利和承担义务。</w:t>
      </w:r>
    </w:p>
    <w:p>
      <w:pPr>
        <w:pStyle w:val="BodyText"/>
        <w:spacing w:line="300" w:lineRule="auto" w:before="63"/>
        <w:ind w:left="511" w:right="1142" w:firstLine="360"/>
        <w:jc w:val="both"/>
      </w:pPr>
      <w:r>
        <w:rPr/>
        <w:t>（</w:t>
      </w:r>
      <w:r>
        <w:rPr>
          <w:rFonts w:ascii="Times New Roman" w:hAnsi="Times New Roman" w:cs="Times New Roman" w:eastAsia="Times New Roman" w:hint="default"/>
        </w:rPr>
        <w:t>3</w:t>
      </w:r>
      <w:r>
        <w:rPr/>
        <w:t>）其他相关事实和情况表明，合营方对该安排中的相关资产和负债分别享有权利和承担义务，如合营方享有与 合营安排相关的几乎所有产出，并且该安排中负债的清偿持续依赖于合营方的支持。</w:t>
      </w:r>
    </w:p>
    <w:p>
      <w:pPr>
        <w:spacing w:line="300" w:lineRule="auto" w:before="31"/>
        <w:ind w:left="874" w:right="1392" w:hanging="3"/>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、共同经营会计处理方法</w:t>
      </w:r>
      <w:r>
        <w:rPr>
          <w:rFonts w:ascii="宋体" w:hAnsi="宋体" w:cs="宋体" w:eastAsia="宋体" w:hint="default"/>
          <w:b/>
          <w:bCs/>
          <w:w w:val="99"/>
          <w:sz w:val="18"/>
          <w:szCs w:val="18"/>
        </w:rPr>
        <w:t> </w:t>
      </w:r>
      <w:r>
        <w:rPr>
          <w:rFonts w:ascii="宋体" w:hAnsi="宋体" w:cs="宋体" w:eastAsia="宋体" w:hint="default"/>
          <w:sz w:val="18"/>
          <w:szCs w:val="18"/>
        </w:rPr>
        <w:t>本公司确认共同经营中利益份额中与本公司相关的下列项目，并按照相关企业会计准则的规定进行会计处理：</w:t>
      </w:r>
    </w:p>
    <w:p>
      <w:pPr>
        <w:pStyle w:val="BodyText"/>
        <w:spacing w:line="240" w:lineRule="auto" w:before="31"/>
        <w:ind w:left="871" w:right="0"/>
        <w:jc w:val="left"/>
      </w:pPr>
      <w:r>
        <w:rPr/>
        <w:t>（</w:t>
      </w:r>
      <w:r>
        <w:rPr>
          <w:rFonts w:ascii="Times New Roman" w:hAnsi="Times New Roman" w:cs="Times New Roman" w:eastAsia="Times New Roman" w:hint="default"/>
        </w:rPr>
        <w:t>1</w:t>
      </w:r>
      <w:r>
        <w:rPr/>
        <w:t>）确认单独所持有的资产，以及按其份额确认共同持有的资产；</w:t>
      </w:r>
    </w:p>
    <w:p>
      <w:pPr>
        <w:pStyle w:val="BodyText"/>
        <w:spacing w:line="240" w:lineRule="auto" w:before="63"/>
        <w:ind w:left="871" w:right="0"/>
        <w:jc w:val="left"/>
      </w:pPr>
      <w:r>
        <w:rPr/>
        <w:t>（</w:t>
      </w:r>
      <w:r>
        <w:rPr>
          <w:rFonts w:ascii="Times New Roman" w:hAnsi="Times New Roman" w:cs="Times New Roman" w:eastAsia="Times New Roman" w:hint="default"/>
        </w:rPr>
        <w:t>2</w:t>
      </w:r>
      <w:r>
        <w:rPr/>
        <w:t>）确认单独所承担的负债，以及按其份额确认共同承担的负债；</w:t>
      </w:r>
    </w:p>
    <w:p>
      <w:pPr>
        <w:pStyle w:val="BodyText"/>
        <w:spacing w:line="240" w:lineRule="auto" w:before="63"/>
        <w:ind w:left="871" w:right="0"/>
        <w:jc w:val="left"/>
      </w:pPr>
      <w:r>
        <w:rPr/>
        <w:t>（</w:t>
      </w:r>
      <w:r>
        <w:rPr>
          <w:rFonts w:ascii="Times New Roman" w:hAnsi="Times New Roman" w:cs="Times New Roman" w:eastAsia="Times New Roman" w:hint="default"/>
        </w:rPr>
        <w:t>3</w:t>
      </w:r>
      <w:r>
        <w:rPr/>
        <w:t>）确认出售其享有的共同经营产出份额所产生的收入；</w:t>
      </w:r>
    </w:p>
    <w:p>
      <w:pPr>
        <w:pStyle w:val="BodyText"/>
        <w:spacing w:line="240" w:lineRule="auto" w:before="63"/>
        <w:ind w:left="871" w:right="0"/>
        <w:jc w:val="left"/>
      </w:pPr>
      <w:r>
        <w:rPr/>
        <w:t>（</w:t>
      </w:r>
      <w:r>
        <w:rPr>
          <w:rFonts w:ascii="Times New Roman" w:hAnsi="Times New Roman" w:cs="Times New Roman" w:eastAsia="Times New Roman" w:hint="default"/>
        </w:rPr>
        <w:t>4</w:t>
      </w:r>
      <w:r>
        <w:rPr/>
        <w:t>）按其份额确认共同经营因出售产出所产生的收入；</w:t>
      </w:r>
    </w:p>
    <w:p>
      <w:pPr>
        <w:pStyle w:val="BodyText"/>
        <w:spacing w:line="300" w:lineRule="auto" w:before="63"/>
        <w:ind w:left="871" w:right="0"/>
        <w:jc w:val="left"/>
      </w:pPr>
      <w:r>
        <w:rPr/>
        <w:t>（</w:t>
      </w:r>
      <w:r>
        <w:rPr>
          <w:rFonts w:ascii="Times New Roman" w:hAnsi="Times New Roman" w:cs="Times New Roman" w:eastAsia="Times New Roman" w:hint="default"/>
        </w:rPr>
        <w:t>5</w:t>
      </w:r>
      <w:r>
        <w:rPr/>
        <w:t>）确认单独所发生的费用，以及按其份额确认共同经营发生的费用。 </w:t>
      </w:r>
      <w:r>
        <w:rPr>
          <w:spacing w:val="-2"/>
        </w:rPr>
        <w:t>本公司向共同经营投出或出售资产等（该资产构成业务的除外），在该资产等由共同经营出售给第三方之前，仅确</w:t>
      </w:r>
    </w:p>
    <w:p>
      <w:pPr>
        <w:pStyle w:val="BodyText"/>
        <w:spacing w:line="300" w:lineRule="auto" w:before="31"/>
        <w:ind w:left="511" w:right="1125"/>
        <w:jc w:val="left"/>
      </w:pPr>
      <w:r>
        <w:rPr/>
        <w:t>认因该交易产生的损益中归属于共同经营其他参与方的部分。投出或出售的资产发生符合《企业会计准则第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 产减值》等规定的资产减值损失的，本公司全额确认该损失。</w:t>
      </w:r>
    </w:p>
    <w:p>
      <w:pPr>
        <w:pStyle w:val="BodyText"/>
        <w:spacing w:line="309" w:lineRule="auto" w:before="31"/>
        <w:ind w:left="511" w:right="1130" w:firstLine="360"/>
        <w:jc w:val="both"/>
      </w:pPr>
      <w:r>
        <w:rPr>
          <w:spacing w:val="-2"/>
        </w:rPr>
        <w:t>本公司自共同经营购买资产等（该资产构成业务的除外），在将该资产等出售给第三方之前，仅确认因该交易产生</w:t>
      </w:r>
      <w:r>
        <w:rPr/>
        <w:t> 的损益中归属于共同经营其他参与方的部分。购入的资产发生符合《企业会计准则第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资产减值》等规定的资产 减值损失的，本公司按承担的份额确认该部分损失。</w:t>
      </w:r>
    </w:p>
    <w:p>
      <w:pPr>
        <w:pStyle w:val="BodyText"/>
        <w:spacing w:line="316" w:lineRule="auto" w:before="24"/>
        <w:ind w:left="511" w:right="1131" w:firstLine="360"/>
        <w:jc w:val="both"/>
      </w:pPr>
      <w:r>
        <w:rPr>
          <w:spacing w:val="-2"/>
        </w:rPr>
        <w:t>本公司对共同经营不享有共同控制，如果本公司享有该共同经营相关资产且承担该共同经营相关负债的，仍按上述</w:t>
      </w:r>
      <w:r>
        <w:rPr/>
        <w:t> 原则进行会计处理，否则，应当按照相关企业会计准则的规定进行会计处理。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6"/>
          <w:szCs w:val="16"/>
        </w:rPr>
      </w:pPr>
    </w:p>
    <w:p>
      <w:pPr>
        <w:pStyle w:val="Heading4"/>
        <w:spacing w:line="240" w:lineRule="auto"/>
        <w:ind w:right="0"/>
        <w:jc w:val="left"/>
        <w:rPr>
          <w:b w:val="0"/>
          <w:bCs w:val="0"/>
        </w:rPr>
      </w:pPr>
      <w:bookmarkStart w:name="8、现金及现金等价物的确定标准" w:id="182"/>
      <w:bookmarkEnd w:id="182"/>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left="511" w:right="1131" w:firstLine="360"/>
        <w:jc w:val="both"/>
      </w:pPr>
      <w:r>
        <w:rPr>
          <w:spacing w:val="-2"/>
        </w:rPr>
        <w:t>在编制现金流量表时，将本公司库存现金以及可以随时用于支付的存款确认为现金。将同时具备期限短（一般从购</w:t>
      </w:r>
      <w:r>
        <w:rPr/>
        <w:t> </w:t>
      </w:r>
      <w:r>
        <w:rPr>
          <w:spacing w:val="-2"/>
        </w:rPr>
        <w:t>买日起三个月内到期）、流动性强、易于转换为已知金额的现金、价值变动风险很小四个条件的投资，确定为现金等价</w:t>
      </w:r>
      <w:r>
        <w:rPr>
          <w:spacing w:val="-66"/>
        </w:rPr>
        <w:t> </w:t>
      </w:r>
      <w:r>
        <w:rPr>
          <w:spacing w:val="-66"/>
        </w:rPr>
      </w:r>
      <w:r>
        <w:rPr/>
        <w:t>物。</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6"/>
          <w:szCs w:val="16"/>
        </w:rPr>
      </w:pPr>
    </w:p>
    <w:p>
      <w:pPr>
        <w:pStyle w:val="Heading4"/>
        <w:spacing w:line="240" w:lineRule="auto"/>
        <w:ind w:right="0"/>
        <w:jc w:val="left"/>
        <w:rPr>
          <w:b w:val="0"/>
          <w:bCs w:val="0"/>
        </w:rPr>
      </w:pPr>
      <w:bookmarkStart w:name="9、外币业务和外币报表折算" w:id="183"/>
      <w:bookmarkEnd w:id="183"/>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6"/>
          <w:szCs w:val="26"/>
        </w:rPr>
      </w:pPr>
    </w:p>
    <w:p>
      <w:pPr>
        <w:pStyle w:val="BodyText"/>
        <w:spacing w:line="300" w:lineRule="auto" w:before="0"/>
        <w:ind w:left="874" w:right="2832" w:hanging="3"/>
        <w:jc w:val="left"/>
      </w:pPr>
      <w:r>
        <w:rPr>
          <w:rFonts w:ascii="Times New Roman" w:hAnsi="Times New Roman" w:cs="Times New Roman" w:eastAsia="Times New Roman" w:hint="default"/>
          <w:b/>
          <w:bCs/>
        </w:rPr>
        <w:t>1</w:t>
      </w:r>
      <w:r>
        <w:rPr>
          <w:rFonts w:ascii="宋体" w:hAnsi="宋体" w:cs="宋体" w:eastAsia="宋体" w:hint="default"/>
          <w:b/>
          <w:bCs/>
        </w:rPr>
        <w:t>、外币业务</w:t>
      </w:r>
      <w:r>
        <w:rPr>
          <w:rFonts w:ascii="宋体" w:hAnsi="宋体" w:cs="宋体" w:eastAsia="宋体" w:hint="default"/>
          <w:b/>
          <w:bCs/>
          <w:w w:val="99"/>
        </w:rPr>
        <w:t> </w:t>
      </w:r>
      <w:r>
        <w:rPr/>
        <w:t>外币业务交易在初始确认时，采用交易发生日的即期汇率作为折算汇率折合成人民币记账。</w:t>
      </w:r>
    </w:p>
    <w:p>
      <w:pPr>
        <w:pStyle w:val="BodyText"/>
        <w:spacing w:line="316" w:lineRule="auto" w:before="31"/>
        <w:ind w:left="514" w:right="1132" w:firstLine="360"/>
        <w:jc w:val="both"/>
      </w:pPr>
      <w:r>
        <w:rPr>
          <w:spacing w:val="-2"/>
        </w:rPr>
        <w:t>资产负债表日，外币货币性项目按资产负债表日即期汇率折算，由此产生的汇兑差额，除属于与购建符合资本化条</w:t>
      </w:r>
      <w:r>
        <w:rPr/>
        <w:t> </w:t>
      </w:r>
      <w:r>
        <w:rPr>
          <w:spacing w:val="-2"/>
        </w:rPr>
        <w:t>件的资产相关的外币专门借款产生的汇兑差额按照借款费用资本化的原则处理外，均计入当期损益。以历史成本计量的</w:t>
      </w:r>
      <w:r>
        <w:rPr>
          <w:spacing w:val="-68"/>
        </w:rPr>
        <w:t> </w:t>
      </w:r>
      <w:r>
        <w:rPr>
          <w:spacing w:val="-68"/>
        </w:rPr>
      </w:r>
      <w:r>
        <w:rPr/>
        <w:t>外币非货币性项目，仍采用交易发生日的即期汇率折算，不改变其记账本位币金额。</w:t>
      </w:r>
    </w:p>
    <w:p>
      <w:pPr>
        <w:pStyle w:val="BodyText"/>
        <w:spacing w:line="316" w:lineRule="auto" w:before="19"/>
        <w:ind w:left="514" w:right="1131" w:firstLine="360"/>
        <w:jc w:val="both"/>
      </w:pPr>
      <w:r>
        <w:rPr>
          <w:spacing w:val="-2"/>
        </w:rPr>
        <w:t>以公允价值计量的外币非货币性项目，采用公允价值确定日的即期汇率折算，由此产生的汇兑差额作为公允价值变</w:t>
      </w:r>
      <w:r>
        <w:rPr/>
        <w:t> 动损益计入当期损益。如属于可供出售外币非货币性项目的，形成的汇兑差额计入其他综合收益。</w:t>
      </w:r>
    </w:p>
    <w:p>
      <w:pPr>
        <w:pStyle w:val="BodyText"/>
        <w:spacing w:line="300" w:lineRule="auto" w:before="19"/>
        <w:ind w:left="874" w:right="0" w:hanging="3"/>
        <w:jc w:val="left"/>
      </w:pPr>
      <w:r>
        <w:rPr>
          <w:rFonts w:ascii="Times New Roman" w:hAnsi="Times New Roman" w:cs="Times New Roman" w:eastAsia="Times New Roman" w:hint="default"/>
          <w:b/>
          <w:bCs/>
        </w:rPr>
        <w:t>2</w:t>
      </w:r>
      <w:r>
        <w:rPr>
          <w:rFonts w:ascii="宋体" w:hAnsi="宋体" w:cs="宋体" w:eastAsia="宋体" w:hint="default"/>
          <w:b/>
          <w:bCs/>
        </w:rPr>
        <w:t>、外币财务报表的折算</w:t>
      </w:r>
      <w:r>
        <w:rPr>
          <w:rFonts w:ascii="宋体" w:hAnsi="宋体" w:cs="宋体" w:eastAsia="宋体" w:hint="default"/>
          <w:b/>
          <w:bCs/>
          <w:w w:val="99"/>
        </w:rPr>
        <w:t> </w:t>
      </w:r>
      <w:r>
        <w:rPr>
          <w:spacing w:val="-2"/>
        </w:rPr>
        <w:t>资产负债表中的资产和负债项目，采用资产负债表日的即期汇率折算；所有者权益项目除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项目外，其</w:t>
      </w:r>
    </w:p>
    <w:p>
      <w:pPr>
        <w:pStyle w:val="BodyText"/>
        <w:spacing w:line="240" w:lineRule="auto" w:before="13"/>
        <w:ind w:left="514" w:right="0"/>
        <w:jc w:val="left"/>
      </w:pPr>
      <w:r>
        <w:rPr/>
        <w:t>他项目采用发生时的即期汇率折算。利润表中的收入和费用项目，采用交易发生日的即期汇率折算。按照上述折算产生</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ind w:left="874" w:right="0" w:hanging="361"/>
        <w:jc w:val="left"/>
      </w:pPr>
      <w:r>
        <w:rPr/>
        <w:t>的外币财务报表折算差额计入其他综合收益。 </w:t>
      </w:r>
      <w:r>
        <w:rPr>
          <w:spacing w:val="-2"/>
        </w:rPr>
        <w:t>处置境外经营时，将资产负债表中其他综合收益项目中列示的、与该境外经营相关的外币财务报表折算差额，自其</w:t>
      </w:r>
    </w:p>
    <w:p>
      <w:pPr>
        <w:pStyle w:val="BodyText"/>
        <w:spacing w:line="319" w:lineRule="auto" w:before="19"/>
        <w:ind w:left="514" w:right="1131"/>
        <w:jc w:val="both"/>
      </w:pPr>
      <w:r>
        <w:rPr>
          <w:spacing w:val="-2"/>
        </w:rPr>
        <w:t>他综合收益项目转入处置当期损益；在处置部分股权投资或其他原因导致持有境外经营权益比例降低但不丧失对境外经</w:t>
      </w:r>
      <w:r>
        <w:rPr>
          <w:spacing w:val="-68"/>
        </w:rPr>
        <w:t> </w:t>
      </w:r>
      <w:r>
        <w:rPr>
          <w:spacing w:val="-68"/>
        </w:rPr>
      </w:r>
      <w:r>
        <w:rPr>
          <w:spacing w:val="-2"/>
        </w:rPr>
        <w:t>营控制权时，与该境外经营处置部分相关的外币报表折算差额将归属于少数股东权益，不转入当期损益。在处置境外经</w:t>
      </w:r>
      <w:r>
        <w:rPr>
          <w:spacing w:val="-70"/>
        </w:rPr>
        <w:t> </w:t>
      </w:r>
      <w:r>
        <w:rPr>
          <w:spacing w:val="-70"/>
        </w:rPr>
      </w:r>
      <w:r>
        <w:rPr>
          <w:spacing w:val="-2"/>
        </w:rPr>
        <w:t>营为联营企业或合营企业的部分股权时，与该境外经营相关的外币报表折算差额，按处置该境外经营的比例转入处置当</w:t>
      </w:r>
      <w:r>
        <w:rPr>
          <w:spacing w:val="-68"/>
        </w:rPr>
        <w:t> </w:t>
      </w:r>
      <w:r>
        <w:rPr>
          <w:spacing w:val="-68"/>
        </w:rPr>
      </w:r>
      <w:r>
        <w:rPr/>
        <w:t>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3"/>
        <w:ind w:right="0"/>
        <w:jc w:val="left"/>
        <w:rPr>
          <w:b w:val="0"/>
          <w:bCs w:val="0"/>
        </w:rPr>
      </w:pPr>
      <w:bookmarkStart w:name="10、金融工具" w:id="184"/>
      <w:bookmarkEnd w:id="184"/>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871" w:right="0"/>
        <w:jc w:val="left"/>
      </w:pPr>
      <w:r>
        <w:rPr/>
        <w:t>金融工具包括金融资产、金融负债和权益工具。</w:t>
      </w:r>
    </w:p>
    <w:p>
      <w:pPr>
        <w:pStyle w:val="BodyText"/>
        <w:spacing w:line="300" w:lineRule="auto" w:before="76"/>
        <w:ind w:left="871" w:right="0"/>
        <w:jc w:val="left"/>
      </w:pPr>
      <w:r>
        <w:rPr>
          <w:rFonts w:ascii="Times New Roman" w:hAnsi="Times New Roman" w:cs="Times New Roman" w:eastAsia="Times New Roman" w:hint="default"/>
          <w:b/>
          <w:bCs/>
        </w:rPr>
        <w:t>1</w:t>
      </w:r>
      <w:r>
        <w:rPr>
          <w:rFonts w:ascii="宋体" w:hAnsi="宋体" w:cs="宋体" w:eastAsia="宋体" w:hint="default"/>
          <w:b/>
          <w:bCs/>
        </w:rPr>
        <w:t>、金融工具的分类</w:t>
      </w:r>
      <w:r>
        <w:rPr>
          <w:rFonts w:ascii="宋体" w:hAnsi="宋体" w:cs="宋体" w:eastAsia="宋体" w:hint="default"/>
          <w:b/>
          <w:bCs/>
          <w:w w:val="99"/>
        </w:rPr>
        <w:t> </w:t>
      </w:r>
      <w:r>
        <w:rPr>
          <w:spacing w:val="-2"/>
        </w:rPr>
        <w:t>本公司根据所发行金融工具的合同条款及其所反映的经济实质而非仅以法律形式，结合取得持有金融资产和承担金</w:t>
      </w:r>
    </w:p>
    <w:p>
      <w:pPr>
        <w:pStyle w:val="BodyText"/>
        <w:spacing w:line="240" w:lineRule="auto" w:before="31"/>
        <w:ind w:left="511" w:right="0"/>
        <w:jc w:val="both"/>
      </w:pPr>
      <w:r>
        <w:rPr/>
        <w:t>融负债的目的，在初始确认时将金融资产和金融负债分为不同类别：以公允价值计量且其变动计入当期损益的金融资产</w:t>
      </w:r>
    </w:p>
    <w:p>
      <w:pPr>
        <w:pStyle w:val="BodyText"/>
        <w:spacing w:line="240" w:lineRule="auto" w:before="76"/>
        <w:ind w:left="511" w:right="0"/>
        <w:jc w:val="both"/>
      </w:pPr>
      <w:r>
        <w:rPr/>
        <w:t>（或金融负债）；持有至到期投资；应收款项；可供出售金融资产；其他金融负债等。</w:t>
      </w:r>
    </w:p>
    <w:p>
      <w:pPr>
        <w:pStyle w:val="Heading5"/>
        <w:spacing w:line="240" w:lineRule="auto" w:before="76"/>
        <w:ind w:left="871" w:right="0"/>
        <w:jc w:val="left"/>
        <w:rPr>
          <w:b w:val="0"/>
          <w:bCs w:val="0"/>
        </w:rPr>
      </w:pPr>
      <w:r>
        <w:rPr>
          <w:rFonts w:ascii="Times New Roman" w:hAnsi="Times New Roman" w:cs="Times New Roman" w:eastAsia="Times New Roman" w:hint="default"/>
        </w:rPr>
        <w:t>2</w:t>
      </w:r>
      <w:r>
        <w:rPr/>
        <w:t>、金融工具的确认依据和计量方法</w:t>
      </w:r>
      <w:r>
        <w:rPr>
          <w:b w:val="0"/>
          <w:bCs w:val="0"/>
        </w:rPr>
      </w:r>
    </w:p>
    <w:p>
      <w:pPr>
        <w:pStyle w:val="BodyText"/>
        <w:spacing w:line="300" w:lineRule="auto" w:before="63"/>
        <w:ind w:left="871" w:right="0"/>
        <w:jc w:val="left"/>
      </w:pPr>
      <w:r>
        <w:rPr/>
        <w:t>（</w:t>
      </w:r>
      <w:r>
        <w:rPr>
          <w:rFonts w:ascii="Times New Roman" w:hAnsi="Times New Roman" w:cs="Times New Roman" w:eastAsia="Times New Roman" w:hint="default"/>
        </w:rPr>
        <w:t>1</w:t>
      </w:r>
      <w:r>
        <w:rPr/>
        <w:t>）以公允价值计量且其变动计入当期损益的金融资产（金融负债） </w:t>
      </w:r>
      <w:r>
        <w:rPr>
          <w:spacing w:val="-2"/>
        </w:rPr>
        <w:t>以公允价值计量且其变动计入当期损益的金融资产或金融负债，包括交易性金融资产或金融负债和直接指定为以公</w:t>
      </w:r>
    </w:p>
    <w:p>
      <w:pPr>
        <w:pStyle w:val="BodyText"/>
        <w:spacing w:line="316" w:lineRule="auto" w:before="31"/>
        <w:ind w:left="871" w:right="4095" w:hanging="361"/>
        <w:jc w:val="left"/>
      </w:pPr>
      <w:r>
        <w:rPr/>
        <w:t>允价值计量且其变动计入当期损益的金融资产或金融负债。 交易性金融资产或金融负债是指满足下列条件之一的金融资产或金融负债： </w:t>
      </w:r>
      <w:r>
        <w:rPr>
          <w:rFonts w:ascii="Times New Roman" w:hAnsi="Times New Roman" w:cs="Times New Roman" w:eastAsia="Times New Roman" w:hint="default"/>
        </w:rPr>
        <w:t>1</w:t>
      </w:r>
      <w:r>
        <w:rPr/>
        <w:t>）取得该金融资产或金融负债的目的是为了在短期内出售、回购或赎回；</w:t>
      </w:r>
    </w:p>
    <w:p>
      <w:pPr>
        <w:pStyle w:val="BodyText"/>
        <w:spacing w:line="300" w:lineRule="auto" w:before="0"/>
        <w:ind w:left="511" w:right="1125" w:firstLine="360"/>
        <w:jc w:val="left"/>
      </w:pPr>
      <w:r>
        <w:rPr>
          <w:rFonts w:ascii="Times New Roman" w:hAnsi="Times New Roman" w:cs="Times New Roman" w:eastAsia="Times New Roman" w:hint="default"/>
        </w:rPr>
        <w:t>2</w:t>
      </w:r>
      <w:r>
        <w:rPr/>
        <w:t>）属于进行集中管理的可辨认金融工具组合的一部分，且有客观证据表明本公司近期采用短期获利方式对该组合 进行管理；</w:t>
      </w:r>
    </w:p>
    <w:p>
      <w:pPr>
        <w:pStyle w:val="BodyText"/>
        <w:spacing w:line="300" w:lineRule="auto" w:before="31"/>
        <w:ind w:left="511" w:right="1125" w:firstLine="360"/>
        <w:jc w:val="left"/>
      </w:pPr>
      <w:r>
        <w:rPr>
          <w:rFonts w:ascii="Times New Roman" w:hAnsi="Times New Roman" w:cs="Times New Roman" w:eastAsia="Times New Roman" w:hint="default"/>
        </w:rPr>
        <w:t>3</w:t>
      </w:r>
      <w:r>
        <w:rPr/>
        <w:t>）属于衍生金融工具，但是被指定为有效套期工具的衍生工具、属于财务担保合同的衍生工具、与在活跃市场中 没有报价且其公允价值不能可靠计量的权益工具投资挂钩并须通过交付该权益工具结算的衍生工具除外。</w:t>
      </w:r>
    </w:p>
    <w:p>
      <w:pPr>
        <w:pStyle w:val="BodyText"/>
        <w:spacing w:line="316" w:lineRule="auto" w:before="31"/>
        <w:ind w:left="511" w:right="0" w:firstLine="360"/>
        <w:jc w:val="left"/>
      </w:pPr>
      <w:r>
        <w:rPr>
          <w:spacing w:val="-2"/>
        </w:rPr>
        <w:t>只有符合以下条件之一，金融资产或金融负债才可在初始计量时指定为以公允价值计量且其变动计入损益的金融资</w:t>
      </w:r>
      <w:r>
        <w:rPr/>
        <w:t> 产或金融负债：</w:t>
      </w:r>
    </w:p>
    <w:p>
      <w:pPr>
        <w:pStyle w:val="BodyText"/>
        <w:spacing w:line="300" w:lineRule="auto" w:before="19"/>
        <w:ind w:left="511" w:right="1125" w:firstLine="360"/>
        <w:jc w:val="left"/>
      </w:pPr>
      <w:r>
        <w:rPr>
          <w:rFonts w:ascii="Times New Roman" w:hAnsi="Times New Roman" w:cs="Times New Roman" w:eastAsia="Times New Roman" w:hint="default"/>
        </w:rPr>
        <w:t>1</w:t>
      </w:r>
      <w:r>
        <w:rPr/>
        <w:t>）该项指定可以消除或明显减少由于金融资产或金融负债的计量基础不同所导致的相关利得或损失在确认或计量 方面不一致的情况；</w:t>
      </w:r>
    </w:p>
    <w:p>
      <w:pPr>
        <w:pStyle w:val="BodyText"/>
        <w:spacing w:line="300" w:lineRule="auto" w:before="31"/>
        <w:ind w:left="511" w:right="1125" w:firstLine="360"/>
        <w:jc w:val="left"/>
      </w:pPr>
      <w:r>
        <w:rPr>
          <w:rFonts w:ascii="Times New Roman" w:hAnsi="Times New Roman" w:cs="Times New Roman" w:eastAsia="Times New Roman" w:hint="default"/>
        </w:rPr>
        <w:t>2</w:t>
      </w:r>
      <w:r>
        <w:rPr/>
        <w:t>）风险管理或投资策略的正式书面文件已载明，该金融资产组合、该金融负债组合、或该金融资产和金融负债组 合，以公允价值为基础进行管理、评价并向关键管理人员报告；</w:t>
      </w:r>
    </w:p>
    <w:p>
      <w:pPr>
        <w:pStyle w:val="BodyText"/>
        <w:spacing w:line="300" w:lineRule="auto" w:before="31"/>
        <w:ind w:left="511" w:right="1125" w:firstLine="360"/>
        <w:jc w:val="left"/>
      </w:pPr>
      <w:r>
        <w:rPr>
          <w:rFonts w:ascii="Times New Roman" w:hAnsi="Times New Roman" w:cs="Times New Roman" w:eastAsia="Times New Roman" w:hint="default"/>
        </w:rPr>
        <w:t>3</w:t>
      </w:r>
      <w:r>
        <w:rPr/>
        <w:t>）包含一项或多项嵌入衍生工具的混合工具，除非嵌入衍生工具对混合工具的现金流量没有重大改变，或所嵌入 的衍生工具明显不应当从相关混合工具中分拆；</w:t>
      </w:r>
    </w:p>
    <w:p>
      <w:pPr>
        <w:pStyle w:val="BodyText"/>
        <w:spacing w:line="300" w:lineRule="auto" w:before="31"/>
        <w:ind w:left="871" w:right="0"/>
        <w:jc w:val="left"/>
      </w:pPr>
      <w:r>
        <w:rPr>
          <w:rFonts w:ascii="Times New Roman" w:hAnsi="Times New Roman" w:cs="Times New Roman" w:eastAsia="Times New Roman" w:hint="default"/>
        </w:rPr>
        <w:t>4</w:t>
      </w:r>
      <w:r>
        <w:rPr/>
        <w:t>）包含需要分拆但无法在取得时或后续的资产负债表日对其进行单独计量的嵌入衍生工具的混合工具。 </w:t>
      </w:r>
      <w:r>
        <w:rPr>
          <w:spacing w:val="-2"/>
        </w:rPr>
        <w:t>本公司对以公允价值计量且其变动计入当期损益的金融资产或金融负债，在取得时以公允价值（扣除已宣告但尚未</w:t>
      </w:r>
    </w:p>
    <w:p>
      <w:pPr>
        <w:pStyle w:val="BodyText"/>
        <w:spacing w:line="316" w:lineRule="auto" w:before="31"/>
        <w:ind w:left="511" w:right="1132"/>
        <w:jc w:val="both"/>
      </w:pPr>
      <w:r>
        <w:rPr>
          <w:spacing w:val="-2"/>
        </w:rPr>
        <w:t>发放的现金股利或已到付息期但尚未领取的债券利息）作为初始确认金额，相关的交易费用计入当期损益。持有期间将</w:t>
      </w:r>
      <w:r>
        <w:rPr>
          <w:spacing w:val="-67"/>
        </w:rPr>
        <w:t> </w:t>
      </w:r>
      <w:r>
        <w:rPr>
          <w:spacing w:val="-67"/>
        </w:rPr>
      </w:r>
      <w:r>
        <w:rPr>
          <w:spacing w:val="-2"/>
        </w:rPr>
        <w:t>取得的利息或现金股利确认为投资收益，期末将公允价值变动计入当期损益。处置时，其公允价值与初始入账金额之间</w:t>
      </w:r>
      <w:r>
        <w:rPr>
          <w:spacing w:val="-67"/>
        </w:rPr>
        <w:t> </w:t>
      </w:r>
      <w:r>
        <w:rPr>
          <w:spacing w:val="-67"/>
        </w:rPr>
      </w:r>
      <w:r>
        <w:rPr/>
        <w:t>的差额确认为投资收益，同时调整公允价值变动损益。</w:t>
      </w:r>
    </w:p>
    <w:p>
      <w:pPr>
        <w:pStyle w:val="BodyText"/>
        <w:spacing w:line="300" w:lineRule="auto" w:before="19"/>
        <w:ind w:left="871" w:right="3555"/>
        <w:jc w:val="left"/>
      </w:pPr>
      <w:r>
        <w:rPr/>
        <w:t>（</w:t>
      </w:r>
      <w:r>
        <w:rPr>
          <w:rFonts w:ascii="Times New Roman" w:hAnsi="Times New Roman" w:cs="Times New Roman" w:eastAsia="Times New Roman" w:hint="default"/>
        </w:rPr>
        <w:t>2</w:t>
      </w:r>
      <w:r>
        <w:rPr/>
        <w:t>）应收款项 应收款项是指在活跃市场中没有报价、回收金额固定或可确定的非衍生金融资产。</w:t>
      </w:r>
    </w:p>
    <w:p>
      <w:pPr>
        <w:pStyle w:val="BodyText"/>
        <w:spacing w:line="316" w:lineRule="auto" w:before="32"/>
        <w:ind w:left="511" w:right="1035" w:firstLine="360"/>
        <w:jc w:val="left"/>
      </w:pPr>
      <w:r>
        <w:rPr>
          <w:spacing w:val="-2"/>
        </w:rPr>
        <w:t>本公司对外销售商品或提供劳务形成的应收债权，以及公司持有的其他企业的债权（不包括在活跃市场上有报价的</w:t>
      </w:r>
      <w:r>
        <w:rPr/>
        <w:t> 债务工具），包括应收账款、其他应收款等，以向购货方应收的合同或协议价款作为初始确认金额；具有融资性质的， 按其现值进行初始确认。</w:t>
      </w:r>
    </w:p>
    <w:p>
      <w:pPr>
        <w:pStyle w:val="BodyText"/>
        <w:spacing w:line="240" w:lineRule="auto" w:before="19"/>
        <w:ind w:left="871" w:right="0"/>
        <w:jc w:val="left"/>
      </w:pPr>
      <w:r>
        <w:rPr/>
        <w:t>收回或处置时，将取得的价款与该应收款项账面价值之间的差额计入当期损益。</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ind w:left="871" w:right="0"/>
        <w:jc w:val="left"/>
      </w:pPr>
      <w:r>
        <w:rPr/>
        <w:t>（</w:t>
      </w:r>
      <w:r>
        <w:rPr>
          <w:rFonts w:ascii="Times New Roman" w:hAnsi="Times New Roman" w:cs="Times New Roman" w:eastAsia="Times New Roman" w:hint="default"/>
        </w:rPr>
        <w:t>3</w:t>
      </w:r>
      <w:r>
        <w:rPr/>
        <w:t>）持有至到期投资 </w:t>
      </w:r>
      <w:r>
        <w:rPr>
          <w:spacing w:val="-2"/>
        </w:rPr>
        <w:t>持有至到期投资是指到期日固定、回收金额固定或可确定，且本公司有明确意图和能力持有至到期的非衍生性金融</w:t>
      </w:r>
    </w:p>
    <w:p>
      <w:pPr>
        <w:pStyle w:val="BodyText"/>
        <w:spacing w:line="240" w:lineRule="auto" w:before="31"/>
        <w:ind w:left="511" w:right="0"/>
        <w:jc w:val="left"/>
      </w:pPr>
      <w:r>
        <w:rPr/>
        <w:t>资产。</w:t>
      </w:r>
    </w:p>
    <w:p>
      <w:pPr>
        <w:pStyle w:val="BodyText"/>
        <w:spacing w:line="319" w:lineRule="auto" w:before="76"/>
        <w:ind w:left="511" w:right="1131" w:firstLine="360"/>
        <w:jc w:val="both"/>
      </w:pPr>
      <w:r>
        <w:rPr>
          <w:spacing w:val="-2"/>
        </w:rPr>
        <w:t>本公司对持有至到期投资，在取得时按公允价值（扣除已到付息期但尚未领取的债券利息）和相关交易费用之和作</w:t>
      </w:r>
      <w:r>
        <w:rPr/>
        <w:t> </w:t>
      </w:r>
      <w:r>
        <w:rPr>
          <w:spacing w:val="-2"/>
        </w:rPr>
        <w:t>为初始确认金额。持有期间按照摊余成本和实际利率计算确认利息收入，计入投资收益。实际利率在取得时确定，在该</w:t>
      </w:r>
      <w:r>
        <w:rPr>
          <w:spacing w:val="-68"/>
        </w:rPr>
        <w:t> </w:t>
      </w:r>
      <w:r>
        <w:rPr>
          <w:spacing w:val="-68"/>
        </w:rPr>
      </w:r>
      <w:r>
        <w:rPr/>
        <w:t>预期存续期间或适用的更短期间内保持不变。处置时，将所取得价款与该投资账面价值之间的差额计入投资收益。</w:t>
      </w:r>
    </w:p>
    <w:p>
      <w:pPr>
        <w:pStyle w:val="BodyText"/>
        <w:spacing w:line="316" w:lineRule="auto" w:before="17"/>
        <w:ind w:left="511" w:right="0" w:firstLine="360"/>
        <w:jc w:val="left"/>
      </w:pPr>
      <w:r>
        <w:rPr>
          <w:spacing w:val="-2"/>
        </w:rPr>
        <w:t>如果持有至到期投资处置或重分类为其他类金融资产的金额，相对于本公司全部持有至到期投资在出售或重分类前</w:t>
      </w:r>
      <w:r>
        <w:rPr/>
        <w:t> </w:t>
      </w:r>
      <w:r>
        <w:rPr>
          <w:spacing w:val="-2"/>
        </w:rPr>
        <w:t>的总额较大，在处置或重分类后应立即将其剩余的持有至到期投资重分类为可供出售金融资产；重分类日，该投资的账</w:t>
      </w:r>
      <w:r>
        <w:rPr>
          <w:spacing w:val="-67"/>
        </w:rPr>
        <w:t> </w:t>
      </w:r>
      <w:r>
        <w:rPr>
          <w:spacing w:val="-67"/>
        </w:rPr>
      </w:r>
      <w:r>
        <w:rPr>
          <w:spacing w:val="-4"/>
        </w:rPr>
        <w:t>面价值与其公允价值之间的差额计入其他综合收益，在该可供出售金融资产发生减值或终止确认时转出，计入当期损益。</w:t>
      </w:r>
      <w:r>
        <w:rPr>
          <w:spacing w:val="-48"/>
        </w:rPr>
        <w:t> </w:t>
      </w:r>
      <w:r>
        <w:rPr>
          <w:spacing w:val="-48"/>
        </w:rPr>
      </w:r>
      <w:r>
        <w:rPr/>
        <w:t>但是，遇到下列情况可以除外：</w:t>
      </w:r>
    </w:p>
    <w:p>
      <w:pPr>
        <w:pStyle w:val="BodyText"/>
        <w:spacing w:line="300" w:lineRule="auto" w:before="19"/>
        <w:ind w:left="511" w:right="1185" w:firstLine="360"/>
        <w:jc w:val="left"/>
      </w:pPr>
      <w:r>
        <w:rPr>
          <w:rFonts w:ascii="Times New Roman" w:hAnsi="Times New Roman" w:cs="Times New Roman" w:eastAsia="Times New Roman" w:hint="default"/>
        </w:rPr>
        <w:t>1</w:t>
      </w:r>
      <w:r>
        <w:rPr/>
        <w:t>）出售日或重分类日距离该项投资到期日或赎回日较近</w:t>
      </w:r>
      <w:r>
        <w:rPr>
          <w:rFonts w:ascii="Times New Roman" w:hAnsi="Times New Roman" w:cs="Times New Roman" w:eastAsia="Times New Roman" w:hint="default"/>
        </w:rPr>
        <w:t>(</w:t>
      </w:r>
      <w:r>
        <w:rPr/>
        <w:t>如到期前三个月内</w:t>
      </w:r>
      <w:r>
        <w:rPr>
          <w:rFonts w:ascii="Times New Roman" w:hAnsi="Times New Roman" w:cs="Times New Roman" w:eastAsia="Times New Roman" w:hint="default"/>
        </w:rPr>
        <w:t>)</w:t>
      </w:r>
      <w:r>
        <w:rPr/>
        <w:t>，且市场利率变化对该项投资的公允 价值没有显著影响。</w:t>
      </w:r>
    </w:p>
    <w:p>
      <w:pPr>
        <w:pStyle w:val="BodyText"/>
        <w:spacing w:line="240" w:lineRule="auto" w:before="31"/>
        <w:ind w:left="871" w:right="0"/>
        <w:jc w:val="left"/>
      </w:pPr>
      <w:r>
        <w:rPr>
          <w:rFonts w:ascii="Times New Roman" w:hAnsi="Times New Roman" w:cs="Times New Roman" w:eastAsia="Times New Roman" w:hint="default"/>
        </w:rPr>
        <w:t>2</w:t>
      </w:r>
      <w:r>
        <w:rPr/>
        <w:t>）根据合同约定的偿付方式，企业已收回几乎所有初始本金。</w:t>
      </w:r>
    </w:p>
    <w:p>
      <w:pPr>
        <w:pStyle w:val="BodyText"/>
        <w:spacing w:line="240" w:lineRule="auto" w:before="63"/>
        <w:ind w:left="871" w:right="0"/>
        <w:jc w:val="left"/>
      </w:pPr>
      <w:r>
        <w:rPr>
          <w:rFonts w:ascii="Times New Roman" w:hAnsi="Times New Roman" w:cs="Times New Roman" w:eastAsia="Times New Roman" w:hint="default"/>
        </w:rPr>
        <w:t>3</w:t>
      </w:r>
      <w:r>
        <w:rPr/>
        <w:t>）出售或重分类是由于企业无法控制、预期不会重复发生且难以合理预计的独立事件所引起。</w:t>
      </w:r>
    </w:p>
    <w:p>
      <w:pPr>
        <w:pStyle w:val="BodyText"/>
        <w:spacing w:line="300" w:lineRule="auto" w:before="63"/>
        <w:ind w:left="871" w:right="0"/>
        <w:jc w:val="left"/>
      </w:pPr>
      <w:r>
        <w:rPr/>
        <w:t>（</w:t>
      </w:r>
      <w:r>
        <w:rPr>
          <w:rFonts w:ascii="Times New Roman" w:hAnsi="Times New Roman" w:cs="Times New Roman" w:eastAsia="Times New Roman" w:hint="default"/>
        </w:rPr>
        <w:t>4</w:t>
      </w:r>
      <w:r>
        <w:rPr/>
        <w:t>）可供出售金融资产 </w:t>
      </w:r>
      <w:r>
        <w:rPr>
          <w:spacing w:val="-2"/>
        </w:rPr>
        <w:t>可供出售金融资产，是指初始确认时即指定为可供出售的非衍生金融资产，以及除其他金融资产类别以外的金融资</w:t>
      </w:r>
    </w:p>
    <w:p>
      <w:pPr>
        <w:pStyle w:val="BodyText"/>
        <w:spacing w:line="240" w:lineRule="auto" w:before="31"/>
        <w:ind w:left="511" w:right="0"/>
        <w:jc w:val="left"/>
      </w:pPr>
      <w:r>
        <w:rPr/>
        <w:t>产。</w:t>
      </w:r>
    </w:p>
    <w:p>
      <w:pPr>
        <w:pStyle w:val="BodyText"/>
        <w:spacing w:line="240" w:lineRule="auto" w:before="76"/>
        <w:ind w:left="871" w:right="0"/>
        <w:jc w:val="left"/>
      </w:pPr>
      <w:r>
        <w:rPr/>
        <w:t>本公司对可供出售金融资产，在取得时按公允价值（扣除已宣告但尚未发放的现金股利或已到付息期但尚未领取的</w:t>
      </w:r>
    </w:p>
    <w:p>
      <w:pPr>
        <w:pStyle w:val="BodyText"/>
        <w:spacing w:line="316" w:lineRule="auto" w:before="76"/>
        <w:ind w:left="511" w:right="0"/>
        <w:jc w:val="left"/>
      </w:pPr>
      <w:r>
        <w:rPr>
          <w:spacing w:val="-2"/>
        </w:rPr>
        <w:t>债券利息）和相关交易费用之和作为初始确认金额。持有期间将取得的利息或现金股利确认为投资收益。可供出售金融</w:t>
      </w:r>
      <w:r>
        <w:rPr>
          <w:spacing w:val="-67"/>
        </w:rPr>
        <w:t> </w:t>
      </w:r>
      <w:r>
        <w:rPr>
          <w:spacing w:val="-67"/>
        </w:rPr>
      </w:r>
      <w:r>
        <w:rPr>
          <w:spacing w:val="-4"/>
        </w:rPr>
        <w:t>资产的公允价值变动形成的利得或损失，除减值损失和外币货币性金融资产形成的汇兑差额外，直接计入其他综合收益。</w:t>
      </w:r>
      <w:r>
        <w:rPr>
          <w:spacing w:val="-48"/>
        </w:rPr>
        <w:t> </w:t>
      </w:r>
      <w:r>
        <w:rPr>
          <w:spacing w:val="-48"/>
        </w:rPr>
      </w:r>
      <w:r>
        <w:rPr>
          <w:spacing w:val="-2"/>
        </w:rPr>
        <w:t>处置可供出售金融资产时，将取得的价款与该金融资产账面价值之间的差额，计入投资损益；同时，将原直接计入其他</w:t>
      </w:r>
      <w:r>
        <w:rPr>
          <w:spacing w:val="-68"/>
        </w:rPr>
        <w:t> </w:t>
      </w:r>
      <w:r>
        <w:rPr>
          <w:spacing w:val="-68"/>
        </w:rPr>
      </w:r>
      <w:r>
        <w:rPr/>
        <w:t>综合收益的公允价值变动累计额对应处置部分的金额转出，计入投资损益。</w:t>
      </w:r>
    </w:p>
    <w:p>
      <w:pPr>
        <w:pStyle w:val="BodyText"/>
        <w:spacing w:line="316" w:lineRule="auto" w:before="19"/>
        <w:ind w:left="511" w:right="0" w:firstLine="360"/>
        <w:jc w:val="left"/>
      </w:pPr>
      <w:r>
        <w:rPr>
          <w:spacing w:val="-2"/>
        </w:rPr>
        <w:t>本公司对在活跃市场中没有报价且其公允价值不能可靠计量的权益工具投资，以及与该权益工具挂钩并须通过交付</w:t>
      </w:r>
      <w:r>
        <w:rPr/>
        <w:t> 该权益工具结算的衍生金融资产，按照成本计量。</w:t>
      </w:r>
    </w:p>
    <w:p>
      <w:pPr>
        <w:spacing w:line="309" w:lineRule="auto" w:before="19"/>
        <w:ind w:left="871" w:right="3375"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）其他金融负债 按其公允价值和相关交易费用之和作为初始确认金额。采用摊余成本进行后续计量。 </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、金融资产转移的确认依据和计量方法</w:t>
      </w:r>
      <w:r>
        <w:rPr>
          <w:rFonts w:ascii="宋体" w:hAnsi="宋体" w:cs="宋体" w:eastAsia="宋体" w:hint="default"/>
          <w:sz w:val="18"/>
          <w:szCs w:val="18"/>
        </w:rPr>
      </w:r>
    </w:p>
    <w:p>
      <w:pPr>
        <w:pStyle w:val="BodyText"/>
        <w:spacing w:line="316" w:lineRule="auto" w:before="5"/>
        <w:ind w:left="511" w:right="0" w:firstLine="360"/>
        <w:jc w:val="left"/>
      </w:pPr>
      <w:r>
        <w:rPr>
          <w:spacing w:val="-4"/>
        </w:rPr>
        <w:t>公司发生金融资产转移时，如已将金融资产所有权上几乎所有的风险和报酬转移给转入方，则终止确认该金融资产；</w:t>
      </w:r>
      <w:r>
        <w:rPr/>
        <w:t> 如保留了金融资产所有权上几乎所有的风险和报酬的，则不终止确认该金融资产。</w:t>
      </w:r>
    </w:p>
    <w:p>
      <w:pPr>
        <w:pStyle w:val="BodyText"/>
        <w:spacing w:line="316" w:lineRule="auto" w:before="19"/>
        <w:ind w:left="511" w:right="0" w:firstLine="360"/>
        <w:jc w:val="left"/>
      </w:pPr>
      <w:r>
        <w:rPr>
          <w:spacing w:val="-2"/>
        </w:rPr>
        <w:t>在判断金融资产转移是否满足上述金融资产终止确认条件时，采用实质重于形式的原则。公司将金融资产转移区分</w:t>
      </w:r>
      <w:r>
        <w:rPr/>
        <w:t> 为金融资产整体转移和部分转移。金融资产整体转移满足终止确认条件的，将下列两项金额的差额计入当期损益：</w:t>
      </w:r>
    </w:p>
    <w:p>
      <w:pPr>
        <w:pStyle w:val="BodyText"/>
        <w:spacing w:line="240" w:lineRule="auto" w:before="19"/>
        <w:ind w:left="871" w:right="0"/>
        <w:jc w:val="left"/>
      </w:pPr>
      <w:r>
        <w:rPr/>
        <w:t>（</w:t>
      </w:r>
      <w:r>
        <w:rPr>
          <w:rFonts w:ascii="Times New Roman" w:hAnsi="Times New Roman" w:cs="Times New Roman" w:eastAsia="Times New Roman" w:hint="default"/>
        </w:rPr>
        <w:t>1</w:t>
      </w:r>
      <w:r>
        <w:rPr/>
        <w:t>）所转移金融资产的账面价值；</w:t>
      </w:r>
    </w:p>
    <w:p>
      <w:pPr>
        <w:pStyle w:val="BodyText"/>
        <w:spacing w:line="300" w:lineRule="auto" w:before="63"/>
        <w:ind w:left="511" w:right="1125" w:firstLine="360"/>
        <w:jc w:val="left"/>
      </w:pPr>
      <w:r>
        <w:rPr/>
        <w:t>（</w:t>
      </w:r>
      <w:r>
        <w:rPr>
          <w:rFonts w:ascii="Times New Roman" w:hAnsi="Times New Roman" w:cs="Times New Roman" w:eastAsia="Times New Roman" w:hint="default"/>
        </w:rPr>
        <w:t>2</w:t>
      </w:r>
      <w:r>
        <w:rPr/>
        <w:t>）因转移而收到的对价，与原直接计入所有者权益的公允价值变动累计额（涉及转移的金融资产为可供出售金 融资产的情形）之和。</w:t>
      </w:r>
    </w:p>
    <w:p>
      <w:pPr>
        <w:pStyle w:val="BodyText"/>
        <w:spacing w:line="316" w:lineRule="auto" w:before="31"/>
        <w:ind w:left="511" w:right="0" w:firstLine="360"/>
        <w:jc w:val="left"/>
      </w:pPr>
      <w:r>
        <w:rPr>
          <w:spacing w:val="-2"/>
        </w:rPr>
        <w:t>金融资产部分转移满足终止确认条件的，将所转移金融资产整体的账面价值，在终止确认部分和未终止确认部分之</w:t>
      </w:r>
      <w:r>
        <w:rPr/>
        <w:t> 间，按照各自的相对公允价值进行分摊，并将下列两项金额的差额计入当期损益：</w:t>
      </w:r>
    </w:p>
    <w:p>
      <w:pPr>
        <w:pStyle w:val="BodyText"/>
        <w:spacing w:line="240" w:lineRule="auto" w:before="19"/>
        <w:ind w:left="871" w:right="0"/>
        <w:jc w:val="left"/>
      </w:pPr>
      <w:r>
        <w:rPr/>
        <w:t>（</w:t>
      </w:r>
      <w:r>
        <w:rPr>
          <w:rFonts w:ascii="Times New Roman" w:hAnsi="Times New Roman" w:cs="Times New Roman" w:eastAsia="Times New Roman" w:hint="default"/>
        </w:rPr>
        <w:t>1</w:t>
      </w:r>
      <w:r>
        <w:rPr/>
        <w:t>）终止确认部分的账面价值；</w:t>
      </w:r>
    </w:p>
    <w:p>
      <w:pPr>
        <w:pStyle w:val="BodyText"/>
        <w:spacing w:line="300" w:lineRule="auto" w:before="63"/>
        <w:ind w:left="511" w:right="1125" w:firstLine="360"/>
        <w:jc w:val="left"/>
      </w:pPr>
      <w:r>
        <w:rPr/>
        <w:t>（</w:t>
      </w:r>
      <w:r>
        <w:rPr>
          <w:rFonts w:ascii="Times New Roman" w:hAnsi="Times New Roman" w:cs="Times New Roman" w:eastAsia="Times New Roman" w:hint="default"/>
        </w:rPr>
        <w:t>2</w:t>
      </w:r>
      <w:r>
        <w:rPr/>
        <w:t>）终止确认部分的对价，与原直接计入所有者权益的公允价值变动累计额中对应终止确认部分的金额（涉及转 移的金融资产为可供出售金融资产的情形）之和。</w:t>
      </w:r>
    </w:p>
    <w:p>
      <w:pPr>
        <w:pStyle w:val="BodyText"/>
        <w:spacing w:line="309" w:lineRule="auto" w:before="31"/>
        <w:ind w:left="871" w:right="1118"/>
        <w:jc w:val="left"/>
      </w:pPr>
      <w:r>
        <w:rPr/>
        <w:t>金融资产转移不满足终止确认条件的，继续确认该金融资产，所收到的对价确认为一项金融负债。 </w:t>
      </w:r>
      <w:r>
        <w:rPr>
          <w:rFonts w:ascii="Times New Roman" w:hAnsi="Times New Roman" w:cs="Times New Roman" w:eastAsia="Times New Roman" w:hint="default"/>
          <w:b/>
          <w:bCs/>
        </w:rPr>
        <w:t>4</w:t>
      </w:r>
      <w:r>
        <w:rPr>
          <w:rFonts w:ascii="宋体" w:hAnsi="宋体" w:cs="宋体" w:eastAsia="宋体" w:hint="default"/>
          <w:b/>
          <w:bCs/>
        </w:rPr>
        <w:t>、金融负债终止确认条件</w:t>
      </w:r>
      <w:r>
        <w:rPr>
          <w:rFonts w:ascii="宋体" w:hAnsi="宋体" w:cs="宋体" w:eastAsia="宋体" w:hint="default"/>
          <w:b/>
          <w:bCs/>
          <w:w w:val="99"/>
        </w:rPr>
        <w:t> </w:t>
      </w:r>
      <w:r>
        <w:rPr>
          <w:spacing w:val="-2"/>
        </w:rPr>
        <w:t>金融负债的现时义务全部或部分已经解除的，则终止确认该金融负债或其一部分；本公司若与债权人签定协议，以</w:t>
      </w:r>
    </w:p>
    <w:p>
      <w:pPr>
        <w:pStyle w:val="BodyText"/>
        <w:spacing w:line="316" w:lineRule="auto" w:before="24"/>
        <w:ind w:left="511" w:right="0"/>
        <w:jc w:val="left"/>
      </w:pPr>
      <w:r>
        <w:rPr>
          <w:spacing w:val="-2"/>
        </w:rPr>
        <w:t>承担新金融负债方式替换现存金融负债，且新金融负债与现存金融负债的合同条款实质上不同的，则终止确认现存金融</w:t>
      </w:r>
      <w:r>
        <w:rPr>
          <w:spacing w:val="-66"/>
        </w:rPr>
        <w:t> </w:t>
      </w:r>
      <w:r>
        <w:rPr>
          <w:spacing w:val="-66"/>
        </w:rPr>
      </w:r>
      <w:r>
        <w:rPr/>
        <w:t>负债，并同时确认新金融负债。</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ind w:left="511" w:right="1131" w:firstLine="360"/>
        <w:jc w:val="both"/>
      </w:pPr>
      <w:r>
        <w:rPr>
          <w:spacing w:val="-2"/>
        </w:rPr>
        <w:t>对现存金融负债全部或部分合同条款作出实质性修改的，则终止确认现存金融负债或其一部分，同时将修改条款后</w:t>
      </w:r>
      <w:r>
        <w:rPr/>
        <w:t> 的金融负债确认为一项新金融负债。</w:t>
      </w:r>
    </w:p>
    <w:p>
      <w:pPr>
        <w:pStyle w:val="BodyText"/>
        <w:spacing w:line="316" w:lineRule="auto" w:before="19"/>
        <w:ind w:left="511" w:right="1131" w:firstLine="360"/>
        <w:jc w:val="both"/>
      </w:pPr>
      <w:r>
        <w:rPr>
          <w:spacing w:val="-2"/>
        </w:rPr>
        <w:t>金融负债全部或部分终止确认时，终止确认的金融负债账面价值与支付对价（包括转出的非现金资产或承担的新金</w:t>
      </w:r>
      <w:r>
        <w:rPr/>
        <w:t> 融负债）之间的差额，计入当期损益。</w:t>
      </w:r>
    </w:p>
    <w:p>
      <w:pPr>
        <w:pStyle w:val="BodyText"/>
        <w:spacing w:line="316" w:lineRule="auto" w:before="19"/>
        <w:ind w:left="511" w:right="1131" w:firstLine="360"/>
        <w:jc w:val="both"/>
      </w:pPr>
      <w:r>
        <w:rPr>
          <w:spacing w:val="-2"/>
        </w:rPr>
        <w:t>本公司若回购部分金融负债的，在回购日按照继续确认部分与终止确认部分的相对公允价值，将该金融负债整体的</w:t>
      </w:r>
      <w:r>
        <w:rPr/>
        <w:t> </w:t>
      </w:r>
      <w:r>
        <w:rPr>
          <w:spacing w:val="-2"/>
        </w:rPr>
        <w:t>账面价值进行分配。分配给终止确认部分的账面价值与支付的对价（包括转出的非现金资产或承担的新金融负债）之间</w:t>
      </w:r>
      <w:r>
        <w:rPr>
          <w:spacing w:val="-67"/>
        </w:rPr>
        <w:t> </w:t>
      </w:r>
      <w:r>
        <w:rPr>
          <w:spacing w:val="-67"/>
        </w:rPr>
      </w:r>
      <w:r>
        <w:rPr/>
        <w:t>的差额，计入当期损益。</w:t>
      </w:r>
    </w:p>
    <w:p>
      <w:pPr>
        <w:spacing w:line="300" w:lineRule="auto" w:before="19"/>
        <w:ind w:left="871"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、金融资产和金融负债公允价值的确定方法</w:t>
      </w:r>
      <w:r>
        <w:rPr>
          <w:rFonts w:ascii="宋体" w:hAnsi="宋体" w:cs="宋体" w:eastAsia="宋体" w:hint="default"/>
          <w:b/>
          <w:bCs/>
          <w:w w:val="99"/>
          <w:sz w:val="18"/>
          <w:szCs w:val="18"/>
        </w:rPr>
        <w:t> </w:t>
      </w:r>
      <w:r>
        <w:rPr>
          <w:rFonts w:ascii="宋体" w:hAnsi="宋体" w:cs="宋体" w:eastAsia="宋体" w:hint="default"/>
          <w:spacing w:val="-2"/>
          <w:sz w:val="18"/>
          <w:szCs w:val="18"/>
        </w:rPr>
        <w:t>存在活跃市场的金融资产或金融负债，以活跃市场的报价确定其公允价值；活跃市场的报价包括易于且可定期从交</w:t>
      </w:r>
    </w:p>
    <w:p>
      <w:pPr>
        <w:pStyle w:val="BodyText"/>
        <w:spacing w:line="316" w:lineRule="auto" w:before="31"/>
        <w:ind w:left="511" w:right="0"/>
        <w:jc w:val="left"/>
      </w:pPr>
      <w:r>
        <w:rPr>
          <w:spacing w:val="-2"/>
        </w:rPr>
        <w:t>易所、交易商、经纪人、行业集团、定价机构或监管机构等获得相关资产或负债的报价，且能代表在公平交易基础上实</w:t>
      </w:r>
      <w:r>
        <w:rPr>
          <w:spacing w:val="-66"/>
        </w:rPr>
        <w:t> </w:t>
      </w:r>
      <w:r>
        <w:rPr>
          <w:spacing w:val="-66"/>
        </w:rPr>
      </w:r>
      <w:r>
        <w:rPr/>
        <w:t>际并经常发生的市场交易。</w:t>
      </w:r>
    </w:p>
    <w:p>
      <w:pPr>
        <w:pStyle w:val="BodyText"/>
        <w:spacing w:line="316" w:lineRule="auto" w:before="19"/>
        <w:ind w:left="871" w:right="0"/>
        <w:jc w:val="left"/>
      </w:pPr>
      <w:r>
        <w:rPr/>
        <w:t>初始取得或衍生的金融资产或承担的金融负债，以市场交易价格作为确定其公允价值的基础。 </w:t>
      </w:r>
      <w:r>
        <w:rPr>
          <w:spacing w:val="-2"/>
        </w:rPr>
        <w:t>不存在活跃市场的金融资产或金融负债，采用估值技术确定其公允价值。在估值时，本公司采用在当前情况下适用</w:t>
      </w:r>
    </w:p>
    <w:p>
      <w:pPr>
        <w:pStyle w:val="BodyText"/>
        <w:spacing w:line="316" w:lineRule="auto" w:before="19"/>
        <w:ind w:left="511" w:right="0"/>
        <w:jc w:val="left"/>
      </w:pPr>
      <w:r>
        <w:rPr>
          <w:spacing w:val="-2"/>
        </w:rPr>
        <w:t>并且有足够可利用数据和其他信息支持的估值技术，选择与市场参与者在相关资产或负债的交易中所考虑的资产或负债</w:t>
      </w:r>
      <w:r>
        <w:rPr>
          <w:spacing w:val="-65"/>
        </w:rPr>
        <w:t> </w:t>
      </w:r>
      <w:r>
        <w:rPr>
          <w:spacing w:val="-65"/>
        </w:rPr>
      </w:r>
      <w:r>
        <w:rPr>
          <w:spacing w:val="-4"/>
        </w:rPr>
        <w:t>特征相一致的输入值，并尽可能优先使用相关可观察输入值。在相关可观察输入值无法取得或取得不切实可行的情况下，</w:t>
      </w:r>
      <w:r>
        <w:rPr>
          <w:spacing w:val="-48"/>
        </w:rPr>
        <w:t> </w:t>
      </w:r>
      <w:r>
        <w:rPr>
          <w:spacing w:val="-48"/>
        </w:rPr>
      </w:r>
      <w:r>
        <w:rPr/>
        <w:t>使用不可观察输入值。</w:t>
      </w:r>
    </w:p>
    <w:p>
      <w:pPr>
        <w:spacing w:line="300" w:lineRule="auto" w:before="19"/>
        <w:ind w:left="871"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6</w:t>
      </w:r>
      <w:r>
        <w:rPr>
          <w:rFonts w:ascii="宋体" w:hAnsi="宋体" w:cs="宋体" w:eastAsia="宋体" w:hint="default"/>
          <w:b/>
          <w:bCs/>
          <w:sz w:val="18"/>
          <w:szCs w:val="18"/>
        </w:rPr>
        <w:t>、金融资产（不含应收款项）减值准备计提</w:t>
      </w:r>
      <w:r>
        <w:rPr>
          <w:rFonts w:ascii="宋体" w:hAnsi="宋体" w:cs="宋体" w:eastAsia="宋体" w:hint="default"/>
          <w:b/>
          <w:bCs/>
          <w:w w:val="99"/>
          <w:sz w:val="18"/>
          <w:szCs w:val="18"/>
        </w:rPr>
        <w:t> </w:t>
      </w:r>
      <w:r>
        <w:rPr>
          <w:rFonts w:ascii="宋体" w:hAnsi="宋体" w:cs="宋体" w:eastAsia="宋体" w:hint="default"/>
          <w:spacing w:val="-2"/>
          <w:sz w:val="18"/>
          <w:szCs w:val="18"/>
        </w:rPr>
        <w:t>资产负债表日对以公允价值计量且其变动计入当期损益的金融资产以外的金融资产的账面价值进行检查，如有客观</w:t>
      </w:r>
    </w:p>
    <w:p>
      <w:pPr>
        <w:pStyle w:val="BodyText"/>
        <w:spacing w:line="316" w:lineRule="auto" w:before="31"/>
        <w:ind w:left="871" w:right="3735" w:hanging="361"/>
        <w:jc w:val="left"/>
      </w:pPr>
      <w:r>
        <w:rPr/>
        <w:t>证据表明该金融资产发生减值的，计提减值准备。 金融资产发生减值的客观证据，包括但不限于： 发行方或债务人发生严重财务困难； 债务人违反了合同条款，如偿付利息或本金发生违约或逾期等； 债权人出于经济或法律等方面因素的考虑，对发生财务困难的债务人作出让步； 债务人很可能倒闭或进行其他财务重组； 因发行方发生重大财务困难，该金融资产无法在活跃市场继续交易；</w:t>
      </w:r>
    </w:p>
    <w:p>
      <w:pPr>
        <w:pStyle w:val="BodyText"/>
        <w:spacing w:line="316" w:lineRule="auto" w:before="19"/>
        <w:ind w:left="511" w:right="1131" w:firstLine="360"/>
        <w:jc w:val="both"/>
      </w:pPr>
      <w:r>
        <w:rPr>
          <w:spacing w:val="-2"/>
        </w:rPr>
        <w:t>无法辨认一组金融资产中的某项资产的现金流量是否已经减少，但根据公开的数据对其进行总体评价后发现，该组</w:t>
      </w:r>
      <w:r>
        <w:rPr/>
        <w:t> </w:t>
      </w:r>
      <w:r>
        <w:rPr>
          <w:spacing w:val="-2"/>
        </w:rPr>
        <w:t>金融资产自初始确认以来的预计未来现金流量确已减少且可计量，如该组金融资产的债务人支付能力逐步恶化，或债务</w:t>
      </w:r>
      <w:r>
        <w:rPr>
          <w:spacing w:val="-66"/>
        </w:rPr>
        <w:t> </w:t>
      </w:r>
      <w:r>
        <w:rPr>
          <w:spacing w:val="-66"/>
        </w:rPr>
      </w:r>
      <w:r>
        <w:rPr/>
        <w:t>人所在国家或地区失业率提高、担保物在其所在地区的价格明显下降、所处行业不景气等；</w:t>
      </w:r>
    </w:p>
    <w:p>
      <w:pPr>
        <w:pStyle w:val="BodyText"/>
        <w:spacing w:line="316" w:lineRule="auto" w:before="19"/>
        <w:ind w:left="511" w:right="1131" w:firstLine="360"/>
        <w:jc w:val="both"/>
      </w:pPr>
      <w:r>
        <w:rPr>
          <w:spacing w:val="-2"/>
        </w:rPr>
        <w:t>权益工具发行方经营所处的技术、市场、经济或法律环境等发生重大不利变化，使权益工具投资人可能无法收回投</w:t>
      </w:r>
      <w:r>
        <w:rPr/>
        <w:t> 资成本；</w:t>
      </w:r>
    </w:p>
    <w:p>
      <w:pPr>
        <w:pStyle w:val="BodyText"/>
        <w:spacing w:line="316" w:lineRule="auto" w:before="19"/>
        <w:ind w:left="871" w:right="5895"/>
        <w:jc w:val="left"/>
      </w:pPr>
      <w:r>
        <w:rPr/>
        <w:t>权益工具投资的公允价值发生严重或非暂时性下跌； 金融资产的具体减值方法如下：</w:t>
      </w:r>
    </w:p>
    <w:p>
      <w:pPr>
        <w:pStyle w:val="BodyText"/>
        <w:spacing w:line="300" w:lineRule="auto" w:before="19"/>
        <w:ind w:left="871" w:right="0"/>
        <w:jc w:val="left"/>
      </w:pPr>
      <w:r>
        <w:rPr/>
        <w:t>（</w:t>
      </w:r>
      <w:r>
        <w:rPr>
          <w:rFonts w:ascii="Times New Roman" w:hAnsi="Times New Roman" w:cs="Times New Roman" w:eastAsia="Times New Roman" w:hint="default"/>
        </w:rPr>
        <w:t>1</w:t>
      </w:r>
      <w:r>
        <w:rPr/>
        <w:t>）可供出售金融资产减值准备 </w:t>
      </w:r>
      <w:r>
        <w:rPr>
          <w:spacing w:val="-2"/>
        </w:rPr>
        <w:t>本公司于资产负债表日对各项可供出售权益工具投资单独进行检查，若该权益工具投资于资产负债表日的公允价值</w:t>
      </w:r>
    </w:p>
    <w:p>
      <w:pPr>
        <w:pStyle w:val="BodyText"/>
        <w:spacing w:line="300" w:lineRule="auto" w:before="31"/>
        <w:ind w:left="511" w:right="1132"/>
        <w:jc w:val="both"/>
      </w:pPr>
      <w:r>
        <w:rPr>
          <w:spacing w:val="-1"/>
        </w:rPr>
        <w:t>低于其成本超过</w:t>
      </w:r>
      <w:r>
        <w:rPr>
          <w:rFonts w:ascii="Times New Roman" w:hAnsi="Times New Roman" w:cs="Times New Roman" w:eastAsia="Times New Roman" w:hint="default"/>
          <w:spacing w:val="-1"/>
        </w:rPr>
        <w:t>50%</w:t>
      </w:r>
      <w:r>
        <w:rPr>
          <w:spacing w:val="-1"/>
        </w:rPr>
        <w:t>（含</w:t>
      </w:r>
      <w:r>
        <w:rPr>
          <w:rFonts w:ascii="Times New Roman" w:hAnsi="Times New Roman" w:cs="Times New Roman" w:eastAsia="Times New Roman" w:hint="default"/>
          <w:spacing w:val="-1"/>
        </w:rPr>
        <w:t>50%</w:t>
      </w:r>
      <w:r>
        <w:rPr>
          <w:spacing w:val="-1"/>
        </w:rPr>
        <w:t>）或低于其成本持续时间超过一年（含一年）的，则表明其发生减值；若该权益工具投资</w:t>
      </w:r>
      <w:r>
        <w:rPr>
          <w:spacing w:val="-59"/>
        </w:rPr>
        <w:t> </w:t>
      </w:r>
      <w:r>
        <w:rPr>
          <w:spacing w:val="-59"/>
        </w:rPr>
      </w:r>
      <w:r>
        <w:rPr/>
        <w:t>于资产负债表日的公允价值低于其成本超过</w:t>
      </w:r>
      <w:r>
        <w:rPr>
          <w:rFonts w:ascii="Times New Roman" w:hAnsi="Times New Roman" w:cs="Times New Roman" w:eastAsia="Times New Roman" w:hint="default"/>
        </w:rPr>
        <w:t>20%</w:t>
      </w:r>
      <w:r>
        <w:rPr/>
        <w:t>（含</w:t>
      </w:r>
      <w:r>
        <w:rPr>
          <w:rFonts w:ascii="Times New Roman" w:hAnsi="Times New Roman" w:cs="Times New Roman" w:eastAsia="Times New Roman" w:hint="default"/>
        </w:rPr>
        <w:t>20%</w:t>
      </w:r>
      <w:r>
        <w:rPr/>
        <w:t>）但尚未达到</w:t>
      </w:r>
      <w:r>
        <w:rPr>
          <w:rFonts w:ascii="Times New Roman" w:hAnsi="Times New Roman" w:cs="Times New Roman" w:eastAsia="Times New Roman" w:hint="default"/>
        </w:rPr>
        <w:t>50%</w:t>
      </w:r>
      <w:r>
        <w:rPr/>
        <w:t>的，本公司会综合考虑其他相关因素诸如价 格波动率等，判断该权益工具投资是否发生减值。</w:t>
      </w:r>
    </w:p>
    <w:p>
      <w:pPr>
        <w:pStyle w:val="BodyText"/>
        <w:spacing w:line="319" w:lineRule="auto" w:before="31"/>
        <w:ind w:left="511" w:right="1131" w:firstLine="360"/>
        <w:jc w:val="both"/>
      </w:pPr>
      <w:r>
        <w:rPr>
          <w:spacing w:val="-2"/>
        </w:rPr>
        <w:t>上段所述成本按照可供出售权益工具投资的初始取得成本扣除已收回本金和已摊销金额、原已计入损益的减值损失</w:t>
      </w:r>
      <w:r>
        <w:rPr/>
        <w:t> </w:t>
      </w:r>
      <w:r>
        <w:rPr>
          <w:spacing w:val="-2"/>
        </w:rPr>
        <w:t>确定；不存在活跃市场的可供出售权益工具投资的公允价值，按照类似金融资产当时市场收益率对未来现金流量折现确</w:t>
      </w:r>
      <w:r>
        <w:rPr>
          <w:spacing w:val="-66"/>
        </w:rPr>
        <w:t> </w:t>
      </w:r>
      <w:r>
        <w:rPr>
          <w:spacing w:val="-66"/>
        </w:rPr>
      </w:r>
      <w:r>
        <w:rPr>
          <w:spacing w:val="-2"/>
        </w:rPr>
        <w:t>定的现值确定；在活跃市场有报价的可供出售权益工具投资的公允价值根据证券交易所期末收盘价确定，除非该项可供</w:t>
      </w:r>
      <w:r>
        <w:rPr>
          <w:spacing w:val="-66"/>
        </w:rPr>
        <w:t> </w:t>
      </w:r>
      <w:r>
        <w:rPr>
          <w:spacing w:val="-66"/>
        </w:rPr>
      </w:r>
      <w:r>
        <w:rPr>
          <w:spacing w:val="-2"/>
        </w:rPr>
        <w:t>出售权益工具投资存在限售期。对于存在限售期的可供出售权益工具投资，按照证券交易所期末收盘价扣除市场参与者</w:t>
      </w:r>
      <w:r>
        <w:rPr>
          <w:spacing w:val="-66"/>
        </w:rPr>
        <w:t> </w:t>
      </w:r>
      <w:r>
        <w:rPr>
          <w:spacing w:val="-66"/>
        </w:rPr>
      </w:r>
      <w:r>
        <w:rPr/>
        <w:t>因承担指定期间内无法在公开市场上出售该权益工具的风险而要求获得的补偿金额后确定。</w:t>
      </w:r>
    </w:p>
    <w:p>
      <w:pPr>
        <w:pStyle w:val="BodyText"/>
        <w:spacing w:line="316" w:lineRule="auto" w:before="17"/>
        <w:ind w:left="511" w:right="1131" w:firstLine="360"/>
        <w:jc w:val="both"/>
      </w:pPr>
      <w:r>
        <w:rPr>
          <w:spacing w:val="-2"/>
        </w:rPr>
        <w:t>可供出售金融资产发生减值时，即使该金融资产没有终止确认，本公司将原直接计入其他综合收益的因公允价值下</w:t>
      </w:r>
      <w:r>
        <w:rPr/>
        <w:t> </w:t>
      </w:r>
      <w:r>
        <w:rPr>
          <w:spacing w:val="-2"/>
        </w:rPr>
        <w:t>降形成的累计损失从其他综合收益转出，计入当期损益。该转出的累计损失，等于可供出售金融资产的初始取得成本扣</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ind w:left="871" w:right="0" w:hanging="361"/>
        <w:jc w:val="left"/>
      </w:pPr>
      <w:r>
        <w:rPr/>
        <w:t>除已收回本金和已摊余金额、当前公允价值和原已计入损益的减值损失后的余额。 </w:t>
      </w:r>
      <w:r>
        <w:rPr>
          <w:spacing w:val="-2"/>
        </w:rPr>
        <w:t>对于已确认减值损失的可供出售债务工具，在随后的会计期间公允价值已上升且客观上与确认原减值损失后发生的</w:t>
      </w:r>
    </w:p>
    <w:p>
      <w:pPr>
        <w:pStyle w:val="BodyText"/>
        <w:spacing w:line="319" w:lineRule="auto" w:before="19"/>
        <w:ind w:left="511" w:right="1131"/>
        <w:jc w:val="both"/>
      </w:pPr>
      <w:r>
        <w:rPr>
          <w:spacing w:val="-2"/>
        </w:rPr>
        <w:t>事项有关的，原确认的减值损失予以转回计入当期损益；对于可供出售权益工具投资发生的减值损失，在该权益工具价</w:t>
      </w:r>
      <w:r>
        <w:rPr>
          <w:spacing w:val="-67"/>
        </w:rPr>
        <w:t> </w:t>
      </w:r>
      <w:r>
        <w:rPr>
          <w:spacing w:val="-67"/>
        </w:rPr>
      </w:r>
      <w:r>
        <w:rPr>
          <w:spacing w:val="-2"/>
        </w:rPr>
        <w:t>值回升时通过权益转回；但在活跃市场中没有报价且其公允价值不能可靠计量的权益工具投资，或与该权益工具挂钩并</w:t>
      </w:r>
      <w:r>
        <w:rPr>
          <w:spacing w:val="-66"/>
        </w:rPr>
        <w:t> </w:t>
      </w:r>
      <w:r>
        <w:rPr>
          <w:spacing w:val="-66"/>
        </w:rPr>
      </w:r>
      <w:r>
        <w:rPr/>
        <w:t>须通过交付该权益工具结算的衍生金融资产发生的减值损失，不得转回。</w:t>
      </w:r>
    </w:p>
    <w:p>
      <w:pPr>
        <w:pStyle w:val="BodyText"/>
        <w:spacing w:line="300" w:lineRule="auto" w:before="17"/>
        <w:ind w:left="871" w:right="0"/>
        <w:jc w:val="left"/>
      </w:pPr>
      <w:r>
        <w:rPr/>
        <w:t>（</w:t>
      </w:r>
      <w:r>
        <w:rPr>
          <w:rFonts w:ascii="Times New Roman" w:hAnsi="Times New Roman" w:cs="Times New Roman" w:eastAsia="Times New Roman" w:hint="default"/>
        </w:rPr>
        <w:t>2</w:t>
      </w:r>
      <w:r>
        <w:rPr/>
        <w:t>）持有至到期投资减值准备 </w:t>
      </w:r>
      <w:r>
        <w:rPr>
          <w:spacing w:val="-2"/>
        </w:rPr>
        <w:t>对于持有至到期投资，有客观证据表明其发生了减值的，根据其账面价值与预计未来现金流量现值之间差额计算确</w:t>
      </w:r>
    </w:p>
    <w:p>
      <w:pPr>
        <w:pStyle w:val="BodyText"/>
        <w:spacing w:line="316" w:lineRule="auto" w:before="31"/>
        <w:ind w:left="511" w:right="1131"/>
        <w:jc w:val="both"/>
      </w:pPr>
      <w:r>
        <w:rPr>
          <w:spacing w:val="-2"/>
        </w:rPr>
        <w:t>认减值损失；计提后如有证据表明其价值已恢复，原确认的减值损失可予以转回，记入当期损益，但该转回的账面价值</w:t>
      </w:r>
      <w:r>
        <w:rPr>
          <w:spacing w:val="-68"/>
        </w:rPr>
        <w:t> </w:t>
      </w:r>
      <w:r>
        <w:rPr>
          <w:spacing w:val="-68"/>
        </w:rPr>
      </w:r>
      <w:r>
        <w:rPr/>
        <w:t>不超过假定不计提减值准备情况下该金融资产在转回日的摊余成本。</w:t>
      </w:r>
    </w:p>
    <w:p>
      <w:pPr>
        <w:spacing w:line="300" w:lineRule="auto" w:before="19"/>
        <w:ind w:left="871"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7</w:t>
      </w:r>
      <w:r>
        <w:rPr>
          <w:rFonts w:ascii="宋体" w:hAnsi="宋体" w:cs="宋体" w:eastAsia="宋体" w:hint="default"/>
          <w:b/>
          <w:bCs/>
          <w:sz w:val="18"/>
          <w:szCs w:val="18"/>
        </w:rPr>
        <w:t>、金融资产及金融负债的抵销</w:t>
      </w:r>
      <w:r>
        <w:rPr>
          <w:rFonts w:ascii="宋体" w:hAnsi="宋体" w:cs="宋体" w:eastAsia="宋体" w:hint="default"/>
          <w:b/>
          <w:bCs/>
          <w:w w:val="99"/>
          <w:sz w:val="18"/>
          <w:szCs w:val="18"/>
        </w:rPr>
        <w:t> </w:t>
      </w:r>
      <w:r>
        <w:rPr>
          <w:rFonts w:ascii="宋体" w:hAnsi="宋体" w:cs="宋体" w:eastAsia="宋体" w:hint="default"/>
          <w:spacing w:val="-2"/>
          <w:sz w:val="18"/>
          <w:szCs w:val="18"/>
        </w:rPr>
        <w:t>金融资产和金融负债在资产负债表内分别列示，没有相互抵销。但是，同时满足下列条件的，以相互抵销后的净额</w:t>
      </w:r>
    </w:p>
    <w:p>
      <w:pPr>
        <w:pStyle w:val="BodyText"/>
        <w:spacing w:line="240" w:lineRule="auto" w:before="31"/>
        <w:ind w:left="511" w:right="0"/>
        <w:jc w:val="both"/>
      </w:pPr>
      <w:r>
        <w:rPr/>
        <w:t>在资产负债表内列示：</w:t>
      </w:r>
    </w:p>
    <w:p>
      <w:pPr>
        <w:pStyle w:val="BodyText"/>
        <w:spacing w:line="240" w:lineRule="auto" w:before="76"/>
        <w:ind w:left="871" w:right="0"/>
        <w:jc w:val="left"/>
      </w:pPr>
      <w:r>
        <w:rPr/>
        <w:t>（</w:t>
      </w:r>
      <w:r>
        <w:rPr>
          <w:rFonts w:ascii="Times New Roman" w:hAnsi="Times New Roman" w:cs="Times New Roman" w:eastAsia="Times New Roman" w:hint="default"/>
        </w:rPr>
        <w:t>1</w:t>
      </w:r>
      <w:r>
        <w:rPr/>
        <w:t>）本公司具有抵销已确认金额的法定权利，且该种法定权利是当前可执行的；</w:t>
      </w:r>
    </w:p>
    <w:p>
      <w:pPr>
        <w:pStyle w:val="BodyText"/>
        <w:spacing w:line="240" w:lineRule="auto" w:before="63"/>
        <w:ind w:left="871" w:right="0"/>
        <w:jc w:val="left"/>
      </w:pPr>
      <w:r>
        <w:rPr/>
        <w:t>（</w:t>
      </w:r>
      <w:r>
        <w:rPr>
          <w:rFonts w:ascii="Times New Roman" w:hAnsi="Times New Roman" w:cs="Times New Roman" w:eastAsia="Times New Roman" w:hint="default"/>
        </w:rPr>
        <w:t>2</w:t>
      </w:r>
      <w:r>
        <w:rPr/>
        <w:t>）本公司计划以净额结算，或同时变现该金融资产和清偿该金融负债。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4"/>
        <w:spacing w:line="240" w:lineRule="auto"/>
        <w:ind w:right="0"/>
        <w:jc w:val="left"/>
        <w:rPr>
          <w:b w:val="0"/>
          <w:bCs w:val="0"/>
        </w:rPr>
      </w:pPr>
      <w:bookmarkStart w:name="11、应收票据及应收账款" w:id="185"/>
      <w:bookmarkEnd w:id="185"/>
      <w:r>
        <w:rPr>
          <w:b w:val="0"/>
          <w:bCs w:val="0"/>
        </w:rPr>
      </w:r>
      <w:r>
        <w:rPr>
          <w:rFonts w:ascii="Times New Roman" w:hAnsi="Times New Roman" w:cs="Times New Roman" w:eastAsia="Times New Roman" w:hint="default"/>
        </w:rPr>
        <w:t>11</w:t>
      </w:r>
      <w:r>
        <w:rPr/>
        <w:t>、应收票据及应收账款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单项金额重大并单独计提坏账准备的应收款项" w:id="186"/>
      <w:bookmarkEnd w:id="186"/>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金额在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w:t>
            </w:r>
          </w:p>
        </w:tc>
      </w:tr>
      <w:tr>
        <w:trPr>
          <w:trHeight w:val="102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单独进行减值测试，按预计未来现金流量现值低于其账面价 值的差额计提坏账准备，计入当期损益。单独测试未发生减 值的应收款项，将其归入相应组合计提坏账准备。</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2）按信用风险特征组合计提坏账准备的应收款项" w:id="187"/>
      <w:bookmarkEnd w:id="187"/>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51"/>
        <w:ind w:right="0"/>
        <w:jc w:val="left"/>
      </w:pPr>
      <w:r>
        <w:rPr/>
        <w:t>组合中，采用账龄分析法计提坏账准备的：</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bl>
    <w:p>
      <w:pPr>
        <w:pStyle w:val="BodyText"/>
        <w:spacing w:line="240" w:lineRule="auto" w:before="51"/>
        <w:ind w:right="0"/>
        <w:jc w:val="left"/>
      </w:pPr>
      <w:r>
        <w:rPr/>
        <w:t>组合中，采用余额百分比法计提坏账准备的：</w:t>
      </w:r>
    </w:p>
    <w:p>
      <w:pPr>
        <w:pStyle w:val="BodyText"/>
        <w:spacing w:line="338" w:lineRule="auto" w:before="117"/>
        <w:ind w:right="75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3）单项金额不重大但单独计提坏账准备的应收款项" w:id="188"/>
      <w:bookmarkEnd w:id="188"/>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存在客观证据表明本公司将无法按应收款项的原有条款收回 款项。</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根据应收款项的预计未来现金流量现值低于其账面价值的差 额进行计提。</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12、存货" w:id="189"/>
      <w:bookmarkEnd w:id="189"/>
      <w:r>
        <w:rPr>
          <w:b w:val="0"/>
          <w:bCs w:val="0"/>
        </w:rPr>
      </w: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before="0"/>
        <w:ind w:right="7692"/>
        <w:jc w:val="left"/>
      </w:pPr>
      <w:r>
        <w:rPr/>
        <w:t>公司是否需要遵守特殊行业的披露要求 是</w:t>
      </w:r>
    </w:p>
    <w:p>
      <w:pPr>
        <w:pStyle w:val="BodyText"/>
        <w:spacing w:line="240" w:lineRule="auto" w:before="26"/>
        <w:ind w:right="0"/>
        <w:jc w:val="left"/>
      </w:pPr>
      <w:r>
        <w:rPr/>
        <w:t>软件与信息技术服务业</w:t>
      </w:r>
    </w:p>
    <w:p>
      <w:pPr>
        <w:pStyle w:val="BodyText"/>
        <w:spacing w:line="300" w:lineRule="auto" w:before="115"/>
        <w:ind w:left="871" w:right="1118"/>
        <w:jc w:val="left"/>
      </w:pPr>
      <w:r>
        <w:rPr>
          <w:rFonts w:ascii="Times New Roman" w:hAnsi="Times New Roman" w:cs="Times New Roman" w:eastAsia="Times New Roman" w:hint="default"/>
          <w:b/>
          <w:bCs/>
        </w:rPr>
        <w:t>1</w:t>
      </w:r>
      <w:r>
        <w:rPr>
          <w:rFonts w:ascii="宋体" w:hAnsi="宋体" w:cs="宋体" w:eastAsia="宋体" w:hint="default"/>
          <w:b/>
          <w:bCs/>
        </w:rPr>
        <w:t>、存货的分类</w:t>
      </w:r>
      <w:r>
        <w:rPr>
          <w:rFonts w:ascii="宋体" w:hAnsi="宋体" w:cs="宋体" w:eastAsia="宋体" w:hint="default"/>
          <w:b/>
          <w:bCs/>
          <w:w w:val="99"/>
        </w:rPr>
        <w:t> </w:t>
      </w:r>
      <w:r>
        <w:rPr>
          <w:spacing w:val="-2"/>
        </w:rPr>
        <w:t>存货是指本公司在日常活动中持有以备出售的产成品或商品、处在生产过程中的在产品、在生产过程或提供劳务过</w:t>
      </w:r>
    </w:p>
    <w:p>
      <w:pPr>
        <w:pStyle w:val="BodyText"/>
        <w:spacing w:line="316" w:lineRule="auto" w:before="31"/>
        <w:ind w:left="511" w:right="1035"/>
        <w:jc w:val="left"/>
      </w:pPr>
      <w:r>
        <w:rPr/>
        <w:t>程中耗用的材料和物料等。主要包括原材料、周转材料、委托加工材料、在产品、自制半成品、产成品（库存商品）、 发出商品等。</w:t>
      </w:r>
    </w:p>
    <w:p>
      <w:pPr>
        <w:pStyle w:val="BodyText"/>
        <w:spacing w:line="300" w:lineRule="auto" w:before="19"/>
        <w:ind w:left="871" w:right="0"/>
        <w:jc w:val="left"/>
      </w:pPr>
      <w:r>
        <w:rPr>
          <w:rFonts w:ascii="Times New Roman" w:hAnsi="Times New Roman" w:cs="Times New Roman" w:eastAsia="Times New Roman" w:hint="default"/>
          <w:b/>
          <w:bCs/>
        </w:rPr>
        <w:t>2</w:t>
      </w:r>
      <w:r>
        <w:rPr>
          <w:rFonts w:ascii="宋体" w:hAnsi="宋体" w:cs="宋体" w:eastAsia="宋体" w:hint="default"/>
          <w:b/>
          <w:bCs/>
        </w:rPr>
        <w:t>、存货的计价方法</w:t>
      </w:r>
      <w:r>
        <w:rPr>
          <w:rFonts w:ascii="宋体" w:hAnsi="宋体" w:cs="宋体" w:eastAsia="宋体" w:hint="default"/>
          <w:b/>
          <w:bCs/>
          <w:w w:val="99"/>
        </w:rPr>
        <w:t> </w:t>
      </w:r>
      <w:r>
        <w:rPr>
          <w:spacing w:val="-2"/>
        </w:rPr>
        <w:t>存货在取得时，按成本进行初始计量，包括采购成本、加工成本和其他成本。存货发出时按月末一次加权平均法计</w:t>
      </w:r>
    </w:p>
    <w:p>
      <w:pPr>
        <w:pStyle w:val="BodyText"/>
        <w:spacing w:line="240" w:lineRule="auto" w:before="31"/>
        <w:ind w:left="511" w:right="0"/>
        <w:jc w:val="left"/>
      </w:pPr>
      <w:r>
        <w:rPr/>
        <w:t>价。</w:t>
      </w:r>
    </w:p>
    <w:p>
      <w:pPr>
        <w:spacing w:line="300" w:lineRule="auto" w:before="76"/>
        <w:ind w:left="871"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、存货可变现净值的确定依据及存货跌价准备的计提方法</w:t>
      </w:r>
      <w:r>
        <w:rPr>
          <w:rFonts w:ascii="宋体" w:hAnsi="宋体" w:cs="宋体" w:eastAsia="宋体" w:hint="default"/>
          <w:b/>
          <w:bCs/>
          <w:w w:val="99"/>
          <w:sz w:val="18"/>
          <w:szCs w:val="18"/>
        </w:rPr>
        <w:t> </w:t>
      </w:r>
      <w:r>
        <w:rPr>
          <w:rFonts w:ascii="宋体" w:hAnsi="宋体" w:cs="宋体" w:eastAsia="宋体" w:hint="default"/>
          <w:spacing w:val="-2"/>
          <w:sz w:val="18"/>
          <w:szCs w:val="18"/>
        </w:rPr>
        <w:t>期末对存货进行全面清查后，按存货的成本与可变现净值孰低提取或调整存货跌价准备。产成品、库存商品和用于</w:t>
      </w:r>
    </w:p>
    <w:p>
      <w:pPr>
        <w:pStyle w:val="BodyText"/>
        <w:spacing w:line="316" w:lineRule="auto" w:before="32"/>
        <w:ind w:left="511" w:right="1130"/>
        <w:jc w:val="both"/>
      </w:pPr>
      <w:r>
        <w:rPr>
          <w:spacing w:val="-2"/>
        </w:rPr>
        <w:t>出售的材料等直接用于出售的商品存货，在正常生产经营过程中，以该存货的估计售价减去估计的销售费用和相关税费</w:t>
      </w:r>
      <w:r>
        <w:rPr>
          <w:spacing w:val="-66"/>
        </w:rPr>
        <w:t> </w:t>
      </w:r>
      <w:r>
        <w:rPr>
          <w:spacing w:val="-66"/>
        </w:rPr>
      </w:r>
      <w:r>
        <w:rPr>
          <w:spacing w:val="-2"/>
        </w:rPr>
        <w:t>后的金额，确定其可变现净值；需要经过加工的材料存货，在正常生产经营过程中，以所生产的产成品的估计售价减去</w:t>
      </w:r>
      <w:r>
        <w:rPr>
          <w:spacing w:val="-67"/>
        </w:rPr>
        <w:t> </w:t>
      </w:r>
      <w:r>
        <w:rPr>
          <w:spacing w:val="-67"/>
        </w:rPr>
      </w:r>
      <w:r>
        <w:rPr>
          <w:spacing w:val="-2"/>
        </w:rPr>
        <w:t>至完工时估计将要发生的成本、估计的销售费用和相关税费后的金额，确定其可变现净值；为执行销售合同或者劳务合</w:t>
      </w:r>
      <w:r>
        <w:rPr>
          <w:spacing w:val="-67"/>
        </w:rPr>
        <w:t> </w:t>
      </w:r>
      <w:r>
        <w:rPr>
          <w:spacing w:val="-67"/>
        </w:rPr>
      </w:r>
      <w:r>
        <w:rPr>
          <w:spacing w:val="-2"/>
        </w:rPr>
        <w:t>同而持有的存货，其可变现净值以合同价格为基础计算，若持有存货的数量多于销售合同订购数量的，超出部分的存货</w:t>
      </w:r>
      <w:r>
        <w:rPr>
          <w:spacing w:val="-67"/>
        </w:rPr>
        <w:t> </w:t>
      </w:r>
      <w:r>
        <w:rPr>
          <w:spacing w:val="-67"/>
        </w:rPr>
      </w:r>
      <w:r>
        <w:rPr/>
        <w:t>的可变现净值以一般销售价格为基础计算。</w:t>
      </w:r>
    </w:p>
    <w:p>
      <w:pPr>
        <w:pStyle w:val="BodyText"/>
        <w:spacing w:line="316" w:lineRule="auto" w:before="19"/>
        <w:ind w:left="511" w:right="1035" w:firstLine="360"/>
        <w:jc w:val="left"/>
      </w:pPr>
      <w:r>
        <w:rPr/>
        <w:t>期末按照单个存货项目计提存货跌价准备；但对于数量繁多、单价较低的存货，按照存货类别计提存货跌价准备； </w:t>
      </w:r>
      <w:r>
        <w:rPr>
          <w:spacing w:val="-2"/>
        </w:rPr>
        <w:t>与在同一地区生产和销售的产品系列相关、具有相同或类似最终用途或目的，且难以与其他项目分开计量的存货，则合</w:t>
      </w:r>
      <w:r>
        <w:rPr>
          <w:spacing w:val="-67"/>
        </w:rPr>
        <w:t> </w:t>
      </w:r>
      <w:r>
        <w:rPr>
          <w:spacing w:val="-67"/>
        </w:rPr>
      </w:r>
      <w:r>
        <w:rPr/>
        <w:t>并计提存货跌价准备。</w:t>
      </w:r>
    </w:p>
    <w:p>
      <w:pPr>
        <w:pStyle w:val="BodyText"/>
        <w:spacing w:line="316" w:lineRule="auto" w:before="19"/>
        <w:ind w:left="511" w:right="0" w:firstLine="360"/>
        <w:jc w:val="left"/>
      </w:pPr>
      <w:r>
        <w:rPr>
          <w:spacing w:val="-2"/>
        </w:rPr>
        <w:t>以前减记存货价值的影响因素已经消失的，减记的金额予以恢复，并在原已计提的存货跌价准备金额内转回，转回</w:t>
      </w:r>
      <w:r>
        <w:rPr/>
        <w:t> 的金额计入当期损益。</w:t>
      </w:r>
    </w:p>
    <w:p>
      <w:pPr>
        <w:spacing w:line="309" w:lineRule="auto" w:before="19"/>
        <w:ind w:left="871" w:right="7234"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、存货的盘存制度</w:t>
      </w:r>
      <w:r>
        <w:rPr>
          <w:rFonts w:ascii="宋体" w:hAnsi="宋体" w:cs="宋体" w:eastAsia="宋体" w:hint="default"/>
          <w:b/>
          <w:bCs/>
          <w:w w:val="99"/>
          <w:sz w:val="18"/>
          <w:szCs w:val="18"/>
        </w:rPr>
        <w:t> </w:t>
      </w:r>
      <w:r>
        <w:rPr>
          <w:rFonts w:ascii="宋体" w:hAnsi="宋体" w:cs="宋体" w:eastAsia="宋体" w:hint="default"/>
          <w:sz w:val="18"/>
          <w:szCs w:val="18"/>
        </w:rPr>
        <w:t>采用永续盘存制。 </w:t>
      </w: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、低值易耗品和包装物的摊销方法</w:t>
      </w:r>
      <w:r>
        <w:rPr>
          <w:rFonts w:ascii="宋体" w:hAnsi="宋体" w:cs="宋体" w:eastAsia="宋体" w:hint="default"/>
          <w:sz w:val="18"/>
          <w:szCs w:val="18"/>
        </w:rPr>
      </w:r>
    </w:p>
    <w:p>
      <w:pPr>
        <w:pStyle w:val="BodyText"/>
        <w:spacing w:line="240" w:lineRule="auto" w:before="5"/>
        <w:ind w:left="871" w:right="0"/>
        <w:jc w:val="left"/>
      </w:pPr>
      <w:r>
        <w:rPr/>
        <w:t>（</w:t>
      </w:r>
      <w:r>
        <w:rPr>
          <w:rFonts w:ascii="Times New Roman" w:hAnsi="Times New Roman" w:cs="Times New Roman" w:eastAsia="Times New Roman" w:hint="default"/>
        </w:rPr>
        <w:t>1</w:t>
      </w:r>
      <w:r>
        <w:rPr/>
        <w:t>）低值易耗品采用一次转销法；</w:t>
      </w:r>
    </w:p>
    <w:p>
      <w:pPr>
        <w:pStyle w:val="BodyText"/>
        <w:spacing w:line="240" w:lineRule="auto" w:before="63"/>
        <w:ind w:left="871" w:right="0"/>
        <w:jc w:val="left"/>
      </w:pPr>
      <w:r>
        <w:rPr/>
        <w:t>（</w:t>
      </w:r>
      <w:r>
        <w:rPr>
          <w:rFonts w:ascii="Times New Roman" w:hAnsi="Times New Roman" w:cs="Times New Roman" w:eastAsia="Times New Roman" w:hint="default"/>
        </w:rPr>
        <w:t>2</w:t>
      </w:r>
      <w:r>
        <w:rPr/>
        <w:t>）包装物采用一次转销法。</w:t>
      </w:r>
    </w:p>
    <w:p>
      <w:pPr>
        <w:pStyle w:val="BodyText"/>
        <w:spacing w:line="240" w:lineRule="auto" w:before="63"/>
        <w:ind w:left="871" w:right="0"/>
        <w:jc w:val="left"/>
      </w:pPr>
      <w:r>
        <w:rPr/>
        <w:t>（</w:t>
      </w:r>
      <w:r>
        <w:rPr>
          <w:rFonts w:ascii="Times New Roman" w:hAnsi="Times New Roman" w:cs="Times New Roman" w:eastAsia="Times New Roman" w:hint="default"/>
        </w:rPr>
        <w:t>3</w:t>
      </w:r>
      <w:r>
        <w:rPr/>
        <w:t>）其他周转材料采用一次转销法摊销。</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bookmarkStart w:name="13、持有待售资产" w:id="190"/>
      <w:bookmarkEnd w:id="190"/>
      <w:r>
        <w:rPr>
          <w:b w:val="0"/>
          <w:bCs w:val="0"/>
        </w:rPr>
      </w:r>
      <w:r>
        <w:rPr>
          <w:rFonts w:ascii="Times New Roman" w:hAnsi="Times New Roman" w:cs="Times New Roman" w:eastAsia="Times New Roman" w:hint="default"/>
        </w:rPr>
        <w:t>13</w:t>
      </w:r>
      <w:r>
        <w:rPr/>
        <w:t>、持有待售资产</w:t>
      </w:r>
      <w:r>
        <w:rPr>
          <w:b w:val="0"/>
          <w:bCs w:val="0"/>
        </w:rPr>
      </w:r>
    </w:p>
    <w:p>
      <w:pPr>
        <w:spacing w:line="240" w:lineRule="auto" w:before="7"/>
        <w:rPr>
          <w:rFonts w:ascii="宋体" w:hAnsi="宋体" w:cs="宋体" w:eastAsia="宋体" w:hint="default"/>
          <w:b/>
          <w:bCs/>
          <w:sz w:val="26"/>
          <w:szCs w:val="26"/>
        </w:rPr>
      </w:pPr>
    </w:p>
    <w:p>
      <w:pPr>
        <w:spacing w:line="300" w:lineRule="auto" w:before="0"/>
        <w:ind w:left="871" w:right="3915"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、划分为持有待售确认标准</w:t>
      </w:r>
      <w:r>
        <w:rPr>
          <w:rFonts w:ascii="宋体" w:hAnsi="宋体" w:cs="宋体" w:eastAsia="宋体" w:hint="default"/>
          <w:b/>
          <w:bCs/>
          <w:w w:val="99"/>
          <w:sz w:val="18"/>
          <w:szCs w:val="18"/>
        </w:rPr>
        <w:t> </w:t>
      </w:r>
      <w:r>
        <w:rPr>
          <w:rFonts w:ascii="宋体" w:hAnsi="宋体" w:cs="宋体" w:eastAsia="宋体" w:hint="default"/>
          <w:sz w:val="18"/>
          <w:szCs w:val="18"/>
        </w:rPr>
        <w:t>本公司将同时满足下列条件的非流动资产或处置组确认为持有待售组成部分：</w:t>
      </w:r>
    </w:p>
    <w:p>
      <w:pPr>
        <w:pStyle w:val="BodyText"/>
        <w:spacing w:line="240" w:lineRule="auto" w:before="31"/>
        <w:ind w:left="871" w:right="0"/>
        <w:jc w:val="left"/>
      </w:pPr>
      <w:r>
        <w:rPr/>
        <w:t>（</w:t>
      </w:r>
      <w:r>
        <w:rPr>
          <w:rFonts w:ascii="Times New Roman" w:hAnsi="Times New Roman" w:cs="Times New Roman" w:eastAsia="Times New Roman" w:hint="default"/>
        </w:rPr>
        <w:t>1</w:t>
      </w:r>
      <w:r>
        <w:rPr/>
        <w:t>）根据类似交易中出售此类资产或处置组的惯例，在当前状况下即可立即出售；</w:t>
      </w:r>
    </w:p>
    <w:p>
      <w:pPr>
        <w:pStyle w:val="BodyText"/>
        <w:spacing w:line="240" w:lineRule="auto" w:before="63"/>
        <w:ind w:left="871" w:right="0"/>
        <w:jc w:val="left"/>
      </w:pPr>
      <w:r>
        <w:rPr/>
        <w:t>（</w:t>
      </w:r>
      <w:r>
        <w:rPr>
          <w:rFonts w:ascii="Times New Roman" w:hAnsi="Times New Roman" w:cs="Times New Roman" w:eastAsia="Times New Roman" w:hint="default"/>
        </w:rPr>
        <w:t>2</w:t>
      </w:r>
      <w:r>
        <w:rPr/>
        <w:t>）出售极可能发生，即本公司已经就一项出售计划作出决议，并已获得监管部门批准，且获得确定的购买承诺，</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ind w:left="871" w:right="0" w:hanging="361"/>
        <w:jc w:val="left"/>
      </w:pPr>
      <w:r>
        <w:rPr/>
        <w:t>预计出售将在一年内完成。 </w:t>
      </w:r>
      <w:r>
        <w:rPr>
          <w:spacing w:val="-2"/>
        </w:rPr>
        <w:t>确定的购买承诺，是指本公司与其他方签订的具有法律约束力的购买协议，该协议包含交易价格、时间和足够严厉</w:t>
      </w:r>
    </w:p>
    <w:p>
      <w:pPr>
        <w:pStyle w:val="BodyText"/>
        <w:spacing w:line="240" w:lineRule="auto" w:before="19"/>
        <w:ind w:left="511" w:right="0"/>
        <w:jc w:val="left"/>
      </w:pPr>
      <w:r>
        <w:rPr/>
        <w:t>的违约惩罚等重要条款，使协议出现重大调整或者撤销的可能性极小。</w:t>
      </w:r>
    </w:p>
    <w:p>
      <w:pPr>
        <w:pStyle w:val="BodyText"/>
        <w:spacing w:line="300" w:lineRule="auto" w:before="76"/>
        <w:ind w:left="871" w:right="1215"/>
        <w:jc w:val="left"/>
      </w:pPr>
      <w:r>
        <w:rPr>
          <w:rFonts w:ascii="Times New Roman" w:hAnsi="Times New Roman" w:cs="Times New Roman" w:eastAsia="Times New Roman" w:hint="default"/>
          <w:b/>
          <w:bCs/>
        </w:rPr>
        <w:t>2</w:t>
      </w:r>
      <w:r>
        <w:rPr>
          <w:rFonts w:ascii="宋体" w:hAnsi="宋体" w:cs="宋体" w:eastAsia="宋体" w:hint="default"/>
          <w:b/>
          <w:bCs/>
        </w:rPr>
        <w:t>、持有待售核算方法</w:t>
      </w:r>
      <w:r>
        <w:rPr>
          <w:rFonts w:ascii="宋体" w:hAnsi="宋体" w:cs="宋体" w:eastAsia="宋体" w:hint="default"/>
          <w:b/>
          <w:bCs/>
          <w:w w:val="99"/>
        </w:rPr>
        <w:t> </w:t>
      </w:r>
      <w:r>
        <w:rPr/>
        <w:t>本公司对于持有待售的非流动资产或处置组不计提折旧或摊销，其账面价值高于公允价值减去出售费用后的净额</w:t>
      </w:r>
    </w:p>
    <w:p>
      <w:pPr>
        <w:pStyle w:val="BodyText"/>
        <w:spacing w:line="316" w:lineRule="auto" w:before="31"/>
        <w:ind w:left="511" w:right="1131"/>
        <w:jc w:val="both"/>
      </w:pPr>
      <w:r>
        <w:rPr>
          <w:spacing w:val="-2"/>
        </w:rPr>
        <w:t>的，应当将账面价值减记至公允价值减去出售费用后的净额，减记的金额确认为资产减值损失，计入当期损益，同时计</w:t>
      </w:r>
      <w:r>
        <w:rPr>
          <w:spacing w:val="-68"/>
        </w:rPr>
        <w:t> </w:t>
      </w:r>
      <w:r>
        <w:rPr>
          <w:spacing w:val="-68"/>
        </w:rPr>
      </w:r>
      <w:r>
        <w:rPr/>
        <w:t>提持有待售资产减值准备。</w:t>
      </w:r>
    </w:p>
    <w:p>
      <w:pPr>
        <w:pStyle w:val="BodyText"/>
        <w:spacing w:line="316" w:lineRule="auto" w:before="19"/>
        <w:ind w:left="511" w:right="0" w:firstLine="360"/>
        <w:jc w:val="left"/>
      </w:pPr>
      <w:r>
        <w:rPr>
          <w:spacing w:val="-2"/>
        </w:rPr>
        <w:t>对于取得日划分为持有待售类别的非流动资产或处置组，在初始计量时比较假定其不划分为持有待售类别情况下的</w:t>
      </w:r>
      <w:r>
        <w:rPr/>
        <w:t> 初始计量金额和公允价值减去出售费用后的净额，以两者孰低计量。</w:t>
      </w:r>
    </w:p>
    <w:p>
      <w:pPr>
        <w:pStyle w:val="BodyText"/>
        <w:spacing w:line="316" w:lineRule="auto" w:before="19"/>
        <w:ind w:left="511" w:right="1035" w:firstLine="360"/>
        <w:jc w:val="left"/>
      </w:pPr>
      <w:r>
        <w:rPr>
          <w:spacing w:val="-2"/>
        </w:rPr>
        <w:t>上述原则适用于所有非流动资产，但不包括采用公允价值模式进行后续计量的投资性房地产、采用公允价值减去出</w:t>
      </w:r>
      <w:r>
        <w:rPr/>
        <w:t> 售费用后的净额计量的生物资产、职工薪酬形成的资产、递延所得税资产、由金融工具相关会计准则规范的金融资产、 由保险合同相关会计准则规范的保险合同所产生的权利。</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5"/>
        <w:ind w:right="0"/>
        <w:jc w:val="left"/>
        <w:rPr>
          <w:b w:val="0"/>
          <w:bCs w:val="0"/>
        </w:rPr>
      </w:pPr>
      <w:bookmarkStart w:name="14、长期股权投资" w:id="191"/>
      <w:bookmarkEnd w:id="191"/>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26"/>
          <w:szCs w:val="26"/>
        </w:rPr>
      </w:pPr>
    </w:p>
    <w:p>
      <w:pPr>
        <w:pStyle w:val="Heading5"/>
        <w:spacing w:line="240" w:lineRule="auto"/>
        <w:ind w:left="871" w:right="0"/>
        <w:jc w:val="left"/>
        <w:rPr>
          <w:b w:val="0"/>
          <w:bCs w:val="0"/>
        </w:rPr>
      </w:pPr>
      <w:r>
        <w:rPr>
          <w:rFonts w:ascii="Times New Roman" w:hAnsi="Times New Roman" w:cs="Times New Roman" w:eastAsia="Times New Roman" w:hint="default"/>
        </w:rPr>
        <w:t>1</w:t>
      </w:r>
      <w:r>
        <w:rPr/>
        <w:t>、初始投资成本的确定</w:t>
      </w:r>
      <w:r>
        <w:rPr>
          <w:b w:val="0"/>
          <w:bCs w:val="0"/>
        </w:rPr>
      </w:r>
    </w:p>
    <w:p>
      <w:pPr>
        <w:pStyle w:val="BodyText"/>
        <w:spacing w:line="300" w:lineRule="auto" w:before="63"/>
        <w:ind w:left="511" w:right="1125" w:firstLine="360"/>
        <w:jc w:val="left"/>
      </w:pPr>
      <w:r>
        <w:rPr/>
        <w:t>（</w:t>
      </w:r>
      <w:r>
        <w:rPr>
          <w:rFonts w:ascii="Times New Roman" w:hAnsi="Times New Roman" w:cs="Times New Roman" w:eastAsia="Times New Roman" w:hint="default"/>
        </w:rPr>
        <w:t>1</w:t>
      </w:r>
      <w:r>
        <w:rPr/>
        <w:t>）企业合并形成的长期股权投资，具体会计政策详见本附注四／（四）同一控制下和非同一控制下企业合并的 会计处理方法。</w:t>
      </w:r>
    </w:p>
    <w:p>
      <w:pPr>
        <w:pStyle w:val="BodyText"/>
        <w:spacing w:line="300" w:lineRule="auto" w:before="31"/>
        <w:ind w:left="871" w:right="0"/>
        <w:jc w:val="left"/>
      </w:pPr>
      <w:r>
        <w:rPr/>
        <w:t>（</w:t>
      </w:r>
      <w:r>
        <w:rPr>
          <w:rFonts w:ascii="Times New Roman" w:hAnsi="Times New Roman" w:cs="Times New Roman" w:eastAsia="Times New Roman" w:hint="default"/>
        </w:rPr>
        <w:t>2</w:t>
      </w:r>
      <w:r>
        <w:rPr/>
        <w:t>）其他方式取得的长期股权投资 </w:t>
      </w:r>
      <w:r>
        <w:rPr>
          <w:spacing w:val="-2"/>
        </w:rPr>
        <w:t>以支付现金方式取得的长期股权投资，按照实际支付的购买价款作为初始投资成本。初始投资成本包括与取得长期</w:t>
      </w:r>
    </w:p>
    <w:p>
      <w:pPr>
        <w:pStyle w:val="BodyText"/>
        <w:spacing w:line="319" w:lineRule="auto" w:before="31"/>
        <w:ind w:left="871" w:right="0" w:hanging="361"/>
        <w:jc w:val="left"/>
      </w:pPr>
      <w:r>
        <w:rPr/>
        <w:t>股权投资直接相关的费用、税金及其他必要支出。 </w:t>
      </w:r>
      <w:r>
        <w:rPr>
          <w:spacing w:val="-2"/>
        </w:rPr>
        <w:t>以发行权益性证券取得的长期股权投资，按照发行权益性证券的公允价值作为初始投资成本；发行或取得自身权益</w:t>
      </w:r>
    </w:p>
    <w:p>
      <w:pPr>
        <w:pStyle w:val="BodyText"/>
        <w:spacing w:line="316" w:lineRule="auto" w:before="17"/>
        <w:ind w:left="871" w:right="0" w:hanging="361"/>
        <w:jc w:val="left"/>
      </w:pPr>
      <w:r>
        <w:rPr/>
        <w:t>工具时发生的交易费用，可直接归属于权益性交易的从权益中扣减。 </w:t>
      </w:r>
      <w:r>
        <w:rPr>
          <w:spacing w:val="-2"/>
        </w:rPr>
        <w:t>在非货币性资产交换具备商业实质和换入资产或换出资产的公允价值能够可靠计量的前提下，非货币性资产交换换</w:t>
      </w:r>
    </w:p>
    <w:p>
      <w:pPr>
        <w:pStyle w:val="BodyText"/>
        <w:spacing w:line="316" w:lineRule="auto" w:before="19"/>
        <w:ind w:left="511" w:right="1133"/>
        <w:jc w:val="both"/>
      </w:pPr>
      <w:r>
        <w:rPr>
          <w:spacing w:val="-2"/>
        </w:rPr>
        <w:t>入的长期股权投资以换出资产的公允价值为基础确定其初始投资成本，除非有确凿证据表明换入资产的公允价值更加可</w:t>
      </w:r>
      <w:r>
        <w:rPr>
          <w:spacing w:val="-66"/>
        </w:rPr>
        <w:t> </w:t>
      </w:r>
      <w:r>
        <w:rPr>
          <w:spacing w:val="-66"/>
        </w:rPr>
      </w:r>
      <w:r>
        <w:rPr>
          <w:spacing w:val="-2"/>
        </w:rPr>
        <w:t>靠；不满足上述前提的非货币性资产交换，以换出资产的账面价值和应支付的相关税费作为换入长期股权投资的初始投</w:t>
      </w:r>
      <w:r>
        <w:rPr>
          <w:spacing w:val="-66"/>
        </w:rPr>
        <w:t> </w:t>
      </w:r>
      <w:r>
        <w:rPr>
          <w:spacing w:val="-66"/>
        </w:rPr>
      </w:r>
      <w:r>
        <w:rPr/>
        <w:t>资成本。</w:t>
      </w:r>
    </w:p>
    <w:p>
      <w:pPr>
        <w:pStyle w:val="BodyText"/>
        <w:spacing w:line="240" w:lineRule="auto" w:before="19"/>
        <w:ind w:left="871" w:right="0"/>
        <w:jc w:val="left"/>
      </w:pPr>
      <w:r>
        <w:rPr/>
        <w:t>通过债务重组取得的长期股权投资，其初始投资成本按照公允价值为基础确定。</w:t>
      </w:r>
    </w:p>
    <w:p>
      <w:pPr>
        <w:pStyle w:val="Heading5"/>
        <w:spacing w:line="240" w:lineRule="auto" w:before="76"/>
        <w:ind w:left="871" w:right="0"/>
        <w:jc w:val="left"/>
        <w:rPr>
          <w:b w:val="0"/>
          <w:bCs w:val="0"/>
        </w:rPr>
      </w:pPr>
      <w:r>
        <w:rPr>
          <w:rFonts w:ascii="Times New Roman" w:hAnsi="Times New Roman" w:cs="Times New Roman" w:eastAsia="Times New Roman" w:hint="default"/>
        </w:rPr>
        <w:t>2</w:t>
      </w:r>
      <w:r>
        <w:rPr/>
        <w:t>、后续计量及损益确认</w:t>
      </w:r>
      <w:r>
        <w:rPr>
          <w:b w:val="0"/>
          <w:bCs w:val="0"/>
        </w:rPr>
      </w:r>
    </w:p>
    <w:p>
      <w:pPr>
        <w:pStyle w:val="BodyText"/>
        <w:spacing w:line="300" w:lineRule="auto" w:before="63"/>
        <w:ind w:left="871" w:right="1118"/>
        <w:jc w:val="left"/>
      </w:pPr>
      <w:r>
        <w:rPr/>
        <w:t>（</w:t>
      </w:r>
      <w:r>
        <w:rPr>
          <w:rFonts w:ascii="Times New Roman" w:hAnsi="Times New Roman" w:cs="Times New Roman" w:eastAsia="Times New Roman" w:hint="default"/>
        </w:rPr>
        <w:t>1</w:t>
      </w:r>
      <w:r>
        <w:rPr/>
        <w:t>）成本法 </w:t>
      </w:r>
      <w:r>
        <w:rPr>
          <w:spacing w:val="-2"/>
        </w:rPr>
        <w:t>本公司能够对被投资单位实施控制的长期股权投资采用成本法核算，并按照初始投资成本计价，追加或收回投资调</w:t>
      </w:r>
    </w:p>
    <w:p>
      <w:pPr>
        <w:pStyle w:val="BodyText"/>
        <w:spacing w:line="316" w:lineRule="auto" w:before="31"/>
        <w:ind w:left="871" w:right="0" w:hanging="361"/>
        <w:jc w:val="left"/>
      </w:pPr>
      <w:r>
        <w:rPr/>
        <w:t>整长期股权投资的成本。 </w:t>
      </w:r>
      <w:r>
        <w:rPr>
          <w:spacing w:val="-2"/>
        </w:rPr>
        <w:t>除取得投资时实际支付的价款或对价中包含的已宣告但尚未发放的现金股利或利润外，本公司按照享有被投资单位</w:t>
      </w:r>
    </w:p>
    <w:p>
      <w:pPr>
        <w:pStyle w:val="BodyText"/>
        <w:spacing w:line="240" w:lineRule="auto" w:before="19"/>
        <w:ind w:left="511" w:right="0"/>
        <w:jc w:val="left"/>
      </w:pPr>
      <w:r>
        <w:rPr/>
        <w:t>宣告分派的现金股利或利润确认为当期投资收益。</w:t>
      </w:r>
    </w:p>
    <w:p>
      <w:pPr>
        <w:pStyle w:val="BodyText"/>
        <w:spacing w:line="300" w:lineRule="auto" w:before="76"/>
        <w:ind w:left="871" w:right="1118"/>
        <w:jc w:val="left"/>
      </w:pPr>
      <w:r>
        <w:rPr/>
        <w:t>（</w:t>
      </w:r>
      <w:r>
        <w:rPr>
          <w:rFonts w:ascii="Times New Roman" w:hAnsi="Times New Roman" w:cs="Times New Roman" w:eastAsia="Times New Roman" w:hint="default"/>
        </w:rPr>
        <w:t>2</w:t>
      </w:r>
      <w:r>
        <w:rPr/>
        <w:t>）权益法 </w:t>
      </w:r>
      <w:r>
        <w:rPr>
          <w:spacing w:val="-2"/>
        </w:rPr>
        <w:t>本公司对联营企业和合营企业的长期股权投资采用权益法核算；对于其中一部分通过风险投资机构、共同基金、信</w:t>
      </w:r>
    </w:p>
    <w:p>
      <w:pPr>
        <w:pStyle w:val="BodyText"/>
        <w:spacing w:line="316" w:lineRule="auto" w:before="31"/>
        <w:ind w:left="871" w:right="0" w:hanging="361"/>
        <w:jc w:val="left"/>
      </w:pPr>
      <w:r>
        <w:rPr/>
        <w:t>托公司或包括投连险基金在内的类似主体间接持有的联营企业的权益性投资，采用公允价值计量且其变动计入损益。 </w:t>
      </w:r>
      <w:r>
        <w:rPr>
          <w:spacing w:val="-2"/>
        </w:rPr>
        <w:t>长期股权投资的初始投资成本大于投资时应享有被投资单位可辨认净资产公允价值份额的差额，不调整长期股权投</w:t>
      </w:r>
    </w:p>
    <w:p>
      <w:pPr>
        <w:pStyle w:val="BodyText"/>
        <w:spacing w:line="319" w:lineRule="auto" w:before="19"/>
        <w:ind w:left="871" w:right="0" w:hanging="361"/>
        <w:jc w:val="left"/>
      </w:pPr>
      <w:r>
        <w:rPr/>
        <w:t>资的初始投资成本；初始投资成本小于投资时应享有被投资单位可辨认净资产公允价值份额的差额，计入当期损益。 </w:t>
      </w:r>
      <w:r>
        <w:rPr>
          <w:spacing w:val="-2"/>
        </w:rPr>
        <w:t>本公司取得长期股权投资后，按照应享有或应分担的被投资单位实现的净损益和其他综合收益的份额，分别确认投</w:t>
      </w:r>
    </w:p>
    <w:p>
      <w:pPr>
        <w:pStyle w:val="BodyText"/>
        <w:spacing w:line="316" w:lineRule="auto" w:before="17"/>
        <w:ind w:left="511" w:right="1133"/>
        <w:jc w:val="both"/>
      </w:pPr>
      <w:r>
        <w:rPr>
          <w:spacing w:val="-2"/>
        </w:rPr>
        <w:t>资收益和其他综合收益，同时调整长期股权投资的账面价值；并按照被投资单位宣告分派的利润或现金股利计算应享有</w:t>
      </w:r>
      <w:r>
        <w:rPr>
          <w:spacing w:val="-66"/>
        </w:rPr>
        <w:t> </w:t>
      </w:r>
      <w:r>
        <w:rPr>
          <w:spacing w:val="-66"/>
        </w:rPr>
      </w:r>
      <w:r>
        <w:rPr>
          <w:spacing w:val="-2"/>
        </w:rPr>
        <w:t>的部分，相应减少长期股权投资的账面价值；对于被投资单位除净损益、其他综合收益和利润分配以外所有者权益的其</w:t>
      </w:r>
      <w:r>
        <w:rPr>
          <w:spacing w:val="-67"/>
        </w:rPr>
        <w:t> </w:t>
      </w:r>
      <w:r>
        <w:rPr>
          <w:spacing w:val="-67"/>
        </w:rPr>
      </w:r>
      <w:r>
        <w:rPr/>
        <w:t>他变动，调整长期股权投资的账面价值并计入所有者权益。</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ind w:left="511" w:right="1035" w:firstLine="360"/>
        <w:jc w:val="left"/>
      </w:pPr>
      <w:r>
        <w:rPr/>
        <w:t>本公司在确认应享有被投资单位净损益的份额时，以取得投资时被投资单位各项可辨认资产等的公允价值为基础， </w:t>
      </w:r>
      <w:r>
        <w:rPr>
          <w:spacing w:val="-2"/>
        </w:rPr>
        <w:t>对被投资单位的净利润进行调整后确认。本公司与联营企业、合营企业之间发生的未实现内部交易损益按照应享有的比</w:t>
      </w:r>
      <w:r>
        <w:rPr>
          <w:spacing w:val="-65"/>
        </w:rPr>
        <w:t> </w:t>
      </w:r>
      <w:r>
        <w:rPr>
          <w:spacing w:val="-65"/>
        </w:rPr>
      </w:r>
      <w:r>
        <w:rPr/>
        <w:t>例计算归属于本公司的部分予以抵销，在此基础上确认投资损益。</w:t>
      </w:r>
    </w:p>
    <w:p>
      <w:pPr>
        <w:pStyle w:val="BodyText"/>
        <w:spacing w:line="319" w:lineRule="auto" w:before="19"/>
        <w:ind w:left="511" w:right="0" w:firstLine="360"/>
        <w:jc w:val="left"/>
      </w:pPr>
      <w:r>
        <w:rPr>
          <w:spacing w:val="-4"/>
        </w:rPr>
        <w:t>本公司确认应分担被投资单位发生的亏损时，按照以下顺序进行处理：首先，冲减长期股权投资的账面价值。其次，</w:t>
      </w:r>
      <w:r>
        <w:rPr/>
        <w:t> </w:t>
      </w:r>
      <w:r>
        <w:rPr>
          <w:spacing w:val="-2"/>
        </w:rPr>
        <w:t>长期股权投资的账面价值不足以冲减的，以其他实质上构成对被投资单位净投资的长期权益账面价值为限继续确认投资</w:t>
      </w:r>
      <w:r>
        <w:rPr>
          <w:spacing w:val="-66"/>
        </w:rPr>
        <w:t> </w:t>
      </w:r>
      <w:r>
        <w:rPr>
          <w:spacing w:val="-66"/>
        </w:rPr>
      </w:r>
      <w:r>
        <w:rPr>
          <w:spacing w:val="-2"/>
        </w:rPr>
        <w:t>损失，冲减长期应收项目等的账面价值。最后，经过上述处理，按照投资合同或协议约定企业仍承担额外义务的，按预</w:t>
      </w:r>
      <w:r>
        <w:rPr>
          <w:spacing w:val="-66"/>
        </w:rPr>
        <w:t> </w:t>
      </w:r>
      <w:r>
        <w:rPr>
          <w:spacing w:val="-66"/>
        </w:rPr>
      </w:r>
      <w:r>
        <w:rPr/>
        <w:t>计承担的义务确认预计负债，计入当期投资损失。</w:t>
      </w:r>
    </w:p>
    <w:p>
      <w:pPr>
        <w:pStyle w:val="BodyText"/>
        <w:spacing w:line="316" w:lineRule="auto" w:before="17"/>
        <w:ind w:left="511" w:right="1131" w:firstLine="360"/>
        <w:jc w:val="both"/>
      </w:pPr>
      <w:r>
        <w:rPr>
          <w:spacing w:val="-2"/>
        </w:rPr>
        <w:t>被投资单位以后期间实现盈利的，公司在扣除未确认的亏损分担额后，按与上述相反的顺序处理，减记已确认预计</w:t>
      </w:r>
      <w:r>
        <w:rPr/>
        <w:t> </w:t>
      </w:r>
      <w:r>
        <w:rPr>
          <w:spacing w:val="-2"/>
        </w:rPr>
        <w:t>负债的账面余额、恢复其他实质上构成对被投资单位净投资的长期权益及长期股权投资的账面价值后，恢复确认投资收</w:t>
      </w:r>
      <w:r>
        <w:rPr>
          <w:spacing w:val="-66"/>
        </w:rPr>
        <w:t> </w:t>
      </w:r>
      <w:r>
        <w:rPr>
          <w:spacing w:val="-66"/>
        </w:rPr>
      </w:r>
      <w:r>
        <w:rPr/>
        <w:t>益。</w:t>
      </w:r>
    </w:p>
    <w:p>
      <w:pPr>
        <w:pStyle w:val="Heading5"/>
        <w:spacing w:line="240" w:lineRule="auto" w:before="19"/>
        <w:ind w:left="871" w:right="0"/>
        <w:jc w:val="left"/>
        <w:rPr>
          <w:b w:val="0"/>
          <w:bCs w:val="0"/>
        </w:rPr>
      </w:pPr>
      <w:r>
        <w:rPr>
          <w:rFonts w:ascii="Times New Roman" w:hAnsi="Times New Roman" w:cs="Times New Roman" w:eastAsia="Times New Roman" w:hint="default"/>
        </w:rPr>
        <w:t>3</w:t>
      </w:r>
      <w:r>
        <w:rPr/>
        <w:t>、长期股权投资核算方法的转换</w:t>
      </w:r>
      <w:r>
        <w:rPr>
          <w:b w:val="0"/>
          <w:bCs w:val="0"/>
        </w:rPr>
      </w:r>
    </w:p>
    <w:p>
      <w:pPr>
        <w:pStyle w:val="BodyText"/>
        <w:spacing w:line="300" w:lineRule="auto" w:before="63"/>
        <w:ind w:left="871" w:right="0"/>
        <w:jc w:val="left"/>
      </w:pPr>
      <w:r>
        <w:rPr/>
        <w:t>（</w:t>
      </w:r>
      <w:r>
        <w:rPr>
          <w:rFonts w:ascii="Times New Roman" w:hAnsi="Times New Roman" w:cs="Times New Roman" w:eastAsia="Times New Roman" w:hint="default"/>
        </w:rPr>
        <w:t>1</w:t>
      </w:r>
      <w:r>
        <w:rPr/>
        <w:t>）公允价值计量转权益法核算 </w:t>
      </w:r>
      <w:r>
        <w:rPr>
          <w:spacing w:val="-2"/>
        </w:rPr>
        <w:t>本公司原持有的对被投资单位不具有控制、共同控制或重大影响的按金融工具确认和计量准则进行会计处理的权益</w:t>
      </w:r>
    </w:p>
    <w:p>
      <w:pPr>
        <w:pStyle w:val="BodyText"/>
        <w:spacing w:line="300" w:lineRule="auto" w:before="31"/>
        <w:ind w:left="511" w:right="1130"/>
        <w:jc w:val="both"/>
      </w:pPr>
      <w:r>
        <w:rPr>
          <w:spacing w:val="-2"/>
        </w:rPr>
        <w:t>性投资，因追加投资等原因能够对被投资单位施加重大影响或实施共同控制但不构成控制的，按照《企业会计准则第</w:t>
      </w:r>
      <w:r>
        <w:rPr>
          <w:rFonts w:ascii="Times New Roman" w:hAnsi="Times New Roman" w:cs="Times New Roman" w:eastAsia="Times New Roman" w:hint="default"/>
          <w:spacing w:val="-2"/>
        </w:rPr>
        <w:t>22</w:t>
      </w:r>
      <w:r>
        <w:rPr>
          <w:rFonts w:ascii="Times New Roman" w:hAnsi="Times New Roman" w:cs="Times New Roman" w:eastAsia="Times New Roman" w:hint="default"/>
          <w:spacing w:val="-19"/>
        </w:rPr>
        <w:t> </w:t>
      </w:r>
      <w:r>
        <w:rPr>
          <w:spacing w:val="-2"/>
        </w:rPr>
        <w:t>号</w:t>
      </w:r>
      <w:r>
        <w:rPr>
          <w:rFonts w:ascii="Times New Roman" w:hAnsi="Times New Roman" w:cs="Times New Roman" w:eastAsia="Times New Roman" w:hint="default"/>
          <w:spacing w:val="-2"/>
        </w:rPr>
        <w:t>——</w:t>
      </w:r>
      <w:r>
        <w:rPr>
          <w:spacing w:val="-2"/>
        </w:rPr>
        <w:t>金融工具确认和计量》确定的原持有的股权投资的公允价值加上新增投资成本之和，作为改按权益法核算的初始</w:t>
      </w:r>
      <w:r>
        <w:rPr>
          <w:spacing w:val="-66"/>
        </w:rPr>
        <w:t> </w:t>
      </w:r>
      <w:r>
        <w:rPr>
          <w:spacing w:val="-66"/>
        </w:rPr>
      </w:r>
      <w:r>
        <w:rPr/>
        <w:t>投资成本。</w:t>
      </w:r>
    </w:p>
    <w:p>
      <w:pPr>
        <w:pStyle w:val="BodyText"/>
        <w:spacing w:line="316" w:lineRule="auto" w:before="31"/>
        <w:ind w:left="511" w:right="0" w:firstLine="360"/>
        <w:jc w:val="left"/>
      </w:pPr>
      <w:r>
        <w:rPr>
          <w:spacing w:val="-2"/>
        </w:rPr>
        <w:t>原持有的股权投资分类为可供出售金融资产的，其公允价值与账面价值之间的差额，以及原计入其他综合收益的累</w:t>
      </w:r>
      <w:r>
        <w:rPr/>
        <w:t> 计公允价值变动转入改按权益法核算的当期损益。</w:t>
      </w:r>
    </w:p>
    <w:p>
      <w:pPr>
        <w:pStyle w:val="BodyText"/>
        <w:spacing w:line="316" w:lineRule="auto" w:before="19"/>
        <w:ind w:left="511" w:right="1215" w:firstLine="360"/>
        <w:jc w:val="left"/>
      </w:pPr>
      <w:r>
        <w:rPr/>
        <w:t>按权益法核算的初始投资成本小于按照追加投资后全新的持股比例计算确定的应享有被投资单位在追加投资日可 辨认净资产公允价值份额之间的差额，调整长期股权投资的账面价值，并计入当期营业外收入。</w:t>
      </w:r>
    </w:p>
    <w:p>
      <w:pPr>
        <w:pStyle w:val="BodyText"/>
        <w:spacing w:line="300" w:lineRule="auto" w:before="19"/>
        <w:ind w:left="871" w:right="0"/>
        <w:jc w:val="left"/>
      </w:pPr>
      <w:r>
        <w:rPr/>
        <w:t>（</w:t>
      </w:r>
      <w:r>
        <w:rPr>
          <w:rFonts w:ascii="Times New Roman" w:hAnsi="Times New Roman" w:cs="Times New Roman" w:eastAsia="Times New Roman" w:hint="default"/>
        </w:rPr>
        <w:t>2</w:t>
      </w:r>
      <w:r>
        <w:rPr/>
        <w:t>）公允价值计量或权益法核算转成本法核算 </w:t>
      </w:r>
      <w:r>
        <w:rPr>
          <w:spacing w:val="-2"/>
        </w:rPr>
        <w:t>本公司原持有的对被投资单位不具有控制、共同控制或重大影响的按金融工具确认和计量准则进行会计处理的权益</w:t>
      </w:r>
    </w:p>
    <w:p>
      <w:pPr>
        <w:pStyle w:val="BodyText"/>
        <w:spacing w:line="316" w:lineRule="auto" w:before="32"/>
        <w:ind w:left="511" w:right="1132"/>
        <w:jc w:val="both"/>
      </w:pPr>
      <w:r>
        <w:rPr>
          <w:spacing w:val="-2"/>
        </w:rPr>
        <w:t>性投资，或原持有对联营企业、合营企业的长期股权投资，因追加投资等原因能够对非同一控制下的被投资单位实施控</w:t>
      </w:r>
      <w:r>
        <w:rPr>
          <w:spacing w:val="-67"/>
        </w:rPr>
        <w:t> </w:t>
      </w:r>
      <w:r>
        <w:rPr>
          <w:spacing w:val="-67"/>
        </w:rPr>
      </w:r>
      <w:r>
        <w:rPr>
          <w:spacing w:val="-2"/>
        </w:rPr>
        <w:t>制的，在编制个别财务报表时，按照原持有的股权投资账面价值加上新增投资成本之和，作为改按成本法核算的初始投</w:t>
      </w:r>
      <w:r>
        <w:rPr>
          <w:spacing w:val="-67"/>
        </w:rPr>
        <w:t> </w:t>
      </w:r>
      <w:r>
        <w:rPr>
          <w:spacing w:val="-67"/>
        </w:rPr>
      </w:r>
      <w:r>
        <w:rPr/>
        <w:t>资成本。</w:t>
      </w:r>
    </w:p>
    <w:p>
      <w:pPr>
        <w:pStyle w:val="BodyText"/>
        <w:spacing w:line="316" w:lineRule="auto" w:before="19"/>
        <w:ind w:left="511" w:right="0" w:firstLine="360"/>
        <w:jc w:val="left"/>
      </w:pPr>
      <w:r>
        <w:rPr>
          <w:spacing w:val="-2"/>
        </w:rPr>
        <w:t>购买日之前持有的股权投资因采用权益法核算而确认的其他综合收益，在处置该项投资时采用与被投资单位直接处</w:t>
      </w:r>
      <w:r>
        <w:rPr/>
        <w:t> 置相关资产或负债相同的基础进行会计处理。</w:t>
      </w:r>
    </w:p>
    <w:p>
      <w:pPr>
        <w:pStyle w:val="BodyText"/>
        <w:spacing w:line="300" w:lineRule="auto" w:before="19"/>
        <w:ind w:left="511" w:right="0" w:firstLine="360"/>
        <w:jc w:val="left"/>
      </w:pPr>
      <w:r>
        <w:rPr>
          <w:spacing w:val="-2"/>
        </w:rPr>
        <w:t>购买日之前持有的股权投资按照《企业会计准则第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金融工具确认和计量》的有关规定进行会计处理的，原</w:t>
      </w:r>
      <w:r>
        <w:rPr/>
        <w:t> 计入其他综合收益的累计公允价值变动在改按成本法核算时转入当期损益。</w:t>
      </w:r>
    </w:p>
    <w:p>
      <w:pPr>
        <w:pStyle w:val="BodyText"/>
        <w:spacing w:line="300" w:lineRule="auto" w:before="31"/>
        <w:ind w:left="871" w:right="0"/>
        <w:jc w:val="left"/>
      </w:pPr>
      <w:r>
        <w:rPr/>
        <w:t>（</w:t>
      </w:r>
      <w:r>
        <w:rPr>
          <w:rFonts w:ascii="Times New Roman" w:hAnsi="Times New Roman" w:cs="Times New Roman" w:eastAsia="Times New Roman" w:hint="default"/>
        </w:rPr>
        <w:t>3</w:t>
      </w:r>
      <w:r>
        <w:rPr/>
        <w:t>）权益法核算转公允价值计量 </w:t>
      </w:r>
      <w:r>
        <w:rPr>
          <w:spacing w:val="-2"/>
        </w:rPr>
        <w:t>本公司因处置部分股权投资等原因丧失了对被投资单位的共同控制或重大影响的，处置后的剩余股权改按《企业会</w:t>
      </w:r>
    </w:p>
    <w:p>
      <w:pPr>
        <w:pStyle w:val="BodyText"/>
        <w:spacing w:line="300" w:lineRule="auto" w:before="31"/>
        <w:ind w:left="511" w:right="1131"/>
        <w:jc w:val="both"/>
      </w:pPr>
      <w:r>
        <w:rPr>
          <w:spacing w:val="-2"/>
        </w:rPr>
        <w:t>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金融工具确认和计量》核算，其在丧失共同控制或重大影响之日的公允价值与账面价值之间的差额计</w:t>
      </w:r>
      <w:r>
        <w:rPr>
          <w:spacing w:val="-64"/>
        </w:rPr>
        <w:t> </w:t>
      </w:r>
      <w:r>
        <w:rPr>
          <w:spacing w:val="-64"/>
        </w:rPr>
      </w:r>
      <w:r>
        <w:rPr/>
        <w:t>入当期损益。</w:t>
      </w:r>
    </w:p>
    <w:p>
      <w:pPr>
        <w:pStyle w:val="BodyText"/>
        <w:spacing w:line="316" w:lineRule="auto" w:before="31"/>
        <w:ind w:left="511" w:right="0" w:firstLine="360"/>
        <w:jc w:val="left"/>
      </w:pPr>
      <w:r>
        <w:rPr>
          <w:spacing w:val="-2"/>
        </w:rPr>
        <w:t>原股权投资因采用权益法核算而确认的其他综合收益，在终止采用权益法核算时采用与被投资单位直接处置相关资</w:t>
      </w:r>
      <w:r>
        <w:rPr/>
        <w:t> 产或负债相同的基础进行会计处理。</w:t>
      </w:r>
    </w:p>
    <w:p>
      <w:pPr>
        <w:pStyle w:val="BodyText"/>
        <w:spacing w:line="300" w:lineRule="auto" w:before="19"/>
        <w:ind w:left="871" w:right="0"/>
        <w:jc w:val="left"/>
      </w:pPr>
      <w:r>
        <w:rPr/>
        <w:t>（</w:t>
      </w:r>
      <w:r>
        <w:rPr>
          <w:rFonts w:ascii="Times New Roman" w:hAnsi="Times New Roman" w:cs="Times New Roman" w:eastAsia="Times New Roman" w:hint="default"/>
        </w:rPr>
        <w:t>4</w:t>
      </w:r>
      <w:r>
        <w:rPr/>
        <w:t>）成本法转权益法 </w:t>
      </w:r>
      <w:r>
        <w:rPr>
          <w:spacing w:val="-2"/>
        </w:rPr>
        <w:t>本公司因处置部分权益性投资等原因丧失了对被投资单位的控制的，在编制个别财务报表时，处置后的剩余股权能</w:t>
      </w:r>
    </w:p>
    <w:p>
      <w:pPr>
        <w:pStyle w:val="BodyText"/>
        <w:spacing w:line="316" w:lineRule="auto" w:before="31"/>
        <w:ind w:left="511" w:right="1133"/>
        <w:jc w:val="both"/>
      </w:pPr>
      <w:r>
        <w:rPr>
          <w:spacing w:val="-2"/>
        </w:rPr>
        <w:t>够对被投资单位实施共同控制或施加重大影响的，改按权益法核算，并对该剩余股权视同自取得时即采用权益法核算进</w:t>
      </w:r>
      <w:r>
        <w:rPr>
          <w:spacing w:val="-66"/>
        </w:rPr>
        <w:t> </w:t>
      </w:r>
      <w:r>
        <w:rPr>
          <w:spacing w:val="-66"/>
        </w:rPr>
      </w:r>
      <w:r>
        <w:rPr/>
        <w:t>行调整。</w:t>
      </w:r>
    </w:p>
    <w:p>
      <w:pPr>
        <w:pStyle w:val="BodyText"/>
        <w:spacing w:line="300" w:lineRule="auto" w:before="19"/>
        <w:ind w:left="871" w:right="0"/>
        <w:jc w:val="left"/>
      </w:pPr>
      <w:r>
        <w:rPr/>
        <w:t>（</w:t>
      </w:r>
      <w:r>
        <w:rPr>
          <w:rFonts w:ascii="Times New Roman" w:hAnsi="Times New Roman" w:cs="Times New Roman" w:eastAsia="Times New Roman" w:hint="default"/>
        </w:rPr>
        <w:t>5</w:t>
      </w:r>
      <w:r>
        <w:rPr/>
        <w:t>）成本法转公允价值计量 </w:t>
      </w:r>
      <w:r>
        <w:rPr>
          <w:spacing w:val="-2"/>
        </w:rPr>
        <w:t>本公司因处置部分权益性投资等原因丧失了对被投资单位的控制的，在编制个别财务报表时，处置后的剩余股权不</w:t>
      </w:r>
    </w:p>
    <w:p>
      <w:pPr>
        <w:pStyle w:val="BodyText"/>
        <w:spacing w:line="300" w:lineRule="auto" w:before="31"/>
        <w:ind w:left="511" w:right="1131"/>
        <w:jc w:val="both"/>
      </w:pPr>
      <w:r>
        <w:rPr>
          <w:spacing w:val="-2"/>
        </w:rPr>
        <w:t>能对被投资单位实施共同控制或施加重大影响的，改按《企业会计准则第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金融工具确认和计量》的有关规定进</w:t>
      </w:r>
      <w:r>
        <w:rPr>
          <w:spacing w:val="-65"/>
        </w:rPr>
        <w:t> </w:t>
      </w:r>
      <w:r>
        <w:rPr>
          <w:spacing w:val="-65"/>
        </w:rPr>
      </w:r>
      <w:r>
        <w:rPr/>
        <w:t>行会计处理，其在丧失控制之日的公允价值与账面价值间的差额计入当期损益。</w:t>
      </w:r>
    </w:p>
    <w:p>
      <w:pPr>
        <w:pStyle w:val="Heading5"/>
        <w:spacing w:line="240" w:lineRule="auto" w:before="31"/>
        <w:ind w:left="871" w:right="0"/>
        <w:jc w:val="left"/>
        <w:rPr>
          <w:b w:val="0"/>
          <w:bCs w:val="0"/>
        </w:rPr>
      </w:pPr>
      <w:r>
        <w:rPr>
          <w:rFonts w:ascii="Times New Roman" w:hAnsi="Times New Roman" w:cs="Times New Roman" w:eastAsia="Times New Roman" w:hint="default"/>
        </w:rPr>
        <w:t>4</w:t>
      </w:r>
      <w:r>
        <w:rPr/>
        <w:t>、长期股权投资的处置</w:t>
      </w:r>
      <w:r>
        <w:rPr>
          <w:b w:val="0"/>
          <w:bCs w:val="0"/>
        </w:rPr>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b/>
          <w:bCs/>
          <w:sz w:val="25"/>
          <w:szCs w:val="25"/>
        </w:rPr>
      </w:pPr>
    </w:p>
    <w:p>
      <w:pPr>
        <w:pStyle w:val="BodyText"/>
        <w:spacing w:line="316" w:lineRule="auto"/>
        <w:ind w:left="511" w:right="0" w:firstLine="360"/>
        <w:jc w:val="left"/>
      </w:pPr>
      <w:r>
        <w:rPr>
          <w:spacing w:val="-4"/>
        </w:rPr>
        <w:t>处置长期股权投资，其账面价值与实际取得价款之间的差额，应当计入当期损益。采用权益法核算的长期股权投资，</w:t>
      </w:r>
      <w:r>
        <w:rPr/>
        <w:t> </w:t>
      </w:r>
      <w:r>
        <w:rPr>
          <w:spacing w:val="-2"/>
        </w:rPr>
        <w:t>在处置该项投资时，采用与被投资单位直接处置相关资产或负债相同的基础，按相应比例对原计入其他综合收益的部分</w:t>
      </w:r>
      <w:r>
        <w:rPr>
          <w:spacing w:val="-66"/>
        </w:rPr>
        <w:t> </w:t>
      </w:r>
      <w:r>
        <w:rPr>
          <w:spacing w:val="-66"/>
        </w:rPr>
      </w:r>
      <w:r>
        <w:rPr/>
        <w:t>进行会计处理。</w:t>
      </w:r>
    </w:p>
    <w:p>
      <w:pPr>
        <w:pStyle w:val="BodyText"/>
        <w:spacing w:line="319" w:lineRule="auto" w:before="19"/>
        <w:ind w:left="511" w:right="0" w:firstLine="360"/>
        <w:jc w:val="left"/>
      </w:pPr>
      <w:r>
        <w:rPr>
          <w:spacing w:val="-2"/>
        </w:rPr>
        <w:t>处置对子公司股权投资的各项交易的条款、条件以及经济影响符合以下一种或多种情况，将多次交易事项作为一揽</w:t>
      </w:r>
      <w:r>
        <w:rPr/>
        <w:t> 子交易进行会计处理：</w:t>
      </w:r>
    </w:p>
    <w:p>
      <w:pPr>
        <w:pStyle w:val="BodyText"/>
        <w:spacing w:line="240" w:lineRule="auto" w:before="17"/>
        <w:ind w:left="871" w:right="0"/>
        <w:jc w:val="left"/>
      </w:pPr>
      <w:r>
        <w:rPr/>
        <w:t>（</w:t>
      </w:r>
      <w:r>
        <w:rPr>
          <w:rFonts w:ascii="Times New Roman" w:hAnsi="Times New Roman" w:cs="Times New Roman" w:eastAsia="Times New Roman" w:hint="default"/>
        </w:rPr>
        <w:t>1</w:t>
      </w:r>
      <w:r>
        <w:rPr/>
        <w:t>）这些交易是同时或者在考虑了彼此影响的情况下订立的；</w:t>
      </w:r>
    </w:p>
    <w:p>
      <w:pPr>
        <w:pStyle w:val="BodyText"/>
        <w:spacing w:line="240" w:lineRule="auto" w:before="63"/>
        <w:ind w:left="871" w:right="0"/>
        <w:jc w:val="left"/>
      </w:pPr>
      <w:r>
        <w:rPr/>
        <w:t>（</w:t>
      </w:r>
      <w:r>
        <w:rPr>
          <w:rFonts w:ascii="Times New Roman" w:hAnsi="Times New Roman" w:cs="Times New Roman" w:eastAsia="Times New Roman" w:hint="default"/>
        </w:rPr>
        <w:t>2</w:t>
      </w:r>
      <w:r>
        <w:rPr/>
        <w:t>）这些交易整体才能达成一项完整的商业结果；</w:t>
      </w:r>
    </w:p>
    <w:p>
      <w:pPr>
        <w:pStyle w:val="BodyText"/>
        <w:spacing w:line="240" w:lineRule="auto" w:before="63"/>
        <w:ind w:left="871" w:right="0"/>
        <w:jc w:val="left"/>
      </w:pPr>
      <w:r>
        <w:rPr/>
        <w:t>（</w:t>
      </w:r>
      <w:r>
        <w:rPr>
          <w:rFonts w:ascii="Times New Roman" w:hAnsi="Times New Roman" w:cs="Times New Roman" w:eastAsia="Times New Roman" w:hint="default"/>
        </w:rPr>
        <w:t>3</w:t>
      </w:r>
      <w:r>
        <w:rPr/>
        <w:t>）一项交易的发生取决于其他至少一项交易的发生；</w:t>
      </w:r>
    </w:p>
    <w:p>
      <w:pPr>
        <w:pStyle w:val="BodyText"/>
        <w:spacing w:line="300" w:lineRule="auto" w:before="63"/>
        <w:ind w:left="871" w:right="0"/>
        <w:jc w:val="left"/>
      </w:pPr>
      <w:r>
        <w:rPr/>
        <w:t>（</w:t>
      </w:r>
      <w:r>
        <w:rPr>
          <w:rFonts w:ascii="Times New Roman" w:hAnsi="Times New Roman" w:cs="Times New Roman" w:eastAsia="Times New Roman" w:hint="default"/>
        </w:rPr>
        <w:t>4</w:t>
      </w:r>
      <w:r>
        <w:rPr/>
        <w:t>）一项交易单独看是不经济的，但是和其他交易一并考虑时是经济的。 </w:t>
      </w:r>
      <w:r>
        <w:rPr>
          <w:spacing w:val="-2"/>
        </w:rPr>
        <w:t>因处置部分股权投资或其他原因丧失了对原有子公司控制权的，不属于一揽子交易的，区分个别财务报表和合并财</w:t>
      </w:r>
    </w:p>
    <w:p>
      <w:pPr>
        <w:pStyle w:val="BodyText"/>
        <w:spacing w:line="240" w:lineRule="auto" w:before="31"/>
        <w:ind w:left="511" w:right="0"/>
        <w:jc w:val="left"/>
      </w:pPr>
      <w:r>
        <w:rPr/>
        <w:t>务报表进行相关会计处理：</w:t>
      </w:r>
    </w:p>
    <w:p>
      <w:pPr>
        <w:pStyle w:val="BodyText"/>
        <w:spacing w:line="307" w:lineRule="auto" w:before="76"/>
        <w:ind w:left="511" w:right="1130" w:firstLine="360"/>
        <w:jc w:val="both"/>
      </w:pPr>
      <w:r>
        <w:rPr/>
        <w:t>（</w:t>
      </w:r>
      <w:r>
        <w:rPr>
          <w:rFonts w:ascii="Times New Roman" w:hAnsi="Times New Roman" w:cs="Times New Roman" w:eastAsia="Times New Roman" w:hint="default"/>
        </w:rPr>
        <w:t>1</w:t>
      </w:r>
      <w:r>
        <w:rPr/>
        <w:t>）在个别财务报表中，对于处置的股权，其账面价值与实际取得价款之间的差额计入当期损益。处置后的剩余 </w:t>
      </w:r>
      <w:r>
        <w:rPr>
          <w:spacing w:val="-2"/>
        </w:rPr>
        <w:t>股权能够对被投资单位实施共同控制或施加重大影响的，改按权益法核算，并对该剩余股权视同自取得时即采用权益法</w:t>
      </w:r>
      <w:r>
        <w:rPr>
          <w:spacing w:val="-66"/>
        </w:rPr>
        <w:t> </w:t>
      </w:r>
      <w:r>
        <w:rPr>
          <w:spacing w:val="-66"/>
        </w:rPr>
      </w:r>
      <w:r>
        <w:rPr>
          <w:spacing w:val="-2"/>
        </w:rPr>
        <w:t>核算进行调整；处置后的剩余股权不能对被投资单位实施共同控制或施加重大影响的，改按《企业会计准则第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9"/>
        </w:rPr>
        <w:t> </w:t>
      </w:r>
      <w:r>
        <w:rPr/>
        <w:t>金融工具确认和计量》的有关规定进行会计处理，其在丧失控制之日的公允价值与账面价值间的差额计入当期损益。</w:t>
      </w:r>
    </w:p>
    <w:p>
      <w:pPr>
        <w:pStyle w:val="BodyText"/>
        <w:spacing w:line="314" w:lineRule="auto" w:before="26"/>
        <w:ind w:left="511" w:right="1035" w:firstLine="360"/>
        <w:jc w:val="left"/>
      </w:pPr>
      <w:r>
        <w:rPr/>
        <w:t>（</w:t>
      </w:r>
      <w:r>
        <w:rPr>
          <w:rFonts w:ascii="Times New Roman" w:hAnsi="Times New Roman" w:cs="Times New Roman" w:eastAsia="Times New Roman" w:hint="default"/>
        </w:rPr>
        <w:t>2</w:t>
      </w:r>
      <w:r>
        <w:rPr/>
        <w:t>）在合并财务报表中，对于在丧失对子公司控制权以前的各项交易，处置价款与处置长期股权投资相应对享有 子公司自购买日或合并日开始持续计算的净资产份额之间的差额，调整资本公积（股本溢价），资本公积不足冲减的， </w:t>
      </w:r>
      <w:r>
        <w:rPr>
          <w:spacing w:val="-2"/>
        </w:rPr>
        <w:t>调整留存收益；在丧失对子公司控制权时，对于剩余股权，按照其在丧失控制权日的公允价值进行重新计量。处置股权</w:t>
      </w:r>
      <w:r>
        <w:rPr>
          <w:spacing w:val="-68"/>
        </w:rPr>
        <w:t> </w:t>
      </w:r>
      <w:r>
        <w:rPr>
          <w:spacing w:val="-68"/>
        </w:rPr>
      </w:r>
      <w:r>
        <w:rPr>
          <w:spacing w:val="-2"/>
        </w:rPr>
        <w:t>取得的对价与剩余股权公允价值之和，减去按原持股比例计算应享有原有子公司自购买日开始持续计算的净资产的份额</w:t>
      </w:r>
      <w:r>
        <w:rPr>
          <w:spacing w:val="-66"/>
        </w:rPr>
        <w:t> </w:t>
      </w:r>
      <w:r>
        <w:rPr>
          <w:spacing w:val="-66"/>
        </w:rPr>
      </w:r>
      <w:r>
        <w:rPr>
          <w:spacing w:val="-2"/>
        </w:rPr>
        <w:t>之间的差额，计入丧失控制权当期的投资收益，同时冲减商誉。与原有子公司股权投资相关的其他综合收益等，在丧失</w:t>
      </w:r>
      <w:r>
        <w:rPr>
          <w:spacing w:val="-68"/>
        </w:rPr>
        <w:t> </w:t>
      </w:r>
      <w:r>
        <w:rPr>
          <w:spacing w:val="-68"/>
        </w:rPr>
      </w:r>
      <w:r>
        <w:rPr/>
        <w:t>控制权时转为当期投资收益。</w:t>
      </w:r>
    </w:p>
    <w:p>
      <w:pPr>
        <w:pStyle w:val="BodyText"/>
        <w:spacing w:line="319" w:lineRule="auto" w:before="20"/>
        <w:ind w:left="511" w:right="0" w:firstLine="360"/>
        <w:jc w:val="left"/>
      </w:pPr>
      <w:r>
        <w:rPr>
          <w:spacing w:val="-2"/>
        </w:rPr>
        <w:t>处置对子公司股权投资直至丧失控制权的各项交易属于一揽子交易的，将各项交易作为一项处置子公司股权投资并</w:t>
      </w:r>
      <w:r>
        <w:rPr/>
        <w:t> 丧失控制权的交易进行会计处理，区分个别财务报表和合并财务报表进行相关会计处理：</w:t>
      </w:r>
    </w:p>
    <w:p>
      <w:pPr>
        <w:pStyle w:val="BodyText"/>
        <w:spacing w:line="300" w:lineRule="auto" w:before="17"/>
        <w:ind w:left="511" w:right="1125" w:firstLine="360"/>
        <w:jc w:val="left"/>
      </w:pPr>
      <w:r>
        <w:rPr/>
        <w:t>（</w:t>
      </w:r>
      <w:r>
        <w:rPr>
          <w:rFonts w:ascii="Times New Roman" w:hAnsi="Times New Roman" w:cs="Times New Roman" w:eastAsia="Times New Roman" w:hint="default"/>
        </w:rPr>
        <w:t>1</w:t>
      </w:r>
      <w:r>
        <w:rPr/>
        <w:t>）在个别财务报表中，在丧失控制权之前每一次处置价款与处置的股权对应的长期股权投资账面价值之间的差 额，确认为其他综合收益，在丧失控制权时一并转入丧失控制权当期的损益。</w:t>
      </w:r>
    </w:p>
    <w:p>
      <w:pPr>
        <w:pStyle w:val="BodyText"/>
        <w:spacing w:line="300" w:lineRule="auto" w:before="31"/>
        <w:ind w:left="511" w:right="1125" w:firstLine="360"/>
        <w:jc w:val="left"/>
      </w:pPr>
      <w:r>
        <w:rPr/>
        <w:t>（</w:t>
      </w:r>
      <w:r>
        <w:rPr>
          <w:rFonts w:ascii="Times New Roman" w:hAnsi="Times New Roman" w:cs="Times New Roman" w:eastAsia="Times New Roman" w:hint="default"/>
        </w:rPr>
        <w:t>2</w:t>
      </w:r>
      <w:r>
        <w:rPr/>
        <w:t>）在合并财务报表中，在丧失控制权之前每一次处置价款与处置投资对应的享有该子公司净资产份额的差额， 确认为其他综合收益，在丧失控制权时一并转入丧失控制权当期的损益。</w:t>
      </w:r>
    </w:p>
    <w:p>
      <w:pPr>
        <w:spacing w:line="300" w:lineRule="auto" w:before="31"/>
        <w:ind w:left="871"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、共同控制、重大影响的判断标准</w:t>
      </w:r>
      <w:r>
        <w:rPr>
          <w:rFonts w:ascii="宋体" w:hAnsi="宋体" w:cs="宋体" w:eastAsia="宋体" w:hint="default"/>
          <w:b/>
          <w:bCs/>
          <w:w w:val="99"/>
          <w:sz w:val="18"/>
          <w:szCs w:val="18"/>
        </w:rPr>
        <w:t> </w:t>
      </w:r>
      <w:r>
        <w:rPr>
          <w:rFonts w:ascii="宋体" w:hAnsi="宋体" w:cs="宋体" w:eastAsia="宋体" w:hint="default"/>
          <w:spacing w:val="-2"/>
          <w:sz w:val="18"/>
          <w:szCs w:val="18"/>
        </w:rPr>
        <w:t>如果本公司按照相关约定与其他参与方集体控制某项安排，并且对该安排回报具有重大影响的活动决策，需要经过</w:t>
      </w:r>
    </w:p>
    <w:p>
      <w:pPr>
        <w:pStyle w:val="BodyText"/>
        <w:spacing w:line="316" w:lineRule="auto" w:before="31"/>
        <w:ind w:left="871" w:right="0" w:hanging="361"/>
        <w:jc w:val="left"/>
      </w:pPr>
      <w:r>
        <w:rPr/>
        <w:t>分享控制权的参与方一致同意时才存在，则视为本公司与其他参与方共同控制某项安排，该安排即属于合营安排。 </w:t>
      </w:r>
      <w:r>
        <w:rPr>
          <w:spacing w:val="-2"/>
        </w:rPr>
        <w:t>合营安排通过单独主体达成的，根据相关约定判断本公司对该单独主体的净资产享有权利时，将该单独主体作为合</w:t>
      </w:r>
    </w:p>
    <w:p>
      <w:pPr>
        <w:pStyle w:val="BodyText"/>
        <w:spacing w:line="316" w:lineRule="auto" w:before="19"/>
        <w:ind w:left="511" w:right="0"/>
        <w:jc w:val="left"/>
      </w:pPr>
      <w:r>
        <w:rPr>
          <w:spacing w:val="-2"/>
        </w:rPr>
        <w:t>营企业，采用权益法核算。若根据相关约定判断本公司并非对该单独主体的净资产享有权利时，该单独主体作为共同经</w:t>
      </w:r>
      <w:r>
        <w:rPr>
          <w:spacing w:val="-67"/>
        </w:rPr>
        <w:t> </w:t>
      </w:r>
      <w:r>
        <w:rPr>
          <w:spacing w:val="-67"/>
        </w:rPr>
      </w:r>
      <w:r>
        <w:rPr/>
        <w:t>营，本公司确认与共同经营利益份额相关的项目，并按照相关企业会计准则的规定进行会计处理。</w:t>
      </w:r>
    </w:p>
    <w:p>
      <w:pPr>
        <w:pStyle w:val="BodyText"/>
        <w:spacing w:line="312" w:lineRule="auto" w:before="19"/>
        <w:ind w:left="511" w:right="1131" w:firstLine="360"/>
        <w:jc w:val="both"/>
      </w:pPr>
      <w:r>
        <w:rPr>
          <w:spacing w:val="-2"/>
        </w:rPr>
        <w:t>重大影响，是指投资方对被投资单位的财务和经营政策有参与决策的权力，但并不能够控制或者与其他方一起共同</w:t>
      </w:r>
      <w:r>
        <w:rPr/>
        <w:t> </w:t>
      </w:r>
      <w:r>
        <w:rPr>
          <w:spacing w:val="-2"/>
        </w:rPr>
        <w:t>控制这些政策的制定。本公司通过以下一种或多种情形，并综合考虑所有事实和情况后，判断对被投资单位具有重大影</w:t>
      </w:r>
      <w:r>
        <w:rPr>
          <w:spacing w:val="-67"/>
        </w:rPr>
        <w:t> </w:t>
      </w:r>
      <w:r>
        <w:rPr>
          <w:spacing w:val="-67"/>
        </w:rPr>
      </w:r>
      <w:r>
        <w:rPr/>
        <w:t>响。（</w:t>
      </w:r>
      <w:r>
        <w:rPr>
          <w:rFonts w:ascii="Times New Roman" w:hAnsi="Times New Roman" w:cs="Times New Roman" w:eastAsia="Times New Roman" w:hint="default"/>
        </w:rPr>
        <w:t>1</w:t>
      </w:r>
      <w:r>
        <w:rPr/>
        <w:t>）在被投资单位的董事会或类似权力机构中派有代表；（</w:t>
      </w:r>
      <w:r>
        <w:rPr>
          <w:rFonts w:ascii="Times New Roman" w:hAnsi="Times New Roman" w:cs="Times New Roman" w:eastAsia="Times New Roman" w:hint="default"/>
        </w:rPr>
        <w:t>2</w:t>
      </w:r>
      <w:r>
        <w:rPr/>
        <w:t>）参与被投资单位财务和经营政策制定过程；（</w:t>
      </w:r>
      <w:r>
        <w:rPr>
          <w:rFonts w:ascii="Times New Roman" w:hAnsi="Times New Roman" w:cs="Times New Roman" w:eastAsia="Times New Roman" w:hint="default"/>
        </w:rPr>
        <w:t>3</w:t>
      </w:r>
      <w:r>
        <w:rPr/>
        <w:t>） 与被投资单位之间发生重要交易；（</w:t>
      </w:r>
      <w:r>
        <w:rPr>
          <w:rFonts w:ascii="Times New Roman" w:hAnsi="Times New Roman" w:cs="Times New Roman" w:eastAsia="Times New Roman" w:hint="default"/>
        </w:rPr>
        <w:t>4</w:t>
      </w:r>
      <w:r>
        <w:rPr/>
        <w:t>）向被投资单位派出管理人员；（</w:t>
      </w:r>
      <w:r>
        <w:rPr>
          <w:rFonts w:ascii="Times New Roman" w:hAnsi="Times New Roman" w:cs="Times New Roman" w:eastAsia="Times New Roman" w:hint="default"/>
        </w:rPr>
        <w:t>5</w:t>
      </w:r>
      <w:r>
        <w:rPr/>
        <w:t>）向被投资单位提供关键技术资料。</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19"/>
        <w:ind w:right="0"/>
        <w:jc w:val="left"/>
        <w:rPr>
          <w:b w:val="0"/>
          <w:bCs w:val="0"/>
        </w:rPr>
      </w:pPr>
      <w:bookmarkStart w:name="15、投资性房地产" w:id="192"/>
      <w:bookmarkEnd w:id="192"/>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before="0"/>
        <w:ind w:right="8952"/>
        <w:jc w:val="left"/>
      </w:pPr>
      <w:r>
        <w:rPr/>
        <w:t>投资性房地产计量模式 成本法计量 折旧或摊销方法</w:t>
      </w:r>
    </w:p>
    <w:p>
      <w:pPr>
        <w:spacing w:after="0" w:line="36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ind w:left="511" w:right="0" w:firstLine="360"/>
        <w:jc w:val="left"/>
      </w:pPr>
      <w:r>
        <w:rPr>
          <w:spacing w:val="-2"/>
        </w:rPr>
        <w:t>投资性房地产是指为赚取租金或资本增值，或两者兼有而持有的房地产，包括已出租的土地使用权、持有并准备增</w:t>
      </w:r>
      <w:r>
        <w:rPr/>
        <w:t> </w:t>
      </w:r>
      <w:r>
        <w:rPr>
          <w:spacing w:val="-4"/>
        </w:rPr>
        <w:t>值后转让的土地使用权、已出租的建筑物。此外，对于本公司持有以备经营出租的空置建筑物，若董事会作出书面决议，</w:t>
      </w:r>
      <w:r>
        <w:rPr>
          <w:spacing w:val="-46"/>
        </w:rPr>
        <w:t> </w:t>
      </w:r>
      <w:r>
        <w:rPr>
          <w:spacing w:val="-46"/>
        </w:rPr>
      </w:r>
      <w:r>
        <w:rPr/>
        <w:t>明确表示将其用于经营出租且持有意图短期内不再发生变化的，也作为投资性房地产列报。</w:t>
      </w:r>
    </w:p>
    <w:p>
      <w:pPr>
        <w:pStyle w:val="BodyText"/>
        <w:spacing w:line="319" w:lineRule="auto" w:before="19"/>
        <w:ind w:left="511" w:right="0" w:firstLine="360"/>
        <w:jc w:val="left"/>
      </w:pPr>
      <w:r>
        <w:rPr>
          <w:spacing w:val="-2"/>
        </w:rPr>
        <w:t>本公司的投资性房地产按其成本作为入账价值，外购投资性房地产的成本包括购买价款、相关税费和可直接归属于</w:t>
      </w:r>
      <w:r>
        <w:rPr/>
        <w:t> 该资产的其他支出；自行建造投资性房地产的成本，由建造该项资产达到预定可使用状态前所发生的必要支出构成。</w:t>
      </w:r>
    </w:p>
    <w:p>
      <w:pPr>
        <w:pStyle w:val="BodyText"/>
        <w:spacing w:line="316" w:lineRule="auto" w:before="17"/>
        <w:ind w:left="511" w:right="0" w:firstLine="360"/>
        <w:jc w:val="left"/>
      </w:pPr>
      <w:r>
        <w:rPr>
          <w:spacing w:val="-2"/>
        </w:rPr>
        <w:t>本公司对投资性房地产采用成本模式进行后续计量，按其预计使用寿命及净残值率对建筑物和土地使用权计提折旧</w:t>
      </w:r>
      <w:r>
        <w:rPr/>
        <w:t> 或摊销。投资性房地产的预计使用寿命、净残值率及年折旧（摊销）率列示如下：</w:t>
      </w:r>
    </w:p>
    <w:tbl>
      <w:tblPr>
        <w:tblW w:w="0" w:type="auto"/>
        <w:jc w:val="left"/>
        <w:tblInd w:w="146" w:type="dxa"/>
        <w:tblLayout w:type="fixed"/>
        <w:tblCellMar>
          <w:top w:w="0" w:type="dxa"/>
          <w:left w:w="0" w:type="dxa"/>
          <w:bottom w:w="0" w:type="dxa"/>
          <w:right w:w="0" w:type="dxa"/>
        </w:tblCellMar>
        <w:tblLook w:val="01E0"/>
      </w:tblPr>
      <w:tblGrid>
        <w:gridCol w:w="2452"/>
        <w:gridCol w:w="2031"/>
        <w:gridCol w:w="2216"/>
        <w:gridCol w:w="1830"/>
      </w:tblGrid>
      <w:tr>
        <w:trPr>
          <w:trHeight w:val="347" w:hRule="exact"/>
        </w:trPr>
        <w:tc>
          <w:tcPr>
            <w:tcW w:w="2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98" w:right="0"/>
              <w:jc w:val="left"/>
              <w:rPr>
                <w:rFonts w:ascii="宋体" w:hAnsi="宋体" w:cs="宋体" w:eastAsia="宋体" w:hint="default"/>
                <w:sz w:val="18"/>
                <w:szCs w:val="18"/>
              </w:rPr>
            </w:pPr>
            <w:r>
              <w:rPr>
                <w:rFonts w:ascii="宋体" w:hAnsi="宋体" w:cs="宋体" w:eastAsia="宋体" w:hint="default"/>
                <w:sz w:val="18"/>
                <w:szCs w:val="18"/>
              </w:rPr>
              <w:t>预计使用寿命（年）</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559"/>
              <w:jc w:val="right"/>
              <w:rPr>
                <w:rFonts w:ascii="宋体" w:hAnsi="宋体" w:cs="宋体" w:eastAsia="宋体" w:hint="default"/>
                <w:sz w:val="18"/>
                <w:szCs w:val="18"/>
              </w:rPr>
            </w:pPr>
            <w:r>
              <w:rPr>
                <w:rFonts w:ascii="宋体" w:hAnsi="宋体" w:cs="宋体" w:eastAsia="宋体" w:hint="default"/>
                <w:sz w:val="18"/>
                <w:szCs w:val="18"/>
              </w:rPr>
              <w:t>预计净残值率</w:t>
            </w:r>
          </w:p>
        </w:tc>
        <w:tc>
          <w:tcPr>
            <w:tcW w:w="183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195"/>
              <w:jc w:val="right"/>
              <w:rPr>
                <w:rFonts w:ascii="宋体" w:hAnsi="宋体" w:cs="宋体" w:eastAsia="宋体" w:hint="default"/>
                <w:sz w:val="18"/>
                <w:szCs w:val="18"/>
              </w:rPr>
            </w:pPr>
            <w:r>
              <w:rPr>
                <w:rFonts w:ascii="宋体" w:hAnsi="宋体" w:cs="宋体" w:eastAsia="宋体" w:hint="default"/>
                <w:sz w:val="18"/>
                <w:szCs w:val="18"/>
              </w:rPr>
              <w:t>年折旧（摊销）率</w:t>
            </w:r>
          </w:p>
        </w:tc>
      </w:tr>
      <w:tr>
        <w:trPr>
          <w:trHeight w:val="348" w:hRule="exact"/>
        </w:trPr>
        <w:tc>
          <w:tcPr>
            <w:tcW w:w="2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4"/>
              <w:jc w:val="center"/>
              <w:rPr>
                <w:rFonts w:ascii="宋体" w:hAnsi="宋体" w:cs="宋体" w:eastAsia="宋体" w:hint="default"/>
                <w:sz w:val="18"/>
                <w:szCs w:val="18"/>
              </w:rPr>
            </w:pPr>
            <w:r>
              <w:rPr>
                <w:rFonts w:ascii="宋体" w:hAnsi="宋体" w:cs="宋体" w:eastAsia="宋体" w:hint="default"/>
                <w:sz w:val="18"/>
                <w:szCs w:val="18"/>
              </w:rPr>
              <w:t>房屋建筑物</w:t>
            </w:r>
          </w:p>
        </w:tc>
        <w:tc>
          <w:tcPr>
            <w:tcW w:w="2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277" w:right="0"/>
              <w:jc w:val="left"/>
              <w:rPr>
                <w:rFonts w:ascii="Times New Roman" w:hAnsi="Times New Roman" w:cs="Times New Roman" w:eastAsia="Times New Roman" w:hint="default"/>
                <w:sz w:val="18"/>
                <w:szCs w:val="18"/>
              </w:rPr>
            </w:pPr>
            <w:r>
              <w:rPr>
                <w:rFonts w:ascii="Times New Roman"/>
                <w:sz w:val="18"/>
              </w:rPr>
              <w:t>20</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620"/>
              <w:jc w:val="right"/>
              <w:rPr>
                <w:rFonts w:ascii="Times New Roman" w:hAnsi="Times New Roman" w:cs="Times New Roman" w:eastAsia="Times New Roman" w:hint="default"/>
                <w:sz w:val="18"/>
                <w:szCs w:val="18"/>
              </w:rPr>
            </w:pPr>
            <w:r>
              <w:rPr>
                <w:rFonts w:ascii="Times New Roman"/>
                <w:w w:val="95"/>
                <w:sz w:val="18"/>
              </w:rPr>
              <w:t>5%</w:t>
            </w:r>
            <w:r>
              <w:rPr>
                <w:rFonts w:ascii="Times New Roman"/>
                <w:sz w:val="18"/>
              </w:rPr>
            </w:r>
          </w:p>
        </w:tc>
        <w:tc>
          <w:tcPr>
            <w:tcW w:w="183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322"/>
              <w:jc w:val="right"/>
              <w:rPr>
                <w:rFonts w:ascii="Times New Roman" w:hAnsi="Times New Roman" w:cs="Times New Roman" w:eastAsia="Times New Roman" w:hint="default"/>
                <w:sz w:val="18"/>
                <w:szCs w:val="18"/>
              </w:rPr>
            </w:pPr>
            <w:r>
              <w:rPr>
                <w:rFonts w:ascii="Times New Roman"/>
                <w:sz w:val="18"/>
              </w:rPr>
              <w:t>4.75%</w:t>
            </w:r>
          </w:p>
        </w:tc>
      </w:tr>
    </w:tbl>
    <w:p>
      <w:pPr>
        <w:pStyle w:val="BodyText"/>
        <w:spacing w:line="316" w:lineRule="auto" w:before="19"/>
        <w:ind w:left="511" w:right="1131" w:firstLine="360"/>
        <w:jc w:val="both"/>
      </w:pPr>
      <w:r>
        <w:rPr>
          <w:spacing w:val="-2"/>
        </w:rPr>
        <w:t>投资性房地产的用途改变为自用时，自改变之日起，本公司将该投资性房地产转换为固定资产或无形资产。自用房</w:t>
      </w:r>
      <w:r>
        <w:rPr/>
        <w:t> </w:t>
      </w:r>
      <w:r>
        <w:rPr>
          <w:spacing w:val="-2"/>
        </w:rPr>
        <w:t>地产的用途改变为赚取租金或资本增值时，自改变之日起，本公司将固定资产或无形资产转换为投资性房地产。发生转</w:t>
      </w:r>
      <w:r>
        <w:rPr>
          <w:spacing w:val="-67"/>
        </w:rPr>
        <w:t> </w:t>
      </w:r>
      <w:r>
        <w:rPr>
          <w:spacing w:val="-67"/>
        </w:rPr>
      </w:r>
      <w:r>
        <w:rPr/>
        <w:t>换时，以转换前的账面价值作为转换后的入账价值。</w:t>
      </w:r>
    </w:p>
    <w:p>
      <w:pPr>
        <w:pStyle w:val="BodyText"/>
        <w:spacing w:line="316" w:lineRule="auto" w:before="19"/>
        <w:ind w:left="511" w:right="1052" w:firstLine="360"/>
        <w:jc w:val="both"/>
      </w:pPr>
      <w:r>
        <w:rPr/>
        <w:t>当投资性房地产被处置，或者永久退出使用且预计不能从其处置中取得经济利益时，终止确认该项投资性房地产。 投资性房地产出售、转让、报废或毁损的处置收入扣除其账面价值和相关税费后的金额计入当期损益。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5"/>
        <w:ind w:right="0"/>
        <w:jc w:val="left"/>
        <w:rPr>
          <w:b w:val="0"/>
          <w:bCs w:val="0"/>
        </w:rPr>
      </w:pPr>
      <w:bookmarkStart w:name="16、固定资产" w:id="193"/>
      <w:bookmarkEnd w:id="193"/>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确认条件" w:id="194"/>
      <w:bookmarkEnd w:id="194"/>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319" w:lineRule="auto" w:before="0"/>
        <w:ind w:right="0"/>
        <w:jc w:val="left"/>
      </w:pPr>
      <w:r>
        <w:rPr>
          <w:spacing w:val="-2"/>
        </w:rPr>
        <w:t>固定资产指为生产商品、提供劳务、出租或经营管理而持有，并且使用寿命超过一个会计年度的有形资产。固定资产在同时</w:t>
      </w:r>
      <w:r>
        <w:rPr>
          <w:spacing w:val="-66"/>
        </w:rPr>
        <w:t> </w:t>
      </w:r>
      <w:r>
        <w:rPr>
          <w:spacing w:val="-66"/>
        </w:rPr>
      </w:r>
      <w:r>
        <w:rPr>
          <w:spacing w:val="-4"/>
        </w:rPr>
        <w:t>满足下列条件时予以确认：（</w:t>
      </w:r>
      <w:r>
        <w:rPr>
          <w:rFonts w:ascii="Times New Roman" w:hAnsi="Times New Roman" w:cs="Times New Roman" w:eastAsia="Times New Roman" w:hint="default"/>
          <w:spacing w:val="-4"/>
        </w:rPr>
        <w:t>1</w:t>
      </w:r>
      <w:r>
        <w:rPr>
          <w:spacing w:val="-4"/>
        </w:rPr>
        <w:t>）与该固定资产有关的经济利益很可能流入企业；（</w:t>
      </w:r>
      <w:r>
        <w:rPr>
          <w:rFonts w:ascii="Times New Roman" w:hAnsi="Times New Roman" w:cs="Times New Roman" w:eastAsia="Times New Roman" w:hint="default"/>
          <w:spacing w:val="-4"/>
        </w:rPr>
        <w:t>2</w:t>
      </w:r>
      <w:r>
        <w:rPr>
          <w:spacing w:val="-4"/>
        </w:rPr>
        <w:t>）该固定资产的成本能够可靠地计量。</w:t>
      </w:r>
    </w:p>
    <w:p>
      <w:pPr>
        <w:spacing w:line="240" w:lineRule="auto" w:before="9"/>
        <w:rPr>
          <w:rFonts w:ascii="宋体" w:hAnsi="宋体" w:cs="宋体" w:eastAsia="宋体" w:hint="default"/>
          <w:sz w:val="20"/>
          <w:szCs w:val="20"/>
        </w:rPr>
      </w:pPr>
    </w:p>
    <w:p>
      <w:pPr>
        <w:pStyle w:val="Heading4"/>
        <w:spacing w:line="240" w:lineRule="auto"/>
        <w:ind w:right="0"/>
        <w:jc w:val="left"/>
        <w:rPr>
          <w:b w:val="0"/>
          <w:bCs w:val="0"/>
        </w:rPr>
      </w:pPr>
      <w:bookmarkStart w:name="（2）折旧方法" w:id="195"/>
      <w:bookmarkEnd w:id="195"/>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9.5-19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3）融资租入固定资产的认定依据、计价和折旧方法" w:id="196"/>
      <w:bookmarkEnd w:id="196"/>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pStyle w:val="BodyText"/>
        <w:spacing w:line="309" w:lineRule="auto" w:before="0"/>
        <w:ind w:right="0"/>
        <w:jc w:val="left"/>
      </w:pPr>
      <w:r>
        <w:rPr>
          <w:spacing w:val="-4"/>
        </w:rPr>
        <w:t>当本公司租入的固定资产符合下列一项或数项标准时，确认为融资租入固定资产：（</w:t>
      </w:r>
      <w:r>
        <w:rPr>
          <w:rFonts w:ascii="Times New Roman" w:hAnsi="Times New Roman" w:cs="Times New Roman" w:eastAsia="Times New Roman" w:hint="default"/>
          <w:spacing w:val="-4"/>
        </w:rPr>
        <w:t>1</w:t>
      </w:r>
      <w:r>
        <w:rPr>
          <w:spacing w:val="-4"/>
        </w:rPr>
        <w:t>）在租赁期届满时，租赁资产的所有权</w:t>
      </w:r>
      <w:r>
        <w:rPr>
          <w:spacing w:val="-44"/>
        </w:rPr>
        <w:t> </w:t>
      </w:r>
      <w:r>
        <w:rPr>
          <w:spacing w:val="-44"/>
        </w:rPr>
      </w:r>
      <w:r>
        <w:rPr>
          <w:spacing w:val="-2"/>
        </w:rPr>
        <w:t>转移给本公司。（</w:t>
      </w:r>
      <w:r>
        <w:rPr>
          <w:rFonts w:ascii="Times New Roman" w:hAnsi="Times New Roman" w:cs="Times New Roman" w:eastAsia="Times New Roman" w:hint="default"/>
          <w:spacing w:val="-2"/>
        </w:rPr>
        <w:t>2</w:t>
      </w:r>
      <w:r>
        <w:rPr>
          <w:spacing w:val="-2"/>
        </w:rPr>
        <w:t>）本公司有购买租赁资产的选择权，所订立的购买价款预计将远低于行使选择权时租赁资产的公允价值，</w:t>
      </w:r>
      <w:r>
        <w:rPr>
          <w:spacing w:val="-70"/>
        </w:rPr>
        <w:t> </w:t>
      </w:r>
      <w:r>
        <w:rPr>
          <w:spacing w:val="-4"/>
        </w:rPr>
        <w:t>因而在租赁开始日就可以合理确定本公司将会行使这种选择权。（</w:t>
      </w:r>
      <w:r>
        <w:rPr>
          <w:rFonts w:ascii="Times New Roman" w:hAnsi="Times New Roman" w:cs="Times New Roman" w:eastAsia="Times New Roman" w:hint="default"/>
          <w:spacing w:val="-4"/>
        </w:rPr>
        <w:t>3</w:t>
      </w:r>
      <w:r>
        <w:rPr>
          <w:spacing w:val="-4"/>
        </w:rPr>
        <w:t>）即使资产的所有权不转移，但租赁期占租赁资产使用寿</w:t>
      </w:r>
      <w:r>
        <w:rPr>
          <w:spacing w:val="-44"/>
        </w:rPr>
        <w:t> </w:t>
      </w:r>
      <w:r>
        <w:rPr>
          <w:spacing w:val="-44"/>
        </w:rPr>
      </w:r>
      <w:r>
        <w:rPr>
          <w:spacing w:val="-5"/>
        </w:rPr>
        <w:t>命的大部分。（</w:t>
      </w:r>
      <w:r>
        <w:rPr>
          <w:rFonts w:ascii="Times New Roman" w:hAnsi="Times New Roman" w:cs="Times New Roman" w:eastAsia="Times New Roman" w:hint="default"/>
          <w:spacing w:val="-5"/>
        </w:rPr>
        <w:t>4</w:t>
      </w:r>
      <w:r>
        <w:rPr>
          <w:spacing w:val="-5"/>
        </w:rPr>
        <w:t>）本公司在租赁开始日的最低租赁付款额现值，几乎相当于租赁开始日租赁资产公允价值。（</w:t>
      </w:r>
      <w:r>
        <w:rPr>
          <w:rFonts w:ascii="Times New Roman" w:hAnsi="Times New Roman" w:cs="Times New Roman" w:eastAsia="Times New Roman" w:hint="default"/>
          <w:spacing w:val="-5"/>
        </w:rPr>
        <w:t>5</w:t>
      </w:r>
      <w:r>
        <w:rPr>
          <w:spacing w:val="-5"/>
        </w:rPr>
        <w:t>）租赁资产性</w:t>
      </w:r>
      <w:r>
        <w:rPr>
          <w:spacing w:val="-74"/>
        </w:rPr>
        <w:t> </w:t>
      </w:r>
      <w:r>
        <w:rPr>
          <w:spacing w:val="-74"/>
        </w:rPr>
      </w:r>
      <w:r>
        <w:rPr>
          <w:spacing w:val="-2"/>
        </w:rPr>
        <w:t>质特殊，如果不作较大改造，只有本公司才能使用。融资租赁租入的固定资产，按租赁开始日租赁资产公允价值与最低租赁</w:t>
      </w:r>
      <w:r>
        <w:rPr>
          <w:spacing w:val="-66"/>
        </w:rPr>
        <w:t> </w:t>
      </w:r>
      <w:r>
        <w:rPr>
          <w:spacing w:val="-66"/>
        </w:rPr>
      </w:r>
      <w:r>
        <w:rPr>
          <w:spacing w:val="-2"/>
        </w:rPr>
        <w:t>付款额的现值两者中较低者，作为入账价值。最低租赁付款额作为长期应付款的入账价值，其差额作为未确认融资费用。在</w:t>
      </w:r>
      <w:r>
        <w:rPr>
          <w:spacing w:val="-66"/>
        </w:rPr>
        <w:t> </w:t>
      </w:r>
      <w:r>
        <w:rPr>
          <w:spacing w:val="-66"/>
        </w:rPr>
      </w:r>
      <w:r>
        <w:rPr>
          <w:spacing w:val="-2"/>
        </w:rPr>
        <w:t>租赁谈判和签订租赁合同过程中发生的，可归属于租赁项目的手续费、律师费、差旅费、印花税等初始直接费用，计入租入</w:t>
      </w:r>
      <w:r>
        <w:rPr>
          <w:spacing w:val="-65"/>
        </w:rPr>
        <w:t> </w:t>
      </w:r>
      <w:r>
        <w:rPr>
          <w:spacing w:val="-65"/>
        </w:rPr>
      </w:r>
      <w:r>
        <w:rPr>
          <w:spacing w:val="-2"/>
        </w:rPr>
        <w:t>资产价值。未确认融资费用在租赁期内各个期间采用实际利率法进行分摊。本公司采用与自有固定资产相一致的折旧政策计</w:t>
      </w:r>
      <w:r>
        <w:rPr>
          <w:spacing w:val="-64"/>
        </w:rPr>
        <w:t> </w:t>
      </w:r>
      <w:r>
        <w:rPr>
          <w:spacing w:val="-64"/>
        </w:rPr>
      </w:r>
      <w:r>
        <w:rPr>
          <w:spacing w:val="-2"/>
        </w:rPr>
        <w:t>提融资租入固定资产折旧。能够合理确定租赁期届满时取得租赁资产所有权的，在租赁资产使用寿命内计提折旧。无法合理</w:t>
      </w:r>
      <w:r>
        <w:rPr>
          <w:spacing w:val="-66"/>
        </w:rPr>
        <w:t> </w:t>
      </w:r>
      <w:r>
        <w:rPr>
          <w:spacing w:val="-66"/>
        </w:rPr>
      </w:r>
      <w:r>
        <w:rPr/>
        <w:t>确定租赁期届满时能够取得租赁资产所有权的，在租赁期与租赁资产使用寿命两者中较短的期间内计提折旧。</w:t>
      </w:r>
    </w:p>
    <w:p>
      <w:pPr>
        <w:spacing w:after="0" w:line="309"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17、在建工程" w:id="197"/>
      <w:bookmarkEnd w:id="197"/>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right="7692"/>
        <w:jc w:val="left"/>
      </w:pPr>
      <w:r>
        <w:rPr/>
        <w:t>公司是否需要遵守特殊行业的披露要求 是</w:t>
      </w:r>
    </w:p>
    <w:p>
      <w:pPr>
        <w:pStyle w:val="BodyText"/>
        <w:spacing w:line="240" w:lineRule="auto" w:before="29"/>
        <w:ind w:right="0"/>
        <w:jc w:val="left"/>
      </w:pPr>
      <w:r>
        <w:rPr/>
        <w:t>软件与信息技术服务业</w:t>
      </w:r>
    </w:p>
    <w:p>
      <w:pPr>
        <w:pStyle w:val="BodyText"/>
        <w:spacing w:line="300" w:lineRule="auto" w:before="115"/>
        <w:ind w:left="871" w:right="0"/>
        <w:jc w:val="left"/>
      </w:pPr>
      <w:r>
        <w:rPr>
          <w:rFonts w:ascii="Times New Roman" w:hAnsi="Times New Roman" w:cs="Times New Roman" w:eastAsia="Times New Roman" w:hint="default"/>
          <w:b/>
          <w:bCs/>
        </w:rPr>
        <w:t>1</w:t>
      </w:r>
      <w:r>
        <w:rPr>
          <w:rFonts w:ascii="宋体" w:hAnsi="宋体" w:cs="宋体" w:eastAsia="宋体" w:hint="default"/>
          <w:b/>
          <w:bCs/>
        </w:rPr>
        <w:t>、在建工程初始计量</w:t>
      </w:r>
      <w:r>
        <w:rPr>
          <w:rFonts w:ascii="宋体" w:hAnsi="宋体" w:cs="宋体" w:eastAsia="宋体" w:hint="default"/>
          <w:b/>
          <w:bCs/>
          <w:w w:val="99"/>
        </w:rPr>
        <w:t> </w:t>
      </w:r>
      <w:r>
        <w:rPr>
          <w:spacing w:val="-2"/>
        </w:rPr>
        <w:t>本公司自行建造的在建工程按实际成本计价，实际成本由建造该项资产达到预定可使用状态前所发生的必要支出构</w:t>
      </w:r>
    </w:p>
    <w:p>
      <w:pPr>
        <w:pStyle w:val="BodyText"/>
        <w:spacing w:line="309" w:lineRule="auto" w:before="31"/>
        <w:ind w:left="871" w:right="0" w:hanging="361"/>
        <w:jc w:val="left"/>
      </w:pPr>
      <w:r>
        <w:rPr/>
        <w:t>成，包括工程用物资成本、人工成本、交纳的相关税费、应予资本化的借款费用以及应分摊的间接费用等。 </w:t>
      </w:r>
      <w:r>
        <w:rPr>
          <w:rFonts w:ascii="Times New Roman" w:hAnsi="Times New Roman" w:cs="Times New Roman" w:eastAsia="Times New Roman" w:hint="default"/>
          <w:b/>
          <w:bCs/>
        </w:rPr>
        <w:t>2</w:t>
      </w:r>
      <w:r>
        <w:rPr>
          <w:rFonts w:ascii="宋体" w:hAnsi="宋体" w:cs="宋体" w:eastAsia="宋体" w:hint="default"/>
          <w:b/>
          <w:bCs/>
        </w:rPr>
        <w:t>、在建工程结转为固定资产的标准和时点</w:t>
      </w:r>
      <w:r>
        <w:rPr>
          <w:rFonts w:ascii="宋体" w:hAnsi="宋体" w:cs="宋体" w:eastAsia="宋体" w:hint="default"/>
          <w:b/>
          <w:bCs/>
          <w:w w:val="99"/>
        </w:rPr>
        <w:t> </w:t>
      </w:r>
      <w:r>
        <w:rPr>
          <w:spacing w:val="-2"/>
        </w:rPr>
        <w:t>在建工程项目按建造该项资产达到预定可使用状态前所发生的全部支出，作为固定资产的入账价值。所建造的在建</w:t>
      </w:r>
    </w:p>
    <w:p>
      <w:pPr>
        <w:pStyle w:val="BodyText"/>
        <w:spacing w:line="316" w:lineRule="auto" w:before="24"/>
        <w:ind w:left="511" w:right="1131"/>
        <w:jc w:val="both"/>
      </w:pPr>
      <w:r>
        <w:rPr>
          <w:spacing w:val="-2"/>
        </w:rPr>
        <w:t>工程已达到预定可使用状态，但尚未办理竣工决算的，自达到预定可使用状态之日起，根据工程预算、造价或者工程实</w:t>
      </w:r>
      <w:r>
        <w:rPr>
          <w:spacing w:val="-68"/>
        </w:rPr>
        <w:t> </w:t>
      </w:r>
      <w:r>
        <w:rPr>
          <w:spacing w:val="-68"/>
        </w:rPr>
      </w:r>
      <w:r>
        <w:rPr>
          <w:spacing w:val="-2"/>
        </w:rPr>
        <w:t>际成本等，按估计的价值转入固定资产，并按本公司固定资产折旧政策计提固定资产的折旧，待办理竣工决算后，再按</w:t>
      </w:r>
      <w:r>
        <w:rPr>
          <w:spacing w:val="-68"/>
        </w:rPr>
        <w:t> </w:t>
      </w:r>
      <w:r>
        <w:rPr>
          <w:spacing w:val="-68"/>
        </w:rPr>
      </w:r>
      <w:r>
        <w:rPr/>
        <w:t>实际成本调整原来的暂估价值，但不调整原已计提的折旧额。</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18、借款费用" w:id="198"/>
      <w:bookmarkEnd w:id="198"/>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6"/>
          <w:szCs w:val="26"/>
        </w:rPr>
      </w:pPr>
    </w:p>
    <w:p>
      <w:pPr>
        <w:spacing w:line="300" w:lineRule="auto" w:before="0"/>
        <w:ind w:left="871"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、借款费用资本化的确认原则</w:t>
      </w:r>
      <w:r>
        <w:rPr>
          <w:rFonts w:ascii="宋体" w:hAnsi="宋体" w:cs="宋体" w:eastAsia="宋体" w:hint="default"/>
          <w:b/>
          <w:bCs/>
          <w:w w:val="99"/>
          <w:sz w:val="18"/>
          <w:szCs w:val="18"/>
        </w:rPr>
        <w:t> </w:t>
      </w:r>
      <w:r>
        <w:rPr>
          <w:rFonts w:ascii="宋体" w:hAnsi="宋体" w:cs="宋体" w:eastAsia="宋体" w:hint="default"/>
          <w:spacing w:val="-4"/>
          <w:sz w:val="18"/>
          <w:szCs w:val="18"/>
        </w:rPr>
        <w:t>本公司发生的借款费用，可直接归属于符合资本化条件的资产的购建或者生产的，予以资本化，计入相关资产成本；</w:t>
      </w:r>
    </w:p>
    <w:p>
      <w:pPr>
        <w:pStyle w:val="BodyText"/>
        <w:spacing w:line="316" w:lineRule="auto" w:before="31"/>
        <w:ind w:left="871" w:right="0" w:hanging="361"/>
        <w:jc w:val="left"/>
      </w:pPr>
      <w:r>
        <w:rPr/>
        <w:t>其他借款费用，在发生时根据其发生额确认为费用，计入当期损益。 </w:t>
      </w:r>
      <w:r>
        <w:rPr>
          <w:spacing w:val="-2"/>
        </w:rPr>
        <w:t>符合资本化条件的资产，是指需要经过相当长时间的购建或者生产活动才能达到预定可使用或者可销售状态的固定</w:t>
      </w:r>
    </w:p>
    <w:p>
      <w:pPr>
        <w:pStyle w:val="BodyText"/>
        <w:spacing w:line="316" w:lineRule="auto" w:before="19"/>
        <w:ind w:left="871" w:right="6615" w:hanging="361"/>
        <w:jc w:val="left"/>
      </w:pPr>
      <w:r>
        <w:rPr/>
        <w:t>资产、投资性房地产和存货等资产。 借款费用同时满足下列条件时开始资本化：</w:t>
      </w:r>
    </w:p>
    <w:p>
      <w:pPr>
        <w:pStyle w:val="BodyText"/>
        <w:spacing w:line="300" w:lineRule="auto" w:before="19"/>
        <w:ind w:left="511" w:right="1125" w:firstLine="360"/>
        <w:jc w:val="left"/>
      </w:pPr>
      <w:r>
        <w:rPr/>
        <w:t>（</w:t>
      </w:r>
      <w:r>
        <w:rPr>
          <w:rFonts w:ascii="Times New Roman" w:hAnsi="Times New Roman" w:cs="Times New Roman" w:eastAsia="Times New Roman" w:hint="default"/>
        </w:rPr>
        <w:t>1</w:t>
      </w:r>
      <w:r>
        <w:rPr/>
        <w:t>）资产支出已经发生，资产支出包括为购建或者生产符合资本化条件的资产而以支付现金、转移非现金资产或 者承担带息债务形式发生的支出；</w:t>
      </w:r>
    </w:p>
    <w:p>
      <w:pPr>
        <w:pStyle w:val="BodyText"/>
        <w:spacing w:line="240" w:lineRule="auto" w:before="31"/>
        <w:ind w:left="871" w:right="0"/>
        <w:jc w:val="left"/>
      </w:pPr>
      <w:r>
        <w:rPr/>
        <w:t>（</w:t>
      </w:r>
      <w:r>
        <w:rPr>
          <w:rFonts w:ascii="Times New Roman" w:hAnsi="Times New Roman" w:cs="Times New Roman" w:eastAsia="Times New Roman" w:hint="default"/>
        </w:rPr>
        <w:t>2</w:t>
      </w:r>
      <w:r>
        <w:rPr/>
        <w:t>）借款费用已经发生；</w:t>
      </w:r>
    </w:p>
    <w:p>
      <w:pPr>
        <w:pStyle w:val="BodyText"/>
        <w:spacing w:line="240" w:lineRule="auto" w:before="63"/>
        <w:ind w:left="871" w:right="0"/>
        <w:jc w:val="left"/>
      </w:pPr>
      <w:r>
        <w:rPr/>
        <w:t>（</w:t>
      </w:r>
      <w:r>
        <w:rPr>
          <w:rFonts w:ascii="Times New Roman" w:hAnsi="Times New Roman" w:cs="Times New Roman" w:eastAsia="Times New Roman" w:hint="default"/>
        </w:rPr>
        <w:t>3</w:t>
      </w:r>
      <w:r>
        <w:rPr/>
        <w:t>）为使资产达到预定可使用或者可销售状态所必要的购建或者生产活动已经开始。</w:t>
      </w:r>
    </w:p>
    <w:p>
      <w:pPr>
        <w:pStyle w:val="BodyText"/>
        <w:spacing w:line="314" w:lineRule="auto" w:before="63"/>
        <w:ind w:left="871" w:right="0"/>
        <w:jc w:val="left"/>
      </w:pPr>
      <w:r>
        <w:rPr>
          <w:rFonts w:ascii="Times New Roman" w:hAnsi="Times New Roman" w:cs="Times New Roman" w:eastAsia="Times New Roman" w:hint="default"/>
          <w:b/>
          <w:bCs/>
        </w:rPr>
        <w:t>2</w:t>
      </w:r>
      <w:r>
        <w:rPr>
          <w:rFonts w:ascii="宋体" w:hAnsi="宋体" w:cs="宋体" w:eastAsia="宋体" w:hint="default"/>
          <w:b/>
          <w:bCs/>
        </w:rPr>
        <w:t>、借款费用资本化期间</w:t>
      </w:r>
      <w:r>
        <w:rPr>
          <w:rFonts w:ascii="宋体" w:hAnsi="宋体" w:cs="宋体" w:eastAsia="宋体" w:hint="default"/>
          <w:b/>
          <w:bCs/>
          <w:w w:val="99"/>
        </w:rPr>
        <w:t> </w:t>
      </w:r>
      <w:r>
        <w:rPr/>
        <w:t>资本化期间，指从借款费用开始资本化时点到停止资本化时点的期间，借款费用暂停资本化的期间不包括在内。 当购建或者生产符合资本化条件的资产达到预定可使用或者可销售状态时，借款费用停止资本化。 当购建或者生产符合资本化条件的资产中部分项目分别完工且可单独使用时，该部分资产借款费用停止资本化。 </w:t>
      </w:r>
      <w:r>
        <w:rPr>
          <w:spacing w:val="-2"/>
        </w:rPr>
        <w:t>购建或者生产的资产的各部分分别完工，但必须等到整体完工后才可使用或可对外销售的，在该资产整体完工时停</w:t>
      </w:r>
    </w:p>
    <w:p>
      <w:pPr>
        <w:pStyle w:val="BodyText"/>
        <w:spacing w:line="240" w:lineRule="auto" w:before="20"/>
        <w:ind w:left="511" w:right="0"/>
        <w:jc w:val="left"/>
      </w:pPr>
      <w:r>
        <w:rPr/>
        <w:t>止借款费用资本化。</w:t>
      </w:r>
    </w:p>
    <w:p>
      <w:pPr>
        <w:pStyle w:val="BodyText"/>
        <w:spacing w:line="300" w:lineRule="auto" w:before="76"/>
        <w:ind w:left="871" w:right="1125"/>
        <w:jc w:val="left"/>
      </w:pPr>
      <w:r>
        <w:rPr>
          <w:rFonts w:ascii="Times New Roman" w:hAnsi="Times New Roman" w:cs="Times New Roman" w:eastAsia="Times New Roman" w:hint="default"/>
          <w:b/>
          <w:bCs/>
        </w:rPr>
        <w:t>3</w:t>
      </w:r>
      <w:r>
        <w:rPr>
          <w:rFonts w:ascii="宋体" w:hAnsi="宋体" w:cs="宋体" w:eastAsia="宋体" w:hint="default"/>
          <w:b/>
          <w:bCs/>
        </w:rPr>
        <w:t>、暂停资本化期间</w:t>
      </w:r>
      <w:r>
        <w:rPr>
          <w:rFonts w:ascii="宋体" w:hAnsi="宋体" w:cs="宋体" w:eastAsia="宋体" w:hint="default"/>
          <w:b/>
          <w:bCs/>
          <w:w w:val="99"/>
        </w:rPr>
        <w:t> </w:t>
      </w:r>
      <w:r>
        <w:rPr/>
        <w:t>符合资本化条件的资产在购建或生产过程中发生的非正常中断、且中断时间连续超过</w:t>
      </w:r>
      <w:r>
        <w:rPr>
          <w:rFonts w:ascii="Times New Roman" w:hAnsi="Times New Roman" w:cs="Times New Roman" w:eastAsia="Times New Roman" w:hint="default"/>
        </w:rPr>
        <w:t>3</w:t>
      </w:r>
      <w:r>
        <w:rPr/>
        <w:t>个月的，则借款费用暂停资</w:t>
      </w:r>
    </w:p>
    <w:p>
      <w:pPr>
        <w:pStyle w:val="BodyText"/>
        <w:spacing w:line="316" w:lineRule="auto" w:before="13"/>
        <w:ind w:left="511" w:right="1133"/>
        <w:jc w:val="both"/>
      </w:pPr>
      <w:r>
        <w:rPr>
          <w:spacing w:val="-2"/>
        </w:rPr>
        <w:t>本化；该项中断如是所购建或生产的符合资本化条件的资产达到预定可使用状态或者可销售状态必要的程序，则借款费</w:t>
      </w:r>
      <w:r>
        <w:rPr>
          <w:spacing w:val="-66"/>
        </w:rPr>
        <w:t> </w:t>
      </w:r>
      <w:r>
        <w:rPr>
          <w:spacing w:val="-66"/>
        </w:rPr>
      </w:r>
      <w:r>
        <w:rPr>
          <w:spacing w:val="-2"/>
        </w:rPr>
        <w:t>用继续资本化。在中断期间发生的借款费用确认为当期损益，直至资产的购建或者生产活动重新开始后借款费用继续资</w:t>
      </w:r>
      <w:r>
        <w:rPr>
          <w:spacing w:val="-66"/>
        </w:rPr>
        <w:t> </w:t>
      </w:r>
      <w:r>
        <w:rPr>
          <w:spacing w:val="-66"/>
        </w:rPr>
      </w:r>
      <w:r>
        <w:rPr/>
        <w:t>本化。</w:t>
      </w:r>
    </w:p>
    <w:p>
      <w:pPr>
        <w:spacing w:line="300" w:lineRule="auto" w:before="19"/>
        <w:ind w:left="871"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、借款费用资本化金额的计算方法</w:t>
      </w:r>
      <w:r>
        <w:rPr>
          <w:rFonts w:ascii="宋体" w:hAnsi="宋体" w:cs="宋体" w:eastAsia="宋体" w:hint="default"/>
          <w:b/>
          <w:bCs/>
          <w:w w:val="99"/>
          <w:sz w:val="18"/>
          <w:szCs w:val="18"/>
        </w:rPr>
        <w:t> </w:t>
      </w:r>
      <w:r>
        <w:rPr>
          <w:rFonts w:ascii="宋体" w:hAnsi="宋体" w:cs="宋体" w:eastAsia="宋体" w:hint="default"/>
          <w:spacing w:val="-2"/>
          <w:sz w:val="18"/>
          <w:szCs w:val="18"/>
        </w:rPr>
        <w:t>专门借款的利息费用（扣除尚未动用的借款资金存入银行取得的利息收入或者进行暂时性投资取得的投资收益）及</w:t>
      </w:r>
    </w:p>
    <w:p>
      <w:pPr>
        <w:pStyle w:val="BodyText"/>
        <w:spacing w:line="319" w:lineRule="auto" w:before="31"/>
        <w:ind w:left="871" w:right="0" w:hanging="361"/>
        <w:jc w:val="left"/>
      </w:pPr>
      <w:r>
        <w:rPr/>
        <w:t>其辅助费用在所购建或者生产的符合资本化条件的资产达到预定可使用或者可销售状态前，予以资本化。 </w:t>
      </w:r>
      <w:r>
        <w:rPr>
          <w:spacing w:val="-2"/>
        </w:rPr>
        <w:t>根据累计资产支出超过专门借款部分的资产支出加权平均数乘以所占用一般借款的资本化率，计算确定一般借款应</w:t>
      </w:r>
    </w:p>
    <w:p>
      <w:pPr>
        <w:pStyle w:val="BodyText"/>
        <w:spacing w:line="316" w:lineRule="auto" w:before="17"/>
        <w:ind w:left="871" w:right="1215" w:hanging="361"/>
        <w:jc w:val="left"/>
      </w:pPr>
      <w:r>
        <w:rPr/>
        <w:t>予资本化的利息金额。资本化率根据一般借款加权平均利率计算确定。 借款存在折价或者溢价的，按照实际利率法确定每一会计期间应摊销的折价或者溢价金额，调整每期利息金额。</w:t>
      </w:r>
    </w:p>
    <w:p>
      <w:pPr>
        <w:spacing w:after="0" w:line="316"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86"/>
        <w:ind w:right="0"/>
        <w:jc w:val="left"/>
        <w:rPr>
          <w:b w:val="0"/>
          <w:bCs w:val="0"/>
        </w:rPr>
      </w:pPr>
      <w:bookmarkStart w:name="19、无形资产" w:id="199"/>
      <w:bookmarkEnd w:id="199"/>
      <w:r>
        <w:rPr>
          <w:b w:val="0"/>
          <w:bCs w:val="0"/>
        </w:rPr>
      </w:r>
      <w:r>
        <w:rPr>
          <w:rFonts w:ascii="Times New Roman" w:hAnsi="Times New Roman" w:cs="Times New Roman" w:eastAsia="Times New Roman" w:hint="default"/>
        </w:rPr>
        <w:t>19</w:t>
      </w:r>
      <w:r>
        <w:rPr/>
        <w:t>、无形资产</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计价方法、使用寿命、减值测试" w:id="200"/>
      <w:bookmarkEnd w:id="200"/>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871" w:right="0"/>
        <w:jc w:val="left"/>
      </w:pPr>
      <w:r>
        <w:rPr/>
        <w:t>无形资产是指本公司拥有或者控制的没有实物形态的可辨认非货币性资产。</w:t>
      </w:r>
    </w:p>
    <w:p>
      <w:pPr>
        <w:pStyle w:val="BodyText"/>
        <w:spacing w:line="300" w:lineRule="auto" w:before="76"/>
        <w:ind w:left="871" w:right="0"/>
        <w:jc w:val="left"/>
      </w:pPr>
      <w:r>
        <w:rPr>
          <w:rFonts w:ascii="Times New Roman" w:hAnsi="Times New Roman" w:cs="Times New Roman" w:eastAsia="Times New Roman" w:hint="default"/>
          <w:b/>
          <w:bCs/>
        </w:rPr>
        <w:t>1</w:t>
      </w:r>
      <w:r>
        <w:rPr>
          <w:rFonts w:ascii="宋体" w:hAnsi="宋体" w:cs="宋体" w:eastAsia="宋体" w:hint="default"/>
          <w:b/>
          <w:bCs/>
        </w:rPr>
        <w:t>、无形资产的初始计量</w:t>
      </w:r>
      <w:r>
        <w:rPr>
          <w:rFonts w:ascii="宋体" w:hAnsi="宋体" w:cs="宋体" w:eastAsia="宋体" w:hint="default"/>
          <w:b/>
          <w:bCs/>
          <w:w w:val="99"/>
        </w:rPr>
        <w:t> </w:t>
      </w:r>
      <w:r>
        <w:rPr>
          <w:spacing w:val="-2"/>
        </w:rPr>
        <w:t>外购无形资产的成本，包括购买价款、相关税费以及直接归属于使该项资产达到预定用途所发生的其他支出。购买</w:t>
      </w:r>
    </w:p>
    <w:p>
      <w:pPr>
        <w:pStyle w:val="BodyText"/>
        <w:spacing w:line="316" w:lineRule="auto" w:before="31"/>
        <w:ind w:left="871" w:right="1036" w:hanging="361"/>
        <w:jc w:val="left"/>
      </w:pPr>
      <w:r>
        <w:rPr/>
        <w:t>无形资产的价款超过正常信用条件延期支付，实质上具有融资性质的，无形资产的成本以购买价款的现值为基础确定。 </w:t>
      </w:r>
      <w:r>
        <w:rPr>
          <w:spacing w:val="-2"/>
        </w:rPr>
        <w:t>债务重组取得债务人用以抵债的无形资产，以该无形资产的公允价值为基础确定其入账价值，并将重组债务的账面</w:t>
      </w:r>
    </w:p>
    <w:p>
      <w:pPr>
        <w:pStyle w:val="BodyText"/>
        <w:spacing w:line="316" w:lineRule="auto" w:before="19"/>
        <w:ind w:left="871" w:right="0" w:hanging="361"/>
        <w:jc w:val="left"/>
      </w:pPr>
      <w:r>
        <w:rPr/>
        <w:t>价值与该用以抵债的无形资产公允价值之间的差额，计入当期损益。 </w:t>
      </w:r>
      <w:r>
        <w:rPr>
          <w:spacing w:val="-2"/>
        </w:rPr>
        <w:t>在非货币性资产交换具备商业实质且换入资产或换出资产的公允价值能够可靠计量的前提下，非货币性资产交换换</w:t>
      </w:r>
    </w:p>
    <w:p>
      <w:pPr>
        <w:pStyle w:val="BodyText"/>
        <w:spacing w:line="316" w:lineRule="auto" w:before="19"/>
        <w:ind w:left="511" w:right="1035"/>
        <w:jc w:val="left"/>
      </w:pPr>
      <w:r>
        <w:rPr>
          <w:spacing w:val="-2"/>
        </w:rPr>
        <w:t>入的无形资产以换出资产的公允价值为基础确定其入账价值，除非有确凿证据表明换入资产的公允价值更加可靠；不满</w:t>
      </w:r>
      <w:r>
        <w:rPr>
          <w:spacing w:val="-66"/>
        </w:rPr>
        <w:t> </w:t>
      </w:r>
      <w:r>
        <w:rPr>
          <w:spacing w:val="-66"/>
        </w:rPr>
      </w:r>
      <w:r>
        <w:rPr/>
        <w:t>足上述前提的非货币性资产交换，以换出资产的账面价值和应支付的相关税费作为换入无形资产的成本，不确认损益。</w:t>
      </w:r>
    </w:p>
    <w:p>
      <w:pPr>
        <w:pStyle w:val="BodyText"/>
        <w:spacing w:line="316" w:lineRule="auto" w:before="19"/>
        <w:ind w:left="511" w:right="1131" w:firstLine="360"/>
        <w:jc w:val="both"/>
      </w:pPr>
      <w:r>
        <w:rPr>
          <w:spacing w:val="-2"/>
        </w:rPr>
        <w:t>以同一控制下的企业吸收合并方式取得的无形资产按被合并方的账面价值确定其入账价值；以非同一控制下的企业</w:t>
      </w:r>
      <w:r>
        <w:rPr/>
        <w:t> 吸收合并方式取得的无形资产按公允价值确定其入账价值。</w:t>
      </w:r>
    </w:p>
    <w:p>
      <w:pPr>
        <w:pStyle w:val="BodyText"/>
        <w:spacing w:line="316" w:lineRule="auto" w:before="19"/>
        <w:ind w:left="511" w:right="1130" w:firstLine="360"/>
        <w:jc w:val="both"/>
      </w:pPr>
      <w:r>
        <w:rPr>
          <w:spacing w:val="-2"/>
        </w:rPr>
        <w:t>内部自行开发的无形资产，其成本包括：开发该无形资产时耗用的材料、劳务成本、注册费、在开发过程中使用的</w:t>
      </w:r>
      <w:r>
        <w:rPr/>
        <w:t> </w:t>
      </w:r>
      <w:r>
        <w:rPr>
          <w:spacing w:val="-2"/>
        </w:rPr>
        <w:t>其他专利权和特许权的摊销以及满足资本化条件的利息费用，以及为使该无形资产达到预定用途前所发生的其他直接费</w:t>
      </w:r>
      <w:r>
        <w:rPr>
          <w:spacing w:val="-66"/>
        </w:rPr>
        <w:t> </w:t>
      </w:r>
      <w:r>
        <w:rPr>
          <w:spacing w:val="-66"/>
        </w:rPr>
      </w:r>
      <w:r>
        <w:rPr/>
        <w:t>用。</w:t>
      </w:r>
    </w:p>
    <w:p>
      <w:pPr>
        <w:spacing w:line="300" w:lineRule="auto" w:before="19"/>
        <w:ind w:left="871" w:right="2115"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、无形资产的后续计量</w:t>
      </w:r>
      <w:r>
        <w:rPr>
          <w:rFonts w:ascii="宋体" w:hAnsi="宋体" w:cs="宋体" w:eastAsia="宋体" w:hint="default"/>
          <w:b/>
          <w:bCs/>
          <w:w w:val="99"/>
          <w:sz w:val="18"/>
          <w:szCs w:val="18"/>
        </w:rPr>
        <w:t> </w:t>
      </w:r>
      <w:r>
        <w:rPr>
          <w:rFonts w:ascii="宋体" w:hAnsi="宋体" w:cs="宋体" w:eastAsia="宋体" w:hint="default"/>
          <w:sz w:val="18"/>
          <w:szCs w:val="18"/>
        </w:rPr>
        <w:t>本公司在取得无形资产时分析判断其使用寿命，划分为使用寿命有限和使用寿命不确定的无形资产。</w:t>
      </w:r>
    </w:p>
    <w:p>
      <w:pPr>
        <w:pStyle w:val="BodyText"/>
        <w:spacing w:line="300" w:lineRule="auto" w:before="32"/>
        <w:ind w:left="871" w:right="0"/>
        <w:jc w:val="left"/>
      </w:pPr>
      <w:r>
        <w:rPr/>
        <w:t>（</w:t>
      </w:r>
      <w:r>
        <w:rPr>
          <w:rFonts w:ascii="Times New Roman" w:hAnsi="Times New Roman" w:cs="Times New Roman" w:eastAsia="Times New Roman" w:hint="default"/>
        </w:rPr>
        <w:t>1</w:t>
      </w:r>
      <w:r>
        <w:rPr/>
        <w:t>）使用寿命有限的无形资产 </w:t>
      </w:r>
      <w:r>
        <w:rPr>
          <w:spacing w:val="-2"/>
        </w:rPr>
        <w:t>对于使用寿命有限的无形资产，在为企业带来经济利益的期限内按直线法摊销。使用寿命有限的无形资产预计寿命</w:t>
      </w:r>
    </w:p>
    <w:p>
      <w:pPr>
        <w:pStyle w:val="BodyText"/>
        <w:spacing w:line="240" w:lineRule="auto" w:before="31"/>
        <w:ind w:left="511" w:right="0"/>
        <w:jc w:val="left"/>
      </w:pPr>
      <w:r>
        <w:rPr/>
        <w:t>及依据如下：</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2806"/>
        <w:gridCol w:w="2682"/>
        <w:gridCol w:w="2933"/>
      </w:tblGrid>
      <w:tr>
        <w:trPr>
          <w:trHeight w:val="347" w:hRule="exact"/>
        </w:trPr>
        <w:tc>
          <w:tcPr>
            <w:tcW w:w="2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预计使用寿命</w:t>
            </w:r>
          </w:p>
        </w:tc>
        <w:tc>
          <w:tcPr>
            <w:tcW w:w="29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9"/>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347" w:hRule="exact"/>
        </w:trPr>
        <w:tc>
          <w:tcPr>
            <w:tcW w:w="2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按照权证可使用期限</w:t>
            </w:r>
          </w:p>
        </w:tc>
        <w:tc>
          <w:tcPr>
            <w:tcW w:w="29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9"/>
              <w:jc w:val="center"/>
              <w:rPr>
                <w:rFonts w:ascii="宋体" w:hAnsi="宋体" w:cs="宋体" w:eastAsia="宋体" w:hint="default"/>
                <w:sz w:val="18"/>
                <w:szCs w:val="18"/>
              </w:rPr>
            </w:pPr>
            <w:r>
              <w:rPr>
                <w:rFonts w:ascii="宋体" w:hAnsi="宋体" w:cs="宋体" w:eastAsia="宋体" w:hint="default"/>
                <w:sz w:val="18"/>
                <w:szCs w:val="18"/>
              </w:rPr>
              <w:t>直线法</w:t>
            </w:r>
          </w:p>
        </w:tc>
      </w:tr>
      <w:tr>
        <w:trPr>
          <w:trHeight w:val="348" w:hRule="exact"/>
        </w:trPr>
        <w:tc>
          <w:tcPr>
            <w:tcW w:w="2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专有技术</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29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9"/>
              <w:jc w:val="center"/>
              <w:rPr>
                <w:rFonts w:ascii="宋体" w:hAnsi="宋体" w:cs="宋体" w:eastAsia="宋体" w:hint="default"/>
                <w:sz w:val="18"/>
                <w:szCs w:val="18"/>
              </w:rPr>
            </w:pPr>
            <w:r>
              <w:rPr>
                <w:rFonts w:ascii="宋体" w:hAnsi="宋体" w:cs="宋体" w:eastAsia="宋体" w:hint="default"/>
                <w:sz w:val="18"/>
                <w:szCs w:val="18"/>
              </w:rPr>
              <w:t>直线法</w:t>
            </w:r>
          </w:p>
        </w:tc>
      </w:tr>
      <w:tr>
        <w:trPr>
          <w:trHeight w:val="347" w:hRule="exact"/>
        </w:trPr>
        <w:tc>
          <w:tcPr>
            <w:tcW w:w="2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计算机软件</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4-10</w:t>
            </w:r>
            <w:r>
              <w:rPr>
                <w:rFonts w:ascii="宋体" w:hAnsi="宋体" w:cs="宋体" w:eastAsia="宋体" w:hint="default"/>
                <w:sz w:val="18"/>
                <w:szCs w:val="18"/>
              </w:rPr>
              <w:t>年</w:t>
            </w:r>
          </w:p>
        </w:tc>
        <w:tc>
          <w:tcPr>
            <w:tcW w:w="29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right="9"/>
              <w:jc w:val="center"/>
              <w:rPr>
                <w:rFonts w:ascii="宋体" w:hAnsi="宋体" w:cs="宋体" w:eastAsia="宋体" w:hint="default"/>
                <w:sz w:val="18"/>
                <w:szCs w:val="18"/>
              </w:rPr>
            </w:pPr>
            <w:r>
              <w:rPr>
                <w:rFonts w:ascii="宋体" w:hAnsi="宋体" w:cs="宋体" w:eastAsia="宋体" w:hint="default"/>
                <w:sz w:val="18"/>
                <w:szCs w:val="18"/>
              </w:rPr>
              <w:t>直线法</w:t>
            </w:r>
          </w:p>
        </w:tc>
      </w:tr>
      <w:tr>
        <w:trPr>
          <w:trHeight w:val="347" w:hRule="exact"/>
        </w:trPr>
        <w:tc>
          <w:tcPr>
            <w:tcW w:w="2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特许经营权</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按协议约定期限</w:t>
            </w:r>
          </w:p>
        </w:tc>
        <w:tc>
          <w:tcPr>
            <w:tcW w:w="29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9"/>
              <w:jc w:val="center"/>
              <w:rPr>
                <w:rFonts w:ascii="宋体" w:hAnsi="宋体" w:cs="宋体" w:eastAsia="宋体" w:hint="default"/>
                <w:sz w:val="18"/>
                <w:szCs w:val="18"/>
              </w:rPr>
            </w:pPr>
            <w:r>
              <w:rPr>
                <w:rFonts w:ascii="宋体" w:hAnsi="宋体" w:cs="宋体" w:eastAsia="宋体" w:hint="default"/>
                <w:sz w:val="18"/>
                <w:szCs w:val="18"/>
              </w:rPr>
              <w:t>直线法</w:t>
            </w:r>
          </w:p>
        </w:tc>
      </w:tr>
      <w:tr>
        <w:trPr>
          <w:trHeight w:val="348" w:hRule="exact"/>
        </w:trPr>
        <w:tc>
          <w:tcPr>
            <w:tcW w:w="2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著作权</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按照权证可使用期限</w:t>
            </w:r>
          </w:p>
        </w:tc>
        <w:tc>
          <w:tcPr>
            <w:tcW w:w="29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9"/>
              <w:jc w:val="center"/>
              <w:rPr>
                <w:rFonts w:ascii="宋体" w:hAnsi="宋体" w:cs="宋体" w:eastAsia="宋体" w:hint="default"/>
                <w:sz w:val="18"/>
                <w:szCs w:val="18"/>
              </w:rPr>
            </w:pPr>
            <w:r>
              <w:rPr>
                <w:rFonts w:ascii="宋体" w:hAnsi="宋体" w:cs="宋体" w:eastAsia="宋体" w:hint="default"/>
                <w:sz w:val="18"/>
                <w:szCs w:val="18"/>
              </w:rPr>
              <w:t>直线法</w:t>
            </w:r>
          </w:p>
        </w:tc>
      </w:tr>
    </w:tbl>
    <w:p>
      <w:pPr>
        <w:spacing w:line="240" w:lineRule="auto" w:before="3"/>
        <w:rPr>
          <w:rFonts w:ascii="宋体" w:hAnsi="宋体" w:cs="宋体" w:eastAsia="宋体" w:hint="default"/>
          <w:sz w:val="21"/>
          <w:szCs w:val="21"/>
        </w:rPr>
      </w:pPr>
    </w:p>
    <w:p>
      <w:pPr>
        <w:pStyle w:val="BodyText"/>
        <w:spacing w:line="240" w:lineRule="auto"/>
        <w:ind w:left="871" w:right="0"/>
        <w:jc w:val="left"/>
      </w:pPr>
      <w:r>
        <w:rPr/>
        <w:t>每期末，对使用寿命有限的无形资产的使用寿命及摊销方法进行复核，如与原先估计数存在差异的，进行相应的调</w:t>
      </w:r>
    </w:p>
    <w:p>
      <w:pPr>
        <w:pStyle w:val="BodyText"/>
        <w:spacing w:line="240" w:lineRule="auto" w:before="76"/>
        <w:ind w:left="511" w:right="0"/>
        <w:jc w:val="left"/>
      </w:pPr>
      <w:r>
        <w:rPr/>
        <w:t>整。</w:t>
      </w:r>
    </w:p>
    <w:p>
      <w:pPr>
        <w:pStyle w:val="BodyText"/>
        <w:spacing w:line="240" w:lineRule="auto" w:before="76"/>
        <w:ind w:left="871" w:right="0"/>
        <w:jc w:val="left"/>
      </w:pPr>
      <w:r>
        <w:rPr/>
        <w:t>经复核，本期期末无形资产的使用寿命及摊销方法与以前估计未有不同。</w:t>
      </w:r>
    </w:p>
    <w:p>
      <w:pPr>
        <w:pStyle w:val="BodyText"/>
        <w:spacing w:line="300" w:lineRule="auto" w:before="76"/>
        <w:ind w:left="871" w:right="0"/>
        <w:jc w:val="left"/>
      </w:pPr>
      <w:r>
        <w:rPr/>
        <w:t>（</w:t>
      </w:r>
      <w:r>
        <w:rPr>
          <w:rFonts w:ascii="Times New Roman" w:hAnsi="Times New Roman" w:cs="Times New Roman" w:eastAsia="Times New Roman" w:hint="default"/>
        </w:rPr>
        <w:t>2</w:t>
      </w:r>
      <w:r>
        <w:rPr/>
        <w:t>）使用寿命不确定的无形资产 </w:t>
      </w:r>
      <w:r>
        <w:rPr>
          <w:spacing w:val="-4"/>
        </w:rPr>
        <w:t>无法预见无形资产为企业带来经济利益期限的，视为使用寿命不确定的无形资产。对于使用寿命不确定的无形资产，</w:t>
      </w:r>
    </w:p>
    <w:p>
      <w:pPr>
        <w:pStyle w:val="BodyText"/>
        <w:spacing w:line="316" w:lineRule="auto" w:before="31"/>
        <w:ind w:left="511" w:right="1118"/>
        <w:jc w:val="left"/>
      </w:pPr>
      <w:r>
        <w:rPr>
          <w:spacing w:val="-2"/>
        </w:rPr>
        <w:t>在持有期间内不摊销，每期末对无形资产的寿命进行复核。如果期末重新复核后仍为不确定的，在每个会计期间继续进</w:t>
      </w:r>
      <w:r>
        <w:rPr>
          <w:spacing w:val="-67"/>
        </w:rPr>
        <w:t> </w:t>
      </w:r>
      <w:r>
        <w:rPr>
          <w:spacing w:val="-67"/>
        </w:rPr>
      </w:r>
      <w:r>
        <w:rPr/>
        <w:t>行减值测试。</w:t>
      </w:r>
    </w:p>
    <w:p>
      <w:pPr>
        <w:pStyle w:val="BodyText"/>
        <w:spacing w:line="240" w:lineRule="auto" w:before="19"/>
        <w:ind w:left="871" w:right="0"/>
        <w:jc w:val="left"/>
      </w:pPr>
      <w:r>
        <w:rPr/>
        <w:t>经复核，该类无形资产的使用寿命仍为不确定。</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2）内部研究开发支出会计政策" w:id="201"/>
      <w:bookmarkEnd w:id="201"/>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6"/>
          <w:szCs w:val="26"/>
        </w:rPr>
      </w:pPr>
    </w:p>
    <w:p>
      <w:pPr>
        <w:spacing w:line="309" w:lineRule="auto" w:before="0"/>
        <w:ind w:left="871"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、划分公司内部研究开发项目的研究阶段和开发阶段具体标准</w:t>
      </w:r>
      <w:r>
        <w:rPr>
          <w:rFonts w:ascii="宋体" w:hAnsi="宋体" w:cs="宋体" w:eastAsia="宋体" w:hint="default"/>
          <w:b/>
          <w:bCs/>
          <w:w w:val="99"/>
          <w:sz w:val="18"/>
          <w:szCs w:val="18"/>
        </w:rPr>
        <w:t> </w:t>
      </w:r>
      <w:r>
        <w:rPr>
          <w:rFonts w:ascii="宋体" w:hAnsi="宋体" w:cs="宋体" w:eastAsia="宋体" w:hint="default"/>
          <w:sz w:val="18"/>
          <w:szCs w:val="18"/>
        </w:rPr>
        <w:t>研究阶段：为获取并理解新的科学或技术知识等而进行的独创性的有计划调查、研究活动的阶段。 </w:t>
      </w:r>
      <w:r>
        <w:rPr>
          <w:rFonts w:ascii="宋体" w:hAnsi="宋体" w:cs="宋体" w:eastAsia="宋体" w:hint="default"/>
          <w:spacing w:val="-2"/>
          <w:sz w:val="18"/>
          <w:szCs w:val="18"/>
        </w:rPr>
        <w:t>开发阶段：在进行商业性生产或使用前，将研究成果或其他知识应用于某项计划或设计，以生产出新的或具有实质</w:t>
      </w:r>
    </w:p>
    <w:p>
      <w:pPr>
        <w:pStyle w:val="BodyText"/>
        <w:spacing w:line="312" w:lineRule="auto" w:before="24"/>
        <w:ind w:left="871" w:right="4095" w:hanging="361"/>
        <w:jc w:val="left"/>
      </w:pPr>
      <w:r>
        <w:rPr/>
        <w:t>性改进的材料、装置、产品等活动的阶段。 内部研究开发项目研究阶段的支出，在发生时计入当期损益。 </w:t>
      </w:r>
      <w:r>
        <w:rPr>
          <w:rFonts w:ascii="Times New Roman" w:hAnsi="Times New Roman" w:cs="Times New Roman" w:eastAsia="Times New Roman" w:hint="default"/>
          <w:b/>
          <w:bCs/>
        </w:rPr>
        <w:t>2</w:t>
      </w:r>
      <w:r>
        <w:rPr>
          <w:rFonts w:ascii="宋体" w:hAnsi="宋体" w:cs="宋体" w:eastAsia="宋体" w:hint="default"/>
          <w:b/>
          <w:bCs/>
        </w:rPr>
        <w:t>、开发阶段支出符合资本化的具体标准</w:t>
      </w:r>
      <w:r>
        <w:rPr>
          <w:rFonts w:ascii="宋体" w:hAnsi="宋体" w:cs="宋体" w:eastAsia="宋体" w:hint="default"/>
          <w:b/>
          <w:bCs/>
          <w:w w:val="99"/>
        </w:rPr>
        <w:t> </w:t>
      </w:r>
      <w:r>
        <w:rPr/>
        <w:t>内部研究开发项目开发阶段的支出，同时满足下列条件时确认为无形资产：</w:t>
      </w:r>
    </w:p>
    <w:p>
      <w:pPr>
        <w:pStyle w:val="BodyText"/>
        <w:spacing w:line="240" w:lineRule="auto" w:before="22"/>
        <w:ind w:left="871" w:right="0"/>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63"/>
        <w:ind w:left="871" w:right="0"/>
        <w:jc w:val="left"/>
      </w:pPr>
      <w:r>
        <w:rPr/>
        <w:t>（</w:t>
      </w:r>
      <w:r>
        <w:rPr>
          <w:rFonts w:ascii="Times New Roman" w:hAnsi="Times New Roman" w:cs="Times New Roman" w:eastAsia="Times New Roman" w:hint="default"/>
        </w:rPr>
        <w:t>2</w:t>
      </w:r>
      <w:r>
        <w:rPr/>
        <w:t>）具有完成该无形资产并使用或出售的意图；</w:t>
      </w:r>
    </w:p>
    <w:p>
      <w:pPr>
        <w:pStyle w:val="BodyText"/>
        <w:spacing w:line="300" w:lineRule="auto" w:before="63"/>
        <w:ind w:left="511" w:right="0" w:firstLine="360"/>
        <w:jc w:val="left"/>
      </w:pPr>
      <w:r>
        <w:rPr>
          <w:spacing w:val="-2"/>
        </w:rPr>
        <w:t>（</w:t>
      </w:r>
      <w:r>
        <w:rPr>
          <w:rFonts w:ascii="Times New Roman" w:hAnsi="Times New Roman" w:cs="Times New Roman" w:eastAsia="Times New Roman" w:hint="default"/>
          <w:spacing w:val="-2"/>
        </w:rPr>
        <w:t>3</w:t>
      </w:r>
      <w:r>
        <w:rPr>
          <w:spacing w:val="-2"/>
        </w:rPr>
        <w:t>）无形资产产生经济利益的方式，包括能够证明运用该无形资产生产的产品存在市场或无形资产自身存在市场，</w:t>
      </w:r>
      <w:r>
        <w:rPr/>
        <w:t> 无形资产将在内部使用的，能够证明其有用性；</w:t>
      </w:r>
    </w:p>
    <w:p>
      <w:pPr>
        <w:pStyle w:val="BodyText"/>
        <w:spacing w:line="240" w:lineRule="auto" w:before="31"/>
        <w:ind w:left="871" w:right="0"/>
        <w:jc w:val="left"/>
      </w:pPr>
      <w:r>
        <w:rPr/>
        <w:t>（</w:t>
      </w:r>
      <w:r>
        <w:rPr>
          <w:rFonts w:ascii="Times New Roman" w:hAnsi="Times New Roman" w:cs="Times New Roman" w:eastAsia="Times New Roman" w:hint="default"/>
        </w:rPr>
        <w:t>4</w:t>
      </w:r>
      <w:r>
        <w:rPr/>
        <w:t>）有足够的技术、财务资源和其他资源支持，以完成该无形资产的开发，并有能力使用或出售该无形资产；</w:t>
      </w:r>
    </w:p>
    <w:p>
      <w:pPr>
        <w:pStyle w:val="BodyText"/>
        <w:spacing w:line="300" w:lineRule="auto" w:before="63"/>
        <w:ind w:left="871" w:right="0"/>
        <w:jc w:val="left"/>
      </w:pPr>
      <w:r>
        <w:rPr/>
        <w:t>（</w:t>
      </w:r>
      <w:r>
        <w:rPr>
          <w:rFonts w:ascii="Times New Roman" w:hAnsi="Times New Roman" w:cs="Times New Roman" w:eastAsia="Times New Roman" w:hint="default"/>
        </w:rPr>
        <w:t>5</w:t>
      </w:r>
      <w:r>
        <w:rPr/>
        <w:t>）归属于该无形资产开发阶段的支出能够可靠地计量。 </w:t>
      </w:r>
      <w:r>
        <w:rPr>
          <w:spacing w:val="-2"/>
        </w:rPr>
        <w:t>不满足上述条件的开发阶段的支出，于发生时计入当期损益。以前期间已计入损益的开发支出不在以后期间重新确</w:t>
      </w:r>
    </w:p>
    <w:p>
      <w:pPr>
        <w:pStyle w:val="BodyText"/>
        <w:spacing w:line="240" w:lineRule="auto" w:before="31"/>
        <w:ind w:left="511" w:right="0"/>
        <w:jc w:val="left"/>
      </w:pPr>
      <w:r>
        <w:rPr/>
        <w:t>认为资产。已资本化的开发阶段的支出在资产负债表上列示为开发支出，自该项目达到预定用途之日起转为无形资产。</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4"/>
        <w:spacing w:line="240" w:lineRule="auto"/>
        <w:ind w:right="0"/>
        <w:jc w:val="left"/>
        <w:rPr>
          <w:b w:val="0"/>
          <w:bCs w:val="0"/>
        </w:rPr>
      </w:pPr>
      <w:bookmarkStart w:name="20、长期资产减值" w:id="202"/>
      <w:bookmarkEnd w:id="202"/>
      <w:r>
        <w:rPr>
          <w:b w:val="0"/>
          <w:bCs w:val="0"/>
        </w:rPr>
      </w:r>
      <w:r>
        <w:rPr>
          <w:rFonts w:ascii="Times New Roman" w:hAnsi="Times New Roman" w:cs="Times New Roman" w:eastAsia="Times New Roman" w:hint="default"/>
        </w:rPr>
        <w:t>20</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319" w:lineRule="auto" w:before="0"/>
        <w:ind w:left="511" w:right="1131" w:firstLine="360"/>
        <w:jc w:val="both"/>
      </w:pPr>
      <w:r>
        <w:rPr>
          <w:spacing w:val="-2"/>
        </w:rPr>
        <w:t>本公司在资产负债表日判断长期资产是否存在可能发生减值的迹象。如果长期资产存在减值迹象的，以单项资产为</w:t>
      </w:r>
      <w:r>
        <w:rPr/>
        <w:t> </w:t>
      </w:r>
      <w:r>
        <w:rPr>
          <w:spacing w:val="-2"/>
        </w:rPr>
        <w:t>基础估计其可收回金额；难以对单项资产的可收回金额进行估计的，以该资产所属的资产组为基础确定资产组的可收回</w:t>
      </w:r>
      <w:r>
        <w:rPr>
          <w:spacing w:val="-66"/>
        </w:rPr>
        <w:t> </w:t>
      </w:r>
      <w:r>
        <w:rPr>
          <w:spacing w:val="-66"/>
        </w:rPr>
      </w:r>
      <w:r>
        <w:rPr/>
        <w:t>金额。</w:t>
      </w:r>
    </w:p>
    <w:p>
      <w:pPr>
        <w:pStyle w:val="BodyText"/>
        <w:spacing w:line="240" w:lineRule="auto" w:before="17"/>
        <w:ind w:left="871" w:right="0"/>
        <w:jc w:val="left"/>
      </w:pPr>
      <w:r>
        <w:rPr/>
        <w:t>资产可收回金额的估计</w:t>
      </w:r>
      <w:r>
        <w:rPr>
          <w:spacing w:val="-80"/>
        </w:rPr>
        <w:t>，</w:t>
      </w:r>
      <w:r>
        <w:rPr/>
        <w:t>根据其公允价值减去处置费用后的净额与资产预计未来现金流量的现值两者之间较高者确</w:t>
      </w:r>
    </w:p>
    <w:p>
      <w:pPr>
        <w:pStyle w:val="BodyText"/>
        <w:spacing w:line="240" w:lineRule="auto" w:before="76"/>
        <w:ind w:left="511" w:right="0"/>
        <w:jc w:val="left"/>
      </w:pPr>
      <w:r>
        <w:rPr/>
        <w:t>定。</w:t>
      </w:r>
    </w:p>
    <w:p>
      <w:pPr>
        <w:pStyle w:val="BodyText"/>
        <w:spacing w:line="240" w:lineRule="auto" w:before="76"/>
        <w:ind w:left="871" w:right="0"/>
        <w:jc w:val="left"/>
      </w:pPr>
      <w:r>
        <w:rPr/>
        <w:t>可收回金额的计量结果表明</w:t>
      </w:r>
      <w:r>
        <w:rPr>
          <w:spacing w:val="-85"/>
        </w:rPr>
        <w:t>，</w:t>
      </w:r>
      <w:r>
        <w:rPr/>
        <w:t>长期资产的可收回金额低于其账面价值的</w:t>
      </w:r>
      <w:r>
        <w:rPr>
          <w:spacing w:val="-85"/>
        </w:rPr>
        <w:t>，</w:t>
      </w:r>
      <w:r>
        <w:rPr/>
        <w:t>将长期资产的账面价值减记至可收回金额，</w:t>
      </w:r>
    </w:p>
    <w:p>
      <w:pPr>
        <w:pStyle w:val="BodyText"/>
        <w:spacing w:line="316" w:lineRule="auto" w:before="76"/>
        <w:ind w:left="511" w:right="1129"/>
        <w:jc w:val="both"/>
      </w:pPr>
      <w:r>
        <w:rPr>
          <w:spacing w:val="-2"/>
        </w:rPr>
        <w:t>减记的金额确认为资产减值损失，计入当期损益，同时计提相应的资产减值准备。资产减值损失一经确认，在以后会计</w:t>
      </w:r>
      <w:r>
        <w:rPr>
          <w:spacing w:val="-67"/>
        </w:rPr>
        <w:t> </w:t>
      </w:r>
      <w:r>
        <w:rPr>
          <w:spacing w:val="-67"/>
        </w:rPr>
      </w:r>
      <w:r>
        <w:rPr/>
        <w:t>期间不得转回。</w:t>
      </w:r>
    </w:p>
    <w:p>
      <w:pPr>
        <w:pStyle w:val="BodyText"/>
        <w:spacing w:line="316" w:lineRule="auto" w:before="19"/>
        <w:ind w:left="511" w:right="0" w:firstLine="360"/>
        <w:jc w:val="left"/>
      </w:pPr>
      <w:r>
        <w:rPr>
          <w:spacing w:val="-2"/>
        </w:rPr>
        <w:t>资产减值损失确认后，减值资产的折旧或者摊销费用在未来期间作相应调整，以使该资产在剩余使用寿命内，系统</w:t>
      </w:r>
      <w:r>
        <w:rPr/>
        <w:t> 地分摊调整后的资产账面价值（扣除预计净残值）。</w:t>
      </w:r>
    </w:p>
    <w:p>
      <w:pPr>
        <w:pStyle w:val="BodyText"/>
        <w:spacing w:line="316" w:lineRule="auto" w:before="19"/>
        <w:ind w:left="871" w:right="0"/>
        <w:jc w:val="left"/>
      </w:pPr>
      <w:r>
        <w:rPr/>
        <w:t>因企业合并所形成的商誉和使用寿命不确定的无形资产，无论是否存在减值迹象，每年都进行减值测试。 </w:t>
      </w:r>
      <w:r>
        <w:rPr>
          <w:spacing w:val="-2"/>
        </w:rPr>
        <w:t>在对商誉进行减值测试时，将商誉的账面价值分摊至预期从企业合并的协同效应中受益的资产组或资产组组合。在</w:t>
      </w:r>
    </w:p>
    <w:p>
      <w:pPr>
        <w:pStyle w:val="BodyText"/>
        <w:spacing w:line="316" w:lineRule="auto" w:before="19"/>
        <w:ind w:left="511" w:right="1131"/>
        <w:jc w:val="both"/>
      </w:pPr>
      <w:r>
        <w:rPr>
          <w:spacing w:val="-2"/>
        </w:rPr>
        <w:t>对包含商誉的相关资产组或者资产组组合进行减值测试时，如与商誉相关的资产组或者资产组组合存在减值迹象的，先</w:t>
      </w:r>
      <w:r>
        <w:rPr>
          <w:spacing w:val="-66"/>
        </w:rPr>
        <w:t> </w:t>
      </w:r>
      <w:r>
        <w:rPr>
          <w:spacing w:val="-66"/>
        </w:rPr>
      </w:r>
      <w:r>
        <w:rPr>
          <w:spacing w:val="-2"/>
        </w:rPr>
        <w:t>对不包含商誉的资产组或者资产组组合进行减值测试，计算可收回金额，并与相关账面价值相比较，确认相应的减值损</w:t>
      </w:r>
      <w:r>
        <w:rPr>
          <w:spacing w:val="-67"/>
        </w:rPr>
        <w:t> </w:t>
      </w:r>
      <w:r>
        <w:rPr>
          <w:spacing w:val="-67"/>
        </w:rPr>
      </w:r>
      <w:r>
        <w:rPr>
          <w:spacing w:val="-2"/>
        </w:rPr>
        <w:t>失。再对包含商誉的资产组或者资产组组合进行减值测试，比较这些相关资产组或者资产组组合的账面价值（包括所分</w:t>
      </w:r>
      <w:r>
        <w:rPr>
          <w:spacing w:val="-67"/>
        </w:rPr>
        <w:t> </w:t>
      </w:r>
      <w:r>
        <w:rPr>
          <w:spacing w:val="-67"/>
        </w:rPr>
      </w:r>
      <w:r>
        <w:rPr>
          <w:spacing w:val="-2"/>
        </w:rPr>
        <w:t>摊的商誉的账面价值部分）与其可收回金额，如相关资产组或者资产组组合的可收回金额低于其账面价值的，确认商誉</w:t>
      </w:r>
      <w:r>
        <w:rPr>
          <w:spacing w:val="-67"/>
        </w:rPr>
        <w:t> </w:t>
      </w:r>
      <w:r>
        <w:rPr>
          <w:spacing w:val="-67"/>
        </w:rPr>
      </w:r>
      <w:r>
        <w:rPr/>
        <w:t>的减值损失。</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6"/>
          <w:szCs w:val="16"/>
        </w:rPr>
      </w:pPr>
    </w:p>
    <w:p>
      <w:pPr>
        <w:pStyle w:val="Heading4"/>
        <w:spacing w:line="240" w:lineRule="auto"/>
        <w:ind w:right="0"/>
        <w:jc w:val="left"/>
        <w:rPr>
          <w:b w:val="0"/>
          <w:bCs w:val="0"/>
        </w:rPr>
      </w:pPr>
      <w:bookmarkStart w:name="21、长期待摊费用" w:id="203"/>
      <w:bookmarkEnd w:id="203"/>
      <w:r>
        <w:rPr>
          <w:b w:val="0"/>
          <w:bCs w:val="0"/>
        </w:rPr>
      </w:r>
      <w:r>
        <w:rPr>
          <w:rFonts w:ascii="Times New Roman" w:hAnsi="Times New Roman" w:cs="Times New Roman" w:eastAsia="Times New Roman" w:hint="default"/>
        </w:rPr>
        <w:t>21</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300" w:lineRule="auto" w:before="0"/>
        <w:ind w:left="511" w:right="1125" w:firstLine="360"/>
        <w:jc w:val="left"/>
      </w:pPr>
      <w:r>
        <w:rPr/>
        <w:t>长期待摊费用，是指本公司已经发生但应由本期和以后各期负担的分摊期限在</w:t>
      </w:r>
      <w:r>
        <w:rPr>
          <w:rFonts w:ascii="Times New Roman" w:hAnsi="Times New Roman" w:cs="Times New Roman" w:eastAsia="Times New Roman" w:hint="default"/>
        </w:rPr>
        <w:t>1</w:t>
      </w:r>
      <w:r>
        <w:rPr/>
        <w:t>年以上的各项费用。长期待摊费用 在受益期内按直线法分期摊销。</w:t>
      </w:r>
    </w:p>
    <w:p>
      <w:pPr>
        <w:spacing w:after="0" w:line="30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86"/>
        <w:ind w:right="0"/>
        <w:jc w:val="left"/>
        <w:rPr>
          <w:b w:val="0"/>
          <w:bCs w:val="0"/>
        </w:rPr>
      </w:pPr>
      <w:bookmarkStart w:name="22、职工薪酬" w:id="204"/>
      <w:bookmarkEnd w:id="204"/>
      <w:r>
        <w:rPr>
          <w:b w:val="0"/>
          <w:bCs w:val="0"/>
        </w:rPr>
      </w:r>
      <w:r>
        <w:rPr>
          <w:rFonts w:ascii="Times New Roman" w:hAnsi="Times New Roman" w:cs="Times New Roman" w:eastAsia="Times New Roman" w:hint="default"/>
        </w:rPr>
        <w:t>22</w:t>
      </w:r>
      <w:r>
        <w:rPr/>
        <w:t>、职工薪酬</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短期薪酬的会计处理方法" w:id="205"/>
      <w:bookmarkEnd w:id="205"/>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left="511" w:right="1131" w:firstLine="360"/>
        <w:jc w:val="both"/>
      </w:pPr>
      <w:r>
        <w:rPr>
          <w:spacing w:val="-2"/>
        </w:rPr>
        <w:t>短期薪酬是指本公司在职工提供相关服务的年度报告期间结束后十二个月内需要全部予以支付的职工薪酬，离职后</w:t>
      </w:r>
      <w:r>
        <w:rPr/>
        <w:t> </w:t>
      </w:r>
      <w:r>
        <w:rPr>
          <w:spacing w:val="-2"/>
        </w:rPr>
        <w:t>福利和辞退福利除外。本公司在职工提供服务的会计期间，将应付的短期薪酬确认为负债，并根据职工提供服务的受益</w:t>
      </w:r>
      <w:r>
        <w:rPr>
          <w:spacing w:val="-67"/>
        </w:rPr>
        <w:t> </w:t>
      </w:r>
      <w:r>
        <w:rPr>
          <w:spacing w:val="-67"/>
        </w:rPr>
      </w:r>
      <w:r>
        <w:rPr/>
        <w:t>对象计入相关资产成本和费用。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5"/>
        <w:ind w:right="0"/>
        <w:jc w:val="left"/>
        <w:rPr>
          <w:b w:val="0"/>
          <w:bCs w:val="0"/>
        </w:rPr>
      </w:pPr>
      <w:bookmarkStart w:name="（2）离职后福利的会计处理方法" w:id="206"/>
      <w:bookmarkEnd w:id="206"/>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left="511" w:right="1131" w:firstLine="360"/>
        <w:jc w:val="both"/>
      </w:pPr>
      <w:r>
        <w:rPr>
          <w:spacing w:val="-2"/>
        </w:rPr>
        <w:t>离职后福利是指本公司为获得职工提供的服务而在职工退休或与企业解除劳动关系后，提供的各种形式的报酬和福</w:t>
      </w:r>
      <w:r>
        <w:rPr/>
        <w:t> 利，短期薪酬和辞退福利除外。</w:t>
      </w:r>
    </w:p>
    <w:p>
      <w:pPr>
        <w:pStyle w:val="BodyText"/>
        <w:spacing w:line="316" w:lineRule="auto" w:before="19"/>
        <w:ind w:left="871" w:right="0"/>
        <w:jc w:val="left"/>
      </w:pPr>
      <w:r>
        <w:rPr/>
        <w:t>本公司的离职后福利计划分类为设定提存计划和设定受益计划。 </w:t>
      </w:r>
      <w:r>
        <w:rPr>
          <w:spacing w:val="-2"/>
        </w:rPr>
        <w:t>离职后福利设定提存计划主要为参加由各地劳动及社会保障机构组织实施的社会基本养老保险、失业保险等。在职</w:t>
      </w:r>
    </w:p>
    <w:p>
      <w:pPr>
        <w:pStyle w:val="BodyText"/>
        <w:spacing w:line="316" w:lineRule="auto" w:before="19"/>
        <w:ind w:left="871" w:right="0" w:hanging="361"/>
        <w:jc w:val="left"/>
      </w:pPr>
      <w:r>
        <w:rPr>
          <w:spacing w:val="-4"/>
        </w:rPr>
        <w:t>工为本公司提供服务的会计期间，将根据设定提存计划计算的应缴存金额确认为负债，并计入当期损益或相关资产成本。</w:t>
      </w:r>
      <w:r>
        <w:rPr>
          <w:spacing w:val="-48"/>
        </w:rPr>
        <w:t> </w:t>
      </w:r>
      <w:r>
        <w:rPr>
          <w:spacing w:val="-48"/>
        </w:rPr>
      </w:r>
      <w:r>
        <w:rPr/>
        <w:t>本公司按照国家规定的标准和年金计划定期缴付上述款项后，不再有其他的支付义务。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5"/>
        <w:ind w:right="0"/>
        <w:jc w:val="left"/>
        <w:rPr>
          <w:b w:val="0"/>
          <w:bCs w:val="0"/>
        </w:rPr>
      </w:pPr>
      <w:bookmarkStart w:name="（3）辞退福利的会计处理方法" w:id="207"/>
      <w:bookmarkEnd w:id="207"/>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left="511" w:right="1131" w:firstLine="360"/>
        <w:jc w:val="both"/>
      </w:pPr>
      <w:r>
        <w:rPr>
          <w:spacing w:val="-2"/>
        </w:rPr>
        <w:t>辞退福利是指本公司在职工劳动合同到期之前解除与职工的劳动关系，或者为鼓励职工自愿接受裁减而给予职工的</w:t>
      </w:r>
      <w:r>
        <w:rPr/>
        <w:t> </w:t>
      </w:r>
      <w:r>
        <w:rPr>
          <w:spacing w:val="-2"/>
        </w:rPr>
        <w:t>补偿，在本公司不能单方面撤回解除劳动关系计划或裁减建议时和确认与涉及支付辞退福利的重组相关的成本费用时两</w:t>
      </w:r>
      <w:r>
        <w:rPr>
          <w:spacing w:val="-66"/>
        </w:rPr>
        <w:t> </w:t>
      </w:r>
      <w:r>
        <w:rPr>
          <w:spacing w:val="-66"/>
        </w:rPr>
      </w:r>
      <w:r>
        <w:rPr/>
        <w:t>者孰早日，确认因解除与职工的劳动关系给予补偿而产生的负债，同时计入当期损益。</w:t>
      </w:r>
    </w:p>
    <w:p>
      <w:pPr>
        <w:pStyle w:val="BodyText"/>
        <w:spacing w:line="316" w:lineRule="auto" w:before="19"/>
        <w:ind w:left="511" w:right="0" w:firstLine="360"/>
        <w:jc w:val="left"/>
      </w:pPr>
      <w:r>
        <w:rPr>
          <w:spacing w:val="-2"/>
        </w:rPr>
        <w:t>本公司向接受内部退休安排的职工提供内退福利。内退福利是指，向未达到国家规定的退休年龄、经本公司管理层</w:t>
      </w:r>
      <w:r>
        <w:rPr/>
        <w:t> </w:t>
      </w:r>
      <w:r>
        <w:rPr>
          <w:spacing w:val="-2"/>
        </w:rPr>
        <w:t>批准自愿退出工作岗位的职工支付的工资及为其缴纳的社会保险费等。本公司自内部退休安排开始之日起至职工达到正</w:t>
      </w:r>
      <w:r>
        <w:rPr>
          <w:spacing w:val="-66"/>
        </w:rPr>
        <w:t> </w:t>
      </w:r>
      <w:r>
        <w:rPr>
          <w:spacing w:val="-66"/>
        </w:rPr>
      </w:r>
      <w:r>
        <w:rPr>
          <w:spacing w:val="-2"/>
        </w:rPr>
        <w:t>常退休年龄止，向内退职工支付内部退养福利。对于内退福利，本公司比照辞退福利进行会计处理，在符合辞退福利相</w:t>
      </w:r>
      <w:r>
        <w:rPr>
          <w:spacing w:val="-68"/>
        </w:rPr>
        <w:t> </w:t>
      </w:r>
      <w:r>
        <w:rPr>
          <w:spacing w:val="-68"/>
        </w:rPr>
      </w:r>
      <w:r>
        <w:rPr>
          <w:spacing w:val="-4"/>
        </w:rPr>
        <w:t>关确认条件时，将自职工停止提供服务日至正常退休日期间拟支付的内退职工工资和缴纳的社会保险费等，确认为负债，</w:t>
      </w:r>
      <w:r>
        <w:rPr>
          <w:spacing w:val="-48"/>
        </w:rPr>
        <w:t> </w:t>
      </w:r>
      <w:r>
        <w:rPr>
          <w:spacing w:val="-48"/>
        </w:rPr>
      </w:r>
      <w:r>
        <w:rPr/>
        <w:t>一次性计入当期损益。内退福利的精算假设变化及福利标准调整引起的差异于发生时计入当期损益。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5"/>
        <w:ind w:right="0"/>
        <w:jc w:val="left"/>
        <w:rPr>
          <w:b w:val="0"/>
          <w:bCs w:val="0"/>
        </w:rPr>
      </w:pPr>
      <w:bookmarkStart w:name="（4）其他长期职工福利的会计处理方法" w:id="208"/>
      <w:bookmarkEnd w:id="208"/>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left="871" w:right="1035"/>
        <w:jc w:val="left"/>
      </w:pPr>
      <w:r>
        <w:rPr/>
        <w:t>其他长期职工福利是指除短期薪酬、离职后福利、辞退福利之外的其他所有职工福利。 对符合设定提存计划条件的其他长期职工福利，在职工为本公司提供服务的会计期间，将应缴存金额确认为负债，</w:t>
      </w:r>
    </w:p>
    <w:p>
      <w:pPr>
        <w:pStyle w:val="BodyText"/>
        <w:spacing w:line="316" w:lineRule="auto" w:before="19"/>
        <w:ind w:left="511" w:right="0"/>
        <w:jc w:val="left"/>
      </w:pPr>
      <w:r>
        <w:rPr>
          <w:spacing w:val="-2"/>
        </w:rPr>
        <w:t>并计入当期损益或相关资产成本；除上述情形外的其他长期职工福利，在资产负债表日将设定受益计划产生的福利义务</w:t>
      </w:r>
      <w:r>
        <w:rPr>
          <w:spacing w:val="-66"/>
        </w:rPr>
        <w:t> </w:t>
      </w:r>
      <w:r>
        <w:rPr>
          <w:spacing w:val="-66"/>
        </w:rPr>
      </w:r>
      <w:r>
        <w:rPr/>
        <w:t>归属于职工提供服务的期间，并计入当期损益或相关资产成本。</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6"/>
        <w:ind w:right="0"/>
        <w:jc w:val="left"/>
        <w:rPr>
          <w:b w:val="0"/>
          <w:bCs w:val="0"/>
        </w:rPr>
      </w:pPr>
      <w:bookmarkStart w:name="23、预计负债" w:id="209"/>
      <w:bookmarkEnd w:id="209"/>
      <w:r>
        <w:rPr>
          <w:b w:val="0"/>
          <w:bCs w:val="0"/>
        </w:rPr>
      </w:r>
      <w:r>
        <w:rPr>
          <w:rFonts w:ascii="Times New Roman" w:hAnsi="Times New Roman" w:cs="Times New Roman" w:eastAsia="Times New Roman" w:hint="default"/>
        </w:rPr>
        <w:t>23</w:t>
      </w:r>
      <w:r>
        <w:rPr/>
        <w:t>、预计负债</w:t>
      </w:r>
      <w:r>
        <w:rPr>
          <w:b w:val="0"/>
          <w:bCs w:val="0"/>
        </w:rPr>
      </w:r>
    </w:p>
    <w:p>
      <w:pPr>
        <w:spacing w:line="240" w:lineRule="auto" w:before="7"/>
        <w:rPr>
          <w:rFonts w:ascii="宋体" w:hAnsi="宋体" w:cs="宋体" w:eastAsia="宋体" w:hint="default"/>
          <w:b/>
          <w:bCs/>
          <w:sz w:val="26"/>
          <w:szCs w:val="26"/>
        </w:rPr>
      </w:pPr>
    </w:p>
    <w:p>
      <w:pPr>
        <w:spacing w:line="300" w:lineRule="auto" w:before="0"/>
        <w:ind w:left="871" w:right="4455"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、预计负债的确认标准</w:t>
      </w:r>
      <w:r>
        <w:rPr>
          <w:rFonts w:ascii="宋体" w:hAnsi="宋体" w:cs="宋体" w:eastAsia="宋体" w:hint="default"/>
          <w:b/>
          <w:bCs/>
          <w:w w:val="99"/>
          <w:sz w:val="18"/>
          <w:szCs w:val="18"/>
        </w:rPr>
        <w:t> </w:t>
      </w:r>
      <w:r>
        <w:rPr>
          <w:rFonts w:ascii="宋体" w:hAnsi="宋体" w:cs="宋体" w:eastAsia="宋体" w:hint="default"/>
          <w:sz w:val="18"/>
          <w:szCs w:val="18"/>
        </w:rPr>
        <w:t>与或有事项相关的义务同时满足下列条件时，本公司确认为预计负债：</w:t>
      </w:r>
    </w:p>
    <w:p>
      <w:pPr>
        <w:spacing w:after="0" w:line="30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ind w:left="871" w:right="6435"/>
        <w:jc w:val="left"/>
        <w:rPr>
          <w:rFonts w:ascii="宋体" w:hAnsi="宋体" w:cs="宋体" w:eastAsia="宋体" w:hint="default"/>
        </w:rPr>
      </w:pPr>
      <w:r>
        <w:rPr/>
        <w:t>该义务是本公司承担的现时义务； 履行该义务很可能导致经济利益流出本公司； 该义务的金额能够可靠地计量。 </w:t>
      </w:r>
      <w:r>
        <w:rPr>
          <w:rFonts w:ascii="Times New Roman" w:hAnsi="Times New Roman" w:cs="Times New Roman" w:eastAsia="Times New Roman" w:hint="default"/>
          <w:b/>
          <w:bCs/>
        </w:rPr>
        <w:t>2</w:t>
      </w:r>
      <w:r>
        <w:rPr>
          <w:rFonts w:ascii="宋体" w:hAnsi="宋体" w:cs="宋体" w:eastAsia="宋体" w:hint="default"/>
          <w:b/>
          <w:bCs/>
        </w:rPr>
        <w:t>、预计负债的计量方法</w:t>
      </w:r>
      <w:r>
        <w:rPr>
          <w:rFonts w:ascii="宋体" w:hAnsi="宋体" w:cs="宋体" w:eastAsia="宋体" w:hint="default"/>
        </w:rPr>
      </w:r>
    </w:p>
    <w:p>
      <w:pPr>
        <w:pStyle w:val="BodyText"/>
        <w:spacing w:line="316" w:lineRule="auto" w:before="0"/>
        <w:ind w:left="871" w:right="0"/>
        <w:jc w:val="left"/>
      </w:pPr>
      <w:r>
        <w:rPr/>
        <w:t>本公司预计负债按履行相关现时义务所需的支出的最佳估计数进行初始计量。 </w:t>
      </w:r>
      <w:r>
        <w:rPr>
          <w:spacing w:val="-2"/>
        </w:rPr>
        <w:t>本公司在确定最佳估计数时，综合考虑与或有事项有关的风险、不确定性和货币时间价值等因素。对于货币时间价</w:t>
      </w:r>
    </w:p>
    <w:p>
      <w:pPr>
        <w:pStyle w:val="BodyText"/>
        <w:spacing w:line="316" w:lineRule="auto" w:before="19"/>
        <w:ind w:left="871" w:right="4816" w:hanging="361"/>
        <w:jc w:val="left"/>
      </w:pPr>
      <w:r>
        <w:rPr/>
        <w:t>值影响重大的，通过对相关未来现金流出进行折现后确定最佳估计数。 最佳估计数分别以下情况处理：</w:t>
      </w:r>
    </w:p>
    <w:p>
      <w:pPr>
        <w:pStyle w:val="BodyText"/>
        <w:spacing w:line="316" w:lineRule="auto" w:before="19"/>
        <w:ind w:left="511" w:right="0" w:firstLine="360"/>
        <w:jc w:val="left"/>
      </w:pPr>
      <w:r>
        <w:rPr>
          <w:spacing w:val="-2"/>
        </w:rPr>
        <w:t>所需支出存在一个连续范围（或区间），且该范围内各种结果发生的可能性相同的，则最佳估计数按照该范围的中</w:t>
      </w:r>
      <w:r>
        <w:rPr/>
        <w:t> 间值即上下限金额的平均数确定。</w:t>
      </w:r>
    </w:p>
    <w:p>
      <w:pPr>
        <w:pStyle w:val="BodyText"/>
        <w:spacing w:line="316" w:lineRule="auto" w:before="19"/>
        <w:ind w:left="511" w:right="1035" w:firstLine="360"/>
        <w:jc w:val="left"/>
      </w:pPr>
      <w:r>
        <w:rPr/>
        <w:t>所需支出不存在一个连续范围（或区间），或虽然存在一个连续范围但该范围内各种结果发生的可能性不相同的， </w:t>
      </w:r>
      <w:r>
        <w:rPr>
          <w:spacing w:val="-2"/>
        </w:rPr>
        <w:t>如或有事项涉及单个项目的，则最佳估计数按照最可能发生金额确定；如或有事项涉及多个项目的，则最佳估计数按各</w:t>
      </w:r>
      <w:r>
        <w:rPr>
          <w:spacing w:val="-67"/>
        </w:rPr>
        <w:t> </w:t>
      </w:r>
      <w:r>
        <w:rPr>
          <w:spacing w:val="-67"/>
        </w:rPr>
      </w:r>
      <w:r>
        <w:rPr/>
        <w:t>种可能结果及相关概率计算确定。</w:t>
      </w:r>
    </w:p>
    <w:p>
      <w:pPr>
        <w:pStyle w:val="BodyText"/>
        <w:spacing w:line="316" w:lineRule="auto" w:before="19"/>
        <w:ind w:left="511" w:right="0" w:firstLine="360"/>
        <w:jc w:val="left"/>
      </w:pPr>
      <w:r>
        <w:rPr>
          <w:spacing w:val="-2"/>
        </w:rPr>
        <w:t>本公司清偿预计负债所需支出全部或部分预期由第三方补偿的，补偿金额在基本确定能够收到时，作为资产单独确</w:t>
      </w:r>
      <w:r>
        <w:rPr/>
        <w:t> 认，确认的补偿金额不超过预计负债的账面价值。</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5"/>
        <w:ind w:right="0"/>
        <w:jc w:val="left"/>
        <w:rPr>
          <w:b w:val="0"/>
          <w:bCs w:val="0"/>
        </w:rPr>
      </w:pPr>
      <w:bookmarkStart w:name="24、股份支付" w:id="210"/>
      <w:bookmarkEnd w:id="210"/>
      <w:r>
        <w:rPr>
          <w:b w:val="0"/>
          <w:bCs w:val="0"/>
        </w:rPr>
      </w:r>
      <w:r>
        <w:rPr>
          <w:rFonts w:ascii="Times New Roman" w:hAnsi="Times New Roman" w:cs="Times New Roman" w:eastAsia="Times New Roman" w:hint="default"/>
        </w:rPr>
        <w:t>24</w:t>
      </w:r>
      <w:r>
        <w:rPr/>
        <w:t>、股份支付</w:t>
      </w:r>
      <w:r>
        <w:rPr>
          <w:b w:val="0"/>
          <w:bCs w:val="0"/>
        </w:rPr>
      </w:r>
    </w:p>
    <w:p>
      <w:pPr>
        <w:spacing w:line="240" w:lineRule="auto" w:before="7"/>
        <w:rPr>
          <w:rFonts w:ascii="宋体" w:hAnsi="宋体" w:cs="宋体" w:eastAsia="宋体" w:hint="default"/>
          <w:b/>
          <w:bCs/>
          <w:sz w:val="26"/>
          <w:szCs w:val="26"/>
        </w:rPr>
      </w:pPr>
    </w:p>
    <w:p>
      <w:pPr>
        <w:spacing w:line="309" w:lineRule="auto" w:before="0"/>
        <w:ind w:left="871" w:right="4275"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、股份支付的种类</w:t>
      </w:r>
      <w:r>
        <w:rPr>
          <w:rFonts w:ascii="宋体" w:hAnsi="宋体" w:cs="宋体" w:eastAsia="宋体" w:hint="default"/>
          <w:b/>
          <w:bCs/>
          <w:w w:val="99"/>
          <w:sz w:val="18"/>
          <w:szCs w:val="18"/>
        </w:rPr>
        <w:t> </w:t>
      </w:r>
      <w:r>
        <w:rPr>
          <w:rFonts w:ascii="宋体" w:hAnsi="宋体" w:cs="宋体" w:eastAsia="宋体" w:hint="default"/>
          <w:sz w:val="18"/>
          <w:szCs w:val="18"/>
        </w:rPr>
        <w:t>本公司的股份支付分为以权益结算的股份支付和以现金结算的股份支付。 </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、权益工具公允价值的确定方法</w:t>
      </w:r>
      <w:r>
        <w:rPr>
          <w:rFonts w:ascii="宋体" w:hAnsi="宋体" w:cs="宋体" w:eastAsia="宋体" w:hint="default"/>
          <w:sz w:val="18"/>
          <w:szCs w:val="18"/>
        </w:rPr>
      </w:r>
    </w:p>
    <w:p>
      <w:pPr>
        <w:pStyle w:val="BodyText"/>
        <w:spacing w:line="316" w:lineRule="auto" w:before="5"/>
        <w:ind w:left="511" w:right="0" w:firstLine="360"/>
        <w:jc w:val="left"/>
      </w:pPr>
      <w:r>
        <w:rPr>
          <w:spacing w:val="-2"/>
        </w:rPr>
        <w:t>对于授予的存在活跃市场的期权等权益工具，按照活跃市场中的报价确定其公允价值。对于授予的不存在活跃市场</w:t>
      </w:r>
      <w:r>
        <w:rPr/>
        <w:t> </w:t>
      </w:r>
      <w:r>
        <w:rPr>
          <w:spacing w:val="-2"/>
        </w:rPr>
        <w:t>的期权等权益工具，采用期权定价模型等确定其公允价值，选用的期权定价模型考虑以下因素：（</w:t>
      </w:r>
      <w:r>
        <w:rPr>
          <w:rFonts w:ascii="Times New Roman" w:hAnsi="Times New Roman" w:cs="Times New Roman" w:eastAsia="Times New Roman" w:hint="default"/>
          <w:spacing w:val="-2"/>
        </w:rPr>
        <w:t>1</w:t>
      </w:r>
      <w:r>
        <w:rPr>
          <w:spacing w:val="-2"/>
        </w:rPr>
        <w:t>）期权的行权价格；</w:t>
      </w:r>
    </w:p>
    <w:p>
      <w:pPr>
        <w:pStyle w:val="BodyText"/>
        <w:spacing w:line="300" w:lineRule="auto" w:before="0"/>
        <w:ind w:left="511" w:right="1141"/>
        <w:jc w:val="both"/>
      </w:pPr>
      <w:r>
        <w:rPr/>
        <w:t>（</w:t>
      </w:r>
      <w:r>
        <w:rPr>
          <w:rFonts w:ascii="Times New Roman" w:hAnsi="Times New Roman" w:cs="Times New Roman" w:eastAsia="Times New Roman" w:hint="default"/>
        </w:rPr>
        <w:t>2</w:t>
      </w:r>
      <w:r>
        <w:rPr/>
        <w:t>）期权的有效期；（</w:t>
      </w:r>
      <w:r>
        <w:rPr>
          <w:rFonts w:ascii="Times New Roman" w:hAnsi="Times New Roman" w:cs="Times New Roman" w:eastAsia="Times New Roman" w:hint="default"/>
        </w:rPr>
        <w:t>3</w:t>
      </w:r>
      <w:r>
        <w:rPr/>
        <w:t>）标的股份的现行价格；（</w:t>
      </w:r>
      <w:r>
        <w:rPr>
          <w:rFonts w:ascii="Times New Roman" w:hAnsi="Times New Roman" w:cs="Times New Roman" w:eastAsia="Times New Roman" w:hint="default"/>
        </w:rPr>
        <w:t>4</w:t>
      </w:r>
      <w:r>
        <w:rPr/>
        <w:t>）股价预计波动率；（</w:t>
      </w:r>
      <w:r>
        <w:rPr>
          <w:rFonts w:ascii="Times New Roman" w:hAnsi="Times New Roman" w:cs="Times New Roman" w:eastAsia="Times New Roman" w:hint="default"/>
        </w:rPr>
        <w:t>5</w:t>
      </w:r>
      <w:r>
        <w:rPr/>
        <w:t>）股份的预计股利；（</w:t>
      </w:r>
      <w:r>
        <w:rPr>
          <w:rFonts w:ascii="Times New Roman" w:hAnsi="Times New Roman" w:cs="Times New Roman" w:eastAsia="Times New Roman" w:hint="default"/>
        </w:rPr>
        <w:t>6</w:t>
      </w:r>
      <w:r>
        <w:rPr/>
        <w:t>）期权有效期内 的无风险利率。</w:t>
      </w:r>
    </w:p>
    <w:p>
      <w:pPr>
        <w:pStyle w:val="BodyText"/>
        <w:spacing w:line="316" w:lineRule="auto" w:before="31"/>
        <w:ind w:left="511" w:right="1035" w:firstLine="360"/>
        <w:jc w:val="left"/>
      </w:pPr>
      <w:r>
        <w:rPr/>
        <w:t>在确定权益工具授予日的公允价值时，考虑股份支付协议规定的可行权条件中的市场条件和非可行权条件的影响。 </w:t>
      </w:r>
      <w:r>
        <w:rPr>
          <w:spacing w:val="-2"/>
        </w:rPr>
        <w:t>股份支付存在非可行权条件的，只要职工或其他方满足了所有可行权条件中的非市场条件（如服务期限等），即确认已</w:t>
      </w:r>
      <w:r>
        <w:rPr>
          <w:spacing w:val="-67"/>
        </w:rPr>
        <w:t> </w:t>
      </w:r>
      <w:r>
        <w:rPr>
          <w:spacing w:val="-67"/>
        </w:rPr>
      </w:r>
      <w:r>
        <w:rPr/>
        <w:t>得到服务相对应的成本费用。</w:t>
      </w:r>
    </w:p>
    <w:p>
      <w:pPr>
        <w:spacing w:line="300" w:lineRule="auto" w:before="19"/>
        <w:ind w:left="871"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、确定可行权权益工具最佳估计的依据</w:t>
      </w:r>
      <w:r>
        <w:rPr>
          <w:rFonts w:ascii="宋体" w:hAnsi="宋体" w:cs="宋体" w:eastAsia="宋体" w:hint="default"/>
          <w:b/>
          <w:bCs/>
          <w:w w:val="99"/>
          <w:sz w:val="18"/>
          <w:szCs w:val="18"/>
        </w:rPr>
        <w:t> </w:t>
      </w:r>
      <w:r>
        <w:rPr>
          <w:rFonts w:ascii="宋体" w:hAnsi="宋体" w:cs="宋体" w:eastAsia="宋体" w:hint="default"/>
          <w:spacing w:val="-2"/>
          <w:sz w:val="18"/>
          <w:szCs w:val="18"/>
        </w:rPr>
        <w:t>等待期内每个资产负债表日，根据最新取得的可行权职工人数变动等后续信息作出最佳估计，修正预计可行权的权</w:t>
      </w:r>
    </w:p>
    <w:p>
      <w:pPr>
        <w:pStyle w:val="BodyText"/>
        <w:spacing w:line="240" w:lineRule="auto" w:before="31"/>
        <w:ind w:left="511" w:right="0"/>
        <w:jc w:val="both"/>
      </w:pPr>
      <w:r>
        <w:rPr/>
        <w:t>益工具数量。在可行权日，最终预计可行权权益工具的数量与实际可行权数量一致。</w:t>
      </w:r>
    </w:p>
    <w:p>
      <w:pPr>
        <w:pStyle w:val="BodyText"/>
        <w:spacing w:line="300" w:lineRule="auto" w:before="76"/>
        <w:ind w:left="871" w:right="0"/>
        <w:jc w:val="left"/>
      </w:pPr>
      <w:r>
        <w:rPr>
          <w:rFonts w:ascii="Times New Roman" w:hAnsi="Times New Roman" w:cs="Times New Roman" w:eastAsia="Times New Roman" w:hint="default"/>
          <w:b/>
          <w:bCs/>
        </w:rPr>
        <w:t>4</w:t>
      </w:r>
      <w:r>
        <w:rPr>
          <w:rFonts w:ascii="宋体" w:hAnsi="宋体" w:cs="宋体" w:eastAsia="宋体" w:hint="default"/>
          <w:b/>
          <w:bCs/>
        </w:rPr>
        <w:t>、会计处理方法</w:t>
      </w:r>
      <w:r>
        <w:rPr>
          <w:rFonts w:ascii="宋体" w:hAnsi="宋体" w:cs="宋体" w:eastAsia="宋体" w:hint="default"/>
          <w:b/>
          <w:bCs/>
          <w:w w:val="99"/>
        </w:rPr>
        <w:t> </w:t>
      </w:r>
      <w:r>
        <w:rPr>
          <w:spacing w:val="-2"/>
        </w:rPr>
        <w:t>以权益结算的股份支付，按授予职工权益工具的公允价值计量。授予后立即可行权的，在授予日按照权益工具的公</w:t>
      </w:r>
    </w:p>
    <w:p>
      <w:pPr>
        <w:pStyle w:val="BodyText"/>
        <w:spacing w:line="316" w:lineRule="auto" w:before="31"/>
        <w:ind w:left="511" w:right="1131"/>
        <w:jc w:val="both"/>
      </w:pPr>
      <w:r>
        <w:rPr>
          <w:spacing w:val="-2"/>
        </w:rPr>
        <w:t>允价值计入相关成本或费用，相应增加资本公积。在完成等待期内的服务或达到规定业绩条件才可行权的，在等待期内</w:t>
      </w:r>
      <w:r>
        <w:rPr>
          <w:spacing w:val="-67"/>
        </w:rPr>
        <w:t> </w:t>
      </w:r>
      <w:r>
        <w:rPr>
          <w:spacing w:val="-67"/>
        </w:rPr>
      </w:r>
      <w:r>
        <w:rPr>
          <w:spacing w:val="-2"/>
        </w:rPr>
        <w:t>的每个资产负债表日，以对可行权权益工具数量的最佳估计为基础，按照权益工具授予日的公允价值，将当期取得的服</w:t>
      </w:r>
      <w:r>
        <w:rPr>
          <w:spacing w:val="-67"/>
        </w:rPr>
        <w:t> </w:t>
      </w:r>
      <w:r>
        <w:rPr>
          <w:spacing w:val="-67"/>
        </w:rPr>
      </w:r>
      <w:r>
        <w:rPr/>
        <w:t>务计入相关成本或费用和资本公积。在可行权日之后不再对已确认的相关成本或费用和所有者权益总额进行调整。</w:t>
      </w:r>
    </w:p>
    <w:p>
      <w:pPr>
        <w:pStyle w:val="BodyText"/>
        <w:spacing w:line="319" w:lineRule="auto" w:before="19"/>
        <w:ind w:left="511" w:right="1131" w:firstLine="360"/>
        <w:jc w:val="both"/>
      </w:pPr>
      <w:r>
        <w:rPr>
          <w:spacing w:val="-2"/>
        </w:rPr>
        <w:t>以现金结算的股份支付，按照本公司承担的以股份或其他权益工具为基础计算确定的负债的公允价值计量。授予后</w:t>
      </w:r>
      <w:r>
        <w:rPr/>
        <w:t> </w:t>
      </w:r>
      <w:r>
        <w:rPr>
          <w:spacing w:val="-2"/>
        </w:rPr>
        <w:t>立即可行权的，在授予日以本公司承担负债的公允价值计入相关成本或费用，相应增加负债。在完成等待期内的服务或</w:t>
      </w:r>
      <w:r>
        <w:rPr>
          <w:spacing w:val="-67"/>
        </w:rPr>
        <w:t> </w:t>
      </w:r>
      <w:r>
        <w:rPr>
          <w:spacing w:val="-67"/>
        </w:rPr>
      </w:r>
      <w:r>
        <w:rPr>
          <w:spacing w:val="-2"/>
        </w:rPr>
        <w:t>达到规定业绩条件以后才可行权的以现金结算的股份支付，在等待期内的每个资产负债表日，以对可行权情况的最佳估</w:t>
      </w:r>
      <w:r>
        <w:rPr>
          <w:spacing w:val="-66"/>
        </w:rPr>
        <w:t> </w:t>
      </w:r>
      <w:r>
        <w:rPr>
          <w:spacing w:val="-66"/>
        </w:rPr>
      </w:r>
      <w:r>
        <w:rPr>
          <w:spacing w:val="-2"/>
        </w:rPr>
        <w:t>计为基础，按照本公司承担负债的公允价值金额，将当期取得的服务计入成本或费用和相应的负债。在相关负债结算前</w:t>
      </w:r>
      <w:r>
        <w:rPr>
          <w:spacing w:val="-67"/>
        </w:rPr>
        <w:t> </w:t>
      </w:r>
      <w:r>
        <w:rPr>
          <w:spacing w:val="-67"/>
        </w:rPr>
      </w:r>
      <w:r>
        <w:rPr/>
        <w:t>的每个资产负债表日以及结算日，对负债的公允价值重新计量，其变动计入当期损益。</w:t>
      </w:r>
    </w:p>
    <w:p>
      <w:pPr>
        <w:pStyle w:val="BodyText"/>
        <w:spacing w:line="316" w:lineRule="auto" w:before="17"/>
        <w:ind w:left="511" w:right="0" w:firstLine="360"/>
        <w:jc w:val="left"/>
      </w:pPr>
      <w:r>
        <w:rPr>
          <w:spacing w:val="-2"/>
        </w:rPr>
        <w:t>若在等待期内取消了授予的权益工具，本公司对取消所授予的权益性工具作为加速行权处理，将剩余等待期内应确</w:t>
      </w:r>
      <w:r>
        <w:rPr/>
        <w:t> </w:t>
      </w:r>
      <w:r>
        <w:rPr>
          <w:spacing w:val="-2"/>
        </w:rPr>
        <w:t>认的金额立即计入当期损益，同时确认资本公积。职工或其他方能够选择满足非可行权条件但在等待期内未满足的，本</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ind w:left="511" w:right="0"/>
        <w:jc w:val="left"/>
      </w:pPr>
      <w:r>
        <w:rPr/>
        <w:t>公司将其作为授予权益工具的取消处理。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4"/>
        <w:spacing w:line="240" w:lineRule="auto"/>
        <w:ind w:right="0"/>
        <w:jc w:val="left"/>
        <w:rPr>
          <w:b w:val="0"/>
          <w:bCs w:val="0"/>
        </w:rPr>
      </w:pPr>
      <w:bookmarkStart w:name="25、优先股、永续债等其他金融工具" w:id="211"/>
      <w:bookmarkEnd w:id="211"/>
      <w:r>
        <w:rPr>
          <w:b w:val="0"/>
          <w:bCs w:val="0"/>
        </w:rPr>
      </w:r>
      <w:r>
        <w:rPr>
          <w:rFonts w:ascii="Times New Roman" w:hAnsi="Times New Roman" w:cs="Times New Roman" w:eastAsia="Times New Roman" w:hint="default"/>
        </w:rPr>
        <w:t>25</w:t>
      </w:r>
      <w:r>
        <w:rPr/>
        <w:t>、优先股、永续债等其他金融工具</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left="511" w:right="1035" w:firstLine="360"/>
        <w:jc w:val="left"/>
      </w:pPr>
      <w:r>
        <w:rPr>
          <w:spacing w:val="-2"/>
        </w:rPr>
        <w:t>本公司按照金融工具准则的规定，根据所发行优先股、永续债等金融工具的合同条款及其所反映的经济实质而非仅</w:t>
      </w:r>
      <w:r>
        <w:rPr/>
        <w:t> 以法律形式，结合金融负债和权益工具的定义，在初始确认时将该金融工具或其组成部分分类为金融负债或权益工具：</w:t>
      </w:r>
    </w:p>
    <w:p>
      <w:pPr>
        <w:pStyle w:val="Heading5"/>
        <w:spacing w:line="240" w:lineRule="auto" w:before="19"/>
        <w:ind w:left="871" w:right="0"/>
        <w:jc w:val="left"/>
        <w:rPr>
          <w:b w:val="0"/>
          <w:bCs w:val="0"/>
        </w:rPr>
      </w:pPr>
      <w:r>
        <w:rPr>
          <w:rFonts w:ascii="Times New Roman" w:hAnsi="Times New Roman" w:cs="Times New Roman" w:eastAsia="Times New Roman" w:hint="default"/>
        </w:rPr>
        <w:t>1</w:t>
      </w:r>
      <w:r>
        <w:rPr/>
        <w:t>、符合下列条件之一，将发行的金融工具分类为金融负债：</w:t>
      </w:r>
      <w:r>
        <w:rPr>
          <w:b w:val="0"/>
          <w:bCs w:val="0"/>
        </w:rPr>
      </w:r>
    </w:p>
    <w:p>
      <w:pPr>
        <w:pStyle w:val="BodyText"/>
        <w:spacing w:line="240" w:lineRule="auto" w:before="63"/>
        <w:ind w:left="871" w:right="0"/>
        <w:jc w:val="left"/>
      </w:pPr>
      <w:r>
        <w:rPr/>
        <w:t>（</w:t>
      </w:r>
      <w:r>
        <w:rPr>
          <w:rFonts w:ascii="Times New Roman" w:hAnsi="Times New Roman" w:cs="Times New Roman" w:eastAsia="Times New Roman" w:hint="default"/>
        </w:rPr>
        <w:t>1</w:t>
      </w:r>
      <w:r>
        <w:rPr/>
        <w:t>）向其他方交付现金或其他金融资产的合同义务；</w:t>
      </w:r>
    </w:p>
    <w:p>
      <w:pPr>
        <w:pStyle w:val="BodyText"/>
        <w:spacing w:line="240" w:lineRule="auto" w:before="63"/>
        <w:ind w:left="871" w:right="0"/>
        <w:jc w:val="left"/>
      </w:pPr>
      <w:r>
        <w:rPr/>
        <w:t>（</w:t>
      </w:r>
      <w:r>
        <w:rPr>
          <w:rFonts w:ascii="Times New Roman" w:hAnsi="Times New Roman" w:cs="Times New Roman" w:eastAsia="Times New Roman" w:hint="default"/>
        </w:rPr>
        <w:t>2</w:t>
      </w:r>
      <w:r>
        <w:rPr/>
        <w:t>）在潜在不利条件下，与其他方交换金融资产或金融负债的合同义务；</w:t>
      </w:r>
    </w:p>
    <w:p>
      <w:pPr>
        <w:pStyle w:val="BodyText"/>
        <w:spacing w:line="300" w:lineRule="auto" w:before="63"/>
        <w:ind w:left="511" w:right="1125" w:firstLine="360"/>
        <w:jc w:val="left"/>
      </w:pPr>
      <w:r>
        <w:rPr/>
        <w:t>（</w:t>
      </w:r>
      <w:r>
        <w:rPr>
          <w:rFonts w:ascii="Times New Roman" w:hAnsi="Times New Roman" w:cs="Times New Roman" w:eastAsia="Times New Roman" w:hint="default"/>
        </w:rPr>
        <w:t>3</w:t>
      </w:r>
      <w:r>
        <w:rPr/>
        <w:t>）将来须用或可用企业自身权益工具进行结算的非衍生工具合同，且企业根据该合同将交付可变数量的自身权 益工具；</w:t>
      </w:r>
    </w:p>
    <w:p>
      <w:pPr>
        <w:pStyle w:val="BodyText"/>
        <w:spacing w:line="300" w:lineRule="auto" w:before="31"/>
        <w:ind w:left="511" w:right="1125" w:firstLine="360"/>
        <w:jc w:val="left"/>
      </w:pPr>
      <w:r>
        <w:rPr/>
        <w:t>（</w:t>
      </w:r>
      <w:r>
        <w:rPr>
          <w:rFonts w:ascii="Times New Roman" w:hAnsi="Times New Roman" w:cs="Times New Roman" w:eastAsia="Times New Roman" w:hint="default"/>
        </w:rPr>
        <w:t>4</w:t>
      </w:r>
      <w:r>
        <w:rPr/>
        <w:t>）将来须用或可用企业自身权益工具进行结算的衍生工具合同，但以固定数量的自身权益工具交换固定金额的 现金或其他金融资产的衍生工具合同除外。</w:t>
      </w:r>
    </w:p>
    <w:p>
      <w:pPr>
        <w:pStyle w:val="Heading5"/>
        <w:spacing w:line="240" w:lineRule="auto" w:before="31"/>
        <w:ind w:left="871" w:right="0"/>
        <w:jc w:val="left"/>
        <w:rPr>
          <w:b w:val="0"/>
          <w:bCs w:val="0"/>
        </w:rPr>
      </w:pPr>
      <w:r>
        <w:rPr>
          <w:rFonts w:ascii="Times New Roman" w:hAnsi="Times New Roman" w:cs="Times New Roman" w:eastAsia="Times New Roman" w:hint="default"/>
        </w:rPr>
        <w:t>2</w:t>
      </w:r>
      <w:r>
        <w:rPr/>
        <w:t>、同时满足下列条件的，将发行的金融工具分类为权益工具：</w:t>
      </w:r>
      <w:r>
        <w:rPr>
          <w:b w:val="0"/>
          <w:bCs w:val="0"/>
        </w:rPr>
      </w:r>
    </w:p>
    <w:p>
      <w:pPr>
        <w:pStyle w:val="BodyText"/>
        <w:spacing w:line="300" w:lineRule="auto" w:before="63"/>
        <w:ind w:left="511" w:right="1125" w:firstLine="360"/>
        <w:jc w:val="left"/>
      </w:pPr>
      <w:r>
        <w:rPr/>
        <w:t>（</w:t>
      </w:r>
      <w:r>
        <w:rPr>
          <w:rFonts w:ascii="Times New Roman" w:hAnsi="Times New Roman" w:cs="Times New Roman" w:eastAsia="Times New Roman" w:hint="default"/>
        </w:rPr>
        <w:t>1</w:t>
      </w:r>
      <w:r>
        <w:rPr/>
        <w:t>）该金融工具不包括交付现金或其他金融资产给其他方，或在潜在不利条件下与其他方交换金融资产或金融负 债的合同义务；</w:t>
      </w:r>
    </w:p>
    <w:p>
      <w:pPr>
        <w:pStyle w:val="BodyText"/>
        <w:spacing w:line="309" w:lineRule="auto" w:before="31"/>
        <w:ind w:left="511" w:right="1133" w:firstLine="360"/>
        <w:jc w:val="both"/>
      </w:pPr>
      <w:r>
        <w:rPr/>
        <w:t>（</w:t>
      </w:r>
      <w:r>
        <w:rPr>
          <w:rFonts w:ascii="Times New Roman" w:hAnsi="Times New Roman" w:cs="Times New Roman" w:eastAsia="Times New Roman" w:hint="default"/>
        </w:rPr>
        <w:t>2</w:t>
      </w:r>
      <w:r>
        <w:rPr/>
        <w:t>）将来须用或可用企业自身权益工具结算该金融工具的，如该金融工具为非衍生工具，不包括交付可变数量的 </w:t>
      </w:r>
      <w:r>
        <w:rPr>
          <w:spacing w:val="-2"/>
        </w:rPr>
        <w:t>自身权益工具进行结算的合同义务；如为衍生工具，企业只能通过以固定数量的自身权益工具交换固定金额的现金或其</w:t>
      </w:r>
      <w:r>
        <w:rPr>
          <w:spacing w:val="-66"/>
        </w:rPr>
        <w:t> </w:t>
      </w:r>
      <w:r>
        <w:rPr>
          <w:spacing w:val="-66"/>
        </w:rPr>
      </w:r>
      <w:r>
        <w:rPr/>
        <w:t>他金融资产结算该金融工具。</w:t>
      </w:r>
    </w:p>
    <w:p>
      <w:pPr>
        <w:pStyle w:val="BodyText"/>
        <w:spacing w:line="300" w:lineRule="auto" w:before="24"/>
        <w:ind w:left="871" w:right="0"/>
        <w:jc w:val="left"/>
      </w:pPr>
      <w:r>
        <w:rPr>
          <w:rFonts w:ascii="Times New Roman" w:hAnsi="Times New Roman" w:cs="Times New Roman" w:eastAsia="Times New Roman" w:hint="default"/>
          <w:b/>
          <w:bCs/>
        </w:rPr>
        <w:t>3</w:t>
      </w:r>
      <w:r>
        <w:rPr>
          <w:rFonts w:ascii="宋体" w:hAnsi="宋体" w:cs="宋体" w:eastAsia="宋体" w:hint="default"/>
          <w:b/>
          <w:bCs/>
        </w:rPr>
        <w:t>、会计处理方法</w:t>
      </w:r>
      <w:r>
        <w:rPr>
          <w:rFonts w:ascii="宋体" w:hAnsi="宋体" w:cs="宋体" w:eastAsia="宋体" w:hint="default"/>
          <w:b/>
          <w:bCs/>
          <w:w w:val="99"/>
        </w:rPr>
        <w:t> </w:t>
      </w:r>
      <w:r>
        <w:rPr>
          <w:spacing w:val="-2"/>
        </w:rPr>
        <w:t>对于归类为权益工具的金融工具，其利息支出或股利分配都应当作为发行企业的利润分配，其回购、注销等作为权</w:t>
      </w:r>
    </w:p>
    <w:p>
      <w:pPr>
        <w:pStyle w:val="BodyText"/>
        <w:spacing w:line="316" w:lineRule="auto" w:before="32"/>
        <w:ind w:left="871" w:right="0" w:hanging="361"/>
        <w:jc w:val="left"/>
      </w:pPr>
      <w:r>
        <w:rPr/>
        <w:t>益的变动处理，手续费、佣金等交易费用从权益中扣除； </w:t>
      </w:r>
      <w:r>
        <w:rPr>
          <w:spacing w:val="-2"/>
        </w:rPr>
        <w:t>对于归类为金融负债的金融工具，其利息支出或股利分配原则上按照借款费用进行处理，其回购或赎回产生的利得</w:t>
      </w:r>
    </w:p>
    <w:p>
      <w:pPr>
        <w:pStyle w:val="BodyText"/>
        <w:spacing w:line="240" w:lineRule="auto" w:before="19"/>
        <w:ind w:left="511" w:right="0"/>
        <w:jc w:val="left"/>
      </w:pPr>
      <w:r>
        <w:rPr/>
        <w:t>或损失等计入当期损益，手续费、佣金等交易费用计入所发行工具的初始计量金额。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4"/>
        <w:spacing w:line="240" w:lineRule="auto"/>
        <w:ind w:right="0"/>
        <w:jc w:val="left"/>
        <w:rPr>
          <w:b w:val="0"/>
          <w:bCs w:val="0"/>
        </w:rPr>
      </w:pPr>
      <w:bookmarkStart w:name="26、收入" w:id="212"/>
      <w:bookmarkEnd w:id="212"/>
      <w:r>
        <w:rPr>
          <w:b w:val="0"/>
          <w:bCs w:val="0"/>
        </w:rPr>
      </w:r>
      <w:r>
        <w:rPr>
          <w:rFonts w:ascii="Times New Roman" w:hAnsi="Times New Roman" w:cs="Times New Roman" w:eastAsia="Times New Roman" w:hint="default"/>
        </w:rPr>
        <w:t>26</w:t>
      </w:r>
      <w:r>
        <w:rPr/>
        <w:t>、收入</w:t>
      </w:r>
      <w:r>
        <w:rPr>
          <w:b w:val="0"/>
          <w:bCs w:val="0"/>
        </w:rPr>
      </w:r>
    </w:p>
    <w:p>
      <w:pPr>
        <w:spacing w:line="240" w:lineRule="auto" w:before="8"/>
        <w:rPr>
          <w:rFonts w:ascii="宋体" w:hAnsi="宋体" w:cs="宋体" w:eastAsia="宋体" w:hint="default"/>
          <w:b/>
          <w:bCs/>
          <w:sz w:val="26"/>
          <w:szCs w:val="26"/>
        </w:rPr>
      </w:pPr>
    </w:p>
    <w:p>
      <w:pPr>
        <w:pStyle w:val="BodyText"/>
        <w:spacing w:line="357" w:lineRule="auto" w:before="0"/>
        <w:ind w:right="7692"/>
        <w:jc w:val="left"/>
      </w:pPr>
      <w:r>
        <w:rPr/>
        <w:t>公司是否需要遵守特殊行业的披露要求 是</w:t>
      </w:r>
    </w:p>
    <w:p>
      <w:pPr>
        <w:pStyle w:val="BodyText"/>
        <w:spacing w:line="240" w:lineRule="auto" w:before="29"/>
        <w:ind w:right="0"/>
        <w:jc w:val="left"/>
      </w:pPr>
      <w:r>
        <w:rPr/>
        <w:t>软件与信息技术服务业</w:t>
      </w:r>
    </w:p>
    <w:p>
      <w:pPr>
        <w:pStyle w:val="BodyText"/>
        <w:spacing w:line="319" w:lineRule="auto" w:before="116"/>
        <w:ind w:left="871" w:right="0" w:hanging="718"/>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 </w:t>
      </w:r>
      <w:r>
        <w:rPr>
          <w:rFonts w:ascii="Times New Roman" w:hAnsi="Times New Roman" w:cs="Times New Roman" w:eastAsia="Times New Roman" w:hint="default"/>
          <w:b/>
          <w:bCs/>
        </w:rPr>
        <w:t>1</w:t>
      </w:r>
      <w:r>
        <w:rPr>
          <w:rFonts w:ascii="宋体" w:hAnsi="宋体" w:cs="宋体" w:eastAsia="宋体" w:hint="default"/>
          <w:b/>
          <w:bCs/>
        </w:rPr>
        <w:t>、销售商品收入确认时间的具体判断标准</w:t>
      </w:r>
      <w:r>
        <w:rPr>
          <w:rFonts w:ascii="宋体" w:hAnsi="宋体" w:cs="宋体" w:eastAsia="宋体" w:hint="default"/>
          <w:b/>
          <w:bCs/>
          <w:w w:val="99"/>
        </w:rPr>
        <w:t> </w:t>
      </w:r>
      <w:r>
        <w:rPr>
          <w:spacing w:val="-2"/>
        </w:rPr>
        <w:t>公司已将商品所有权上的主要风险和报酬转移给购买方；公司既没有保留与所有权相联系的继续管理权，也没有对</w:t>
      </w:r>
    </w:p>
    <w:p>
      <w:pPr>
        <w:pStyle w:val="BodyText"/>
        <w:spacing w:line="316" w:lineRule="auto" w:before="17"/>
        <w:ind w:left="511" w:right="0"/>
        <w:jc w:val="left"/>
      </w:pPr>
      <w:r>
        <w:rPr>
          <w:spacing w:val="-2"/>
        </w:rPr>
        <w:t>已售出的商品实施有效控制；收入的金额能够可靠地计量；相关的经济利益很可能流入企业；相关的已发生或将发生的</w:t>
      </w:r>
      <w:r>
        <w:rPr>
          <w:spacing w:val="-67"/>
        </w:rPr>
        <w:t> </w:t>
      </w:r>
      <w:r>
        <w:rPr>
          <w:spacing w:val="-67"/>
        </w:rPr>
      </w:r>
      <w:r>
        <w:rPr/>
        <w:t>成本能够可靠地计量时，确认商品销售收入实现。</w:t>
      </w:r>
    </w:p>
    <w:p>
      <w:pPr>
        <w:pStyle w:val="BodyText"/>
        <w:spacing w:line="316" w:lineRule="auto" w:before="19"/>
        <w:ind w:left="511" w:right="1118" w:firstLine="360"/>
        <w:jc w:val="left"/>
      </w:pPr>
      <w:r>
        <w:rPr>
          <w:spacing w:val="-2"/>
        </w:rPr>
        <w:t>合同或协议价款的收取采用递延方式，实质上具有融资性质的，按照应收的合同或协议价款的公允价值确定销售商</w:t>
      </w:r>
      <w:r>
        <w:rPr/>
        <w:t> 品收入金额。</w:t>
      </w:r>
    </w:p>
    <w:p>
      <w:pPr>
        <w:spacing w:line="300" w:lineRule="auto" w:before="19"/>
        <w:ind w:left="871"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、确认让渡资产使用权收入的依据</w:t>
      </w:r>
      <w:r>
        <w:rPr>
          <w:rFonts w:ascii="宋体" w:hAnsi="宋体" w:cs="宋体" w:eastAsia="宋体" w:hint="default"/>
          <w:b/>
          <w:bCs/>
          <w:w w:val="99"/>
          <w:sz w:val="18"/>
          <w:szCs w:val="18"/>
        </w:rPr>
        <w:t> </w:t>
      </w:r>
      <w:r>
        <w:rPr>
          <w:rFonts w:ascii="宋体" w:hAnsi="宋体" w:cs="宋体" w:eastAsia="宋体" w:hint="default"/>
          <w:spacing w:val="-2"/>
          <w:sz w:val="18"/>
          <w:szCs w:val="18"/>
        </w:rPr>
        <w:t>与交易相关的经济利益很可能流入企业，收入的金额能够可靠地计量时，分别下列情况确定让渡资产使用权收入金</w:t>
      </w:r>
    </w:p>
    <w:p>
      <w:pPr>
        <w:pStyle w:val="BodyText"/>
        <w:spacing w:line="240" w:lineRule="auto" w:before="31"/>
        <w:ind w:left="511" w:right="0"/>
        <w:jc w:val="left"/>
      </w:pPr>
      <w:r>
        <w:rPr/>
        <w:t>额：</w:t>
      </w:r>
    </w:p>
    <w:p>
      <w:pPr>
        <w:pStyle w:val="BodyText"/>
        <w:spacing w:line="240" w:lineRule="auto" w:before="76"/>
        <w:ind w:left="871" w:right="0"/>
        <w:jc w:val="left"/>
      </w:pPr>
      <w:r>
        <w:rPr/>
        <w:t>（</w:t>
      </w:r>
      <w:r>
        <w:rPr>
          <w:rFonts w:ascii="Times New Roman" w:hAnsi="Times New Roman" w:cs="Times New Roman" w:eastAsia="Times New Roman" w:hint="default"/>
        </w:rPr>
        <w:t>1</w:t>
      </w:r>
      <w:r>
        <w:rPr/>
        <w:t>）利息收入金额，按照他人使用本企业货币资金的时间和实际利率计算确定。</w:t>
      </w:r>
    </w:p>
    <w:p>
      <w:pPr>
        <w:pStyle w:val="BodyText"/>
        <w:spacing w:line="240" w:lineRule="auto" w:before="63"/>
        <w:ind w:left="871" w:right="0"/>
        <w:jc w:val="left"/>
      </w:pPr>
      <w:r>
        <w:rPr/>
        <w:t>（</w:t>
      </w:r>
      <w:r>
        <w:rPr>
          <w:rFonts w:ascii="Times New Roman" w:hAnsi="Times New Roman" w:cs="Times New Roman" w:eastAsia="Times New Roman" w:hint="default"/>
        </w:rPr>
        <w:t>2</w:t>
      </w:r>
      <w:r>
        <w:rPr/>
        <w:t>）使用费收入金额，按照有关合同或协议约定的收费时间和方法计算确定。</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line="300" w:lineRule="auto" w:before="44"/>
        <w:ind w:left="871"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、提供劳务收入的确认依据和方法</w:t>
      </w:r>
      <w:r>
        <w:rPr>
          <w:rFonts w:ascii="宋体" w:hAnsi="宋体" w:cs="宋体" w:eastAsia="宋体" w:hint="default"/>
          <w:b/>
          <w:bCs/>
          <w:w w:val="99"/>
          <w:sz w:val="18"/>
          <w:szCs w:val="18"/>
        </w:rPr>
        <w:t> </w:t>
      </w:r>
      <w:r>
        <w:rPr>
          <w:rFonts w:ascii="宋体" w:hAnsi="宋体" w:cs="宋体" w:eastAsia="宋体" w:hint="default"/>
          <w:spacing w:val="-2"/>
          <w:sz w:val="18"/>
          <w:szCs w:val="18"/>
        </w:rPr>
        <w:t>在资产负债表日提供劳务交易的结果能够可靠估计的，采用完工百分比法确认提供劳务收入。提供劳务交易的完工</w:t>
      </w:r>
    </w:p>
    <w:p>
      <w:pPr>
        <w:pStyle w:val="BodyText"/>
        <w:spacing w:line="316" w:lineRule="auto" w:before="31"/>
        <w:ind w:left="871" w:right="5175" w:hanging="361"/>
        <w:jc w:val="left"/>
      </w:pPr>
      <w:r>
        <w:rPr/>
        <w:t>进度，依据已完工作的测量确定。 提供劳务交易的结果能够可靠估计，是指同时满足下列条件：</w:t>
      </w:r>
    </w:p>
    <w:p>
      <w:pPr>
        <w:pStyle w:val="BodyText"/>
        <w:spacing w:line="240" w:lineRule="auto" w:before="19"/>
        <w:ind w:left="871" w:right="0"/>
        <w:jc w:val="left"/>
      </w:pPr>
      <w:r>
        <w:rPr/>
        <w:t>（</w:t>
      </w:r>
      <w:r>
        <w:rPr>
          <w:rFonts w:ascii="Times New Roman" w:hAnsi="Times New Roman" w:cs="Times New Roman" w:eastAsia="Times New Roman" w:hint="default"/>
        </w:rPr>
        <w:t>1</w:t>
      </w:r>
      <w:r>
        <w:rPr/>
        <w:t>）收入的金额能够可靠地计量；</w:t>
      </w:r>
    </w:p>
    <w:p>
      <w:pPr>
        <w:pStyle w:val="BodyText"/>
        <w:spacing w:line="240" w:lineRule="auto" w:before="63"/>
        <w:ind w:left="871" w:right="0"/>
        <w:jc w:val="left"/>
      </w:pPr>
      <w:r>
        <w:rPr/>
        <w:t>（</w:t>
      </w:r>
      <w:r>
        <w:rPr>
          <w:rFonts w:ascii="Times New Roman" w:hAnsi="Times New Roman" w:cs="Times New Roman" w:eastAsia="Times New Roman" w:hint="default"/>
        </w:rPr>
        <w:t>2</w:t>
      </w:r>
      <w:r>
        <w:rPr/>
        <w:t>）相关的经济利益很可能流入企业；</w:t>
      </w:r>
    </w:p>
    <w:p>
      <w:pPr>
        <w:pStyle w:val="BodyText"/>
        <w:spacing w:line="240" w:lineRule="auto" w:before="63"/>
        <w:ind w:left="871" w:right="0"/>
        <w:jc w:val="left"/>
      </w:pPr>
      <w:r>
        <w:rPr/>
        <w:t>（</w:t>
      </w:r>
      <w:r>
        <w:rPr>
          <w:rFonts w:ascii="Times New Roman" w:hAnsi="Times New Roman" w:cs="Times New Roman" w:eastAsia="Times New Roman" w:hint="default"/>
        </w:rPr>
        <w:t>3</w:t>
      </w:r>
      <w:r>
        <w:rPr/>
        <w:t>）交易的完工进度能够可靠地确定；</w:t>
      </w:r>
    </w:p>
    <w:p>
      <w:pPr>
        <w:pStyle w:val="BodyText"/>
        <w:spacing w:line="300" w:lineRule="auto" w:before="63"/>
        <w:ind w:left="871" w:right="0"/>
        <w:jc w:val="left"/>
      </w:pPr>
      <w:r>
        <w:rPr/>
        <w:t>（</w:t>
      </w:r>
      <w:r>
        <w:rPr>
          <w:rFonts w:ascii="Times New Roman" w:hAnsi="Times New Roman" w:cs="Times New Roman" w:eastAsia="Times New Roman" w:hint="default"/>
        </w:rPr>
        <w:t>4</w:t>
      </w:r>
      <w:r>
        <w:rPr/>
        <w:t>）交易中已发生和将发生的成本能够可靠地计量。 </w:t>
      </w:r>
      <w:r>
        <w:rPr>
          <w:spacing w:val="-2"/>
        </w:rPr>
        <w:t>按照已收或应收的合同或协议价款确定提供劳务收入总额，但已收或应收的合同或协议价款不公允的除外。资产负</w:t>
      </w:r>
    </w:p>
    <w:p>
      <w:pPr>
        <w:pStyle w:val="BodyText"/>
        <w:spacing w:line="316" w:lineRule="auto" w:before="31"/>
        <w:ind w:left="511" w:right="0"/>
        <w:jc w:val="left"/>
      </w:pPr>
      <w:r>
        <w:rPr>
          <w:spacing w:val="-2"/>
        </w:rPr>
        <w:t>债表日按照提供劳务收入总额乘以完工进度扣除以前会计期间累计已确认提供劳务收入后的金额，确认当期提供劳务收</w:t>
      </w:r>
      <w:r>
        <w:rPr>
          <w:spacing w:val="-66"/>
        </w:rPr>
        <w:t> </w:t>
      </w:r>
      <w:r>
        <w:rPr>
          <w:spacing w:val="-66"/>
        </w:rPr>
      </w:r>
      <w:r>
        <w:rPr>
          <w:spacing w:val="-4"/>
        </w:rPr>
        <w:t>入；同时，按照提供劳务估计总成本乘以完工进度扣除以前会计期间累计已确认劳务成本后的金额，结转当期劳务成本。</w:t>
      </w:r>
    </w:p>
    <w:p>
      <w:pPr>
        <w:pStyle w:val="BodyText"/>
        <w:spacing w:line="240" w:lineRule="auto" w:before="19"/>
        <w:ind w:left="871" w:right="0"/>
        <w:jc w:val="left"/>
      </w:pPr>
      <w:r>
        <w:rPr/>
        <w:t>在资产负债表日提供劳务交易结果不能够可靠估计的，分别下列情况处理：</w:t>
      </w:r>
    </w:p>
    <w:p>
      <w:pPr>
        <w:pStyle w:val="BodyText"/>
        <w:spacing w:line="300" w:lineRule="auto" w:before="76"/>
        <w:ind w:left="511" w:right="1125" w:firstLine="360"/>
        <w:jc w:val="left"/>
      </w:pPr>
      <w:r>
        <w:rPr/>
        <w:t>（</w:t>
      </w:r>
      <w:r>
        <w:rPr>
          <w:rFonts w:ascii="Times New Roman" w:hAnsi="Times New Roman" w:cs="Times New Roman" w:eastAsia="Times New Roman" w:hint="default"/>
        </w:rPr>
        <w:t>1</w:t>
      </w:r>
      <w:r>
        <w:rPr/>
        <w:t>）已经发生的劳务成本预计能够得到补偿的，按照已经发生的劳务成本金额确认提供劳务收入，并按相同金额 结转劳务成本。</w:t>
      </w:r>
    </w:p>
    <w:p>
      <w:pPr>
        <w:pStyle w:val="BodyText"/>
        <w:spacing w:line="309" w:lineRule="auto" w:before="31"/>
        <w:ind w:left="511" w:right="1131" w:firstLine="360"/>
        <w:jc w:val="right"/>
      </w:pPr>
      <w:r>
        <w:rPr/>
        <w:t>（</w:t>
      </w:r>
      <w:r>
        <w:rPr>
          <w:rFonts w:ascii="Times New Roman" w:hAnsi="Times New Roman" w:cs="Times New Roman" w:eastAsia="Times New Roman" w:hint="default"/>
        </w:rPr>
        <w:t>2</w:t>
      </w:r>
      <w:r>
        <w:rPr/>
        <w:t>）已经发生的劳务成本预计不能够得到补偿的，将已经发生的劳务成本计入当期损益，不确认提供劳务收入。 </w:t>
      </w:r>
      <w:r>
        <w:rPr>
          <w:spacing w:val="-2"/>
        </w:rPr>
        <w:t>本公司与其他企业签订的合同或协议包括销售商品和提供劳务时，销售商品部分和提供劳务部分能够区分且能够单</w:t>
      </w:r>
      <w:r>
        <w:rPr/>
        <w:t> </w:t>
      </w:r>
      <w:r>
        <w:rPr>
          <w:spacing w:val="-2"/>
        </w:rPr>
        <w:t>独计量的，将销售商品的部分作为销售商品处理，将提供劳务的部分作为提供劳务处理。销售商品部分和提供劳务部分</w:t>
      </w:r>
    </w:p>
    <w:p>
      <w:pPr>
        <w:pStyle w:val="BodyText"/>
        <w:spacing w:line="240" w:lineRule="auto" w:before="24"/>
        <w:ind w:left="511" w:right="0"/>
        <w:jc w:val="left"/>
      </w:pPr>
      <w:r>
        <w:rPr/>
        <w:t>不能够区分，或虽能区分但不能够单独计量的，将销售商品部分和提供劳务部分全部作为销售商品处理。</w:t>
      </w:r>
    </w:p>
    <w:p>
      <w:pPr>
        <w:pStyle w:val="Heading5"/>
        <w:spacing w:line="240" w:lineRule="auto" w:before="76"/>
        <w:ind w:left="871" w:right="0"/>
        <w:jc w:val="left"/>
        <w:rPr>
          <w:b w:val="0"/>
          <w:bCs w:val="0"/>
        </w:rPr>
      </w:pPr>
      <w:r>
        <w:rPr>
          <w:rFonts w:ascii="Times New Roman" w:hAnsi="Times New Roman" w:cs="Times New Roman" w:eastAsia="Times New Roman" w:hint="default"/>
        </w:rPr>
        <w:t>4</w:t>
      </w:r>
      <w:r>
        <w:rPr/>
        <w:t>、建造合同收入的确认依据和方法</w:t>
      </w:r>
      <w:r>
        <w:rPr>
          <w:b w:val="0"/>
          <w:bCs w:val="0"/>
        </w:rPr>
      </w:r>
    </w:p>
    <w:p>
      <w:pPr>
        <w:pStyle w:val="BodyText"/>
        <w:spacing w:line="309" w:lineRule="auto" w:before="63"/>
        <w:ind w:left="511" w:right="1132" w:firstLine="199"/>
        <w:jc w:val="both"/>
      </w:pPr>
      <w:r>
        <w:rPr>
          <w:spacing w:val="-1"/>
        </w:rPr>
        <w:t>（</w:t>
      </w:r>
      <w:r>
        <w:rPr>
          <w:rFonts w:ascii="Times New Roman" w:hAnsi="Times New Roman" w:cs="Times New Roman" w:eastAsia="Times New Roman" w:hint="default"/>
          <w:spacing w:val="-1"/>
        </w:rPr>
        <w:t>1</w:t>
      </w:r>
      <w:r>
        <w:rPr>
          <w:spacing w:val="-1"/>
        </w:rPr>
        <w:t>）当建造合同的结果能够可靠地估计时，与其相关的合同收入和合同费用在资产负债表日按完工百分比法予以确</w:t>
      </w:r>
      <w:r>
        <w:rPr/>
        <w:t> </w:t>
      </w:r>
      <w:r>
        <w:rPr>
          <w:spacing w:val="-2"/>
        </w:rPr>
        <w:t>认。完工百分比法，是指根据合同完工进度确认合同收入和合同费用的方法。合同完工进度按照累计实际发生的合同费</w:t>
      </w:r>
      <w:r>
        <w:rPr>
          <w:spacing w:val="-67"/>
        </w:rPr>
        <w:t> </w:t>
      </w:r>
      <w:r>
        <w:rPr>
          <w:spacing w:val="-67"/>
        </w:rPr>
      </w:r>
      <w:r>
        <w:rPr/>
        <w:t>用占合同预计总成本的比例确定。</w:t>
      </w:r>
    </w:p>
    <w:p>
      <w:pPr>
        <w:pStyle w:val="BodyText"/>
        <w:spacing w:line="240" w:lineRule="auto" w:before="24"/>
        <w:ind w:left="871" w:right="0"/>
        <w:jc w:val="left"/>
      </w:pPr>
      <w:r>
        <w:rPr/>
        <w:t>固定造价合同的结果能够可靠估计，是指同时满足下列条件：</w:t>
      </w:r>
    </w:p>
    <w:p>
      <w:pPr>
        <w:pStyle w:val="BodyText"/>
        <w:spacing w:line="240" w:lineRule="auto" w:before="76"/>
        <w:ind w:left="711" w:right="0"/>
        <w:jc w:val="left"/>
      </w:pPr>
      <w:r>
        <w:rPr>
          <w:rFonts w:ascii="Times New Roman" w:hAnsi="Times New Roman" w:cs="Times New Roman" w:eastAsia="Times New Roman" w:hint="default"/>
        </w:rPr>
        <w:t>1</w:t>
      </w:r>
      <w:r>
        <w:rPr/>
        <w:t>）合同总收入能够可靠地计量；</w:t>
      </w:r>
    </w:p>
    <w:p>
      <w:pPr>
        <w:pStyle w:val="BodyText"/>
        <w:spacing w:line="240" w:lineRule="auto" w:before="63"/>
        <w:ind w:left="711" w:right="0"/>
        <w:jc w:val="left"/>
      </w:pPr>
      <w:r>
        <w:rPr>
          <w:rFonts w:ascii="Times New Roman" w:hAnsi="Times New Roman" w:cs="Times New Roman" w:eastAsia="Times New Roman" w:hint="default"/>
        </w:rPr>
        <w:t>2</w:t>
      </w:r>
      <w:r>
        <w:rPr/>
        <w:t>）与合同相关的经济利益很可能流入企业；</w:t>
      </w:r>
    </w:p>
    <w:p>
      <w:pPr>
        <w:pStyle w:val="BodyText"/>
        <w:spacing w:line="240" w:lineRule="auto" w:before="63"/>
        <w:ind w:left="711" w:right="0"/>
        <w:jc w:val="left"/>
      </w:pPr>
      <w:r>
        <w:rPr>
          <w:rFonts w:ascii="Times New Roman" w:hAnsi="Times New Roman" w:cs="Times New Roman" w:eastAsia="Times New Roman" w:hint="default"/>
        </w:rPr>
        <w:t>3</w:t>
      </w:r>
      <w:r>
        <w:rPr/>
        <w:t>）实际发生的合同成本能够清楚地区分和可靠地计量；</w:t>
      </w:r>
    </w:p>
    <w:p>
      <w:pPr>
        <w:pStyle w:val="BodyText"/>
        <w:spacing w:line="300" w:lineRule="auto" w:before="63"/>
        <w:ind w:left="871" w:right="5066" w:hanging="161"/>
        <w:jc w:val="left"/>
      </w:pPr>
      <w:r>
        <w:rPr>
          <w:rFonts w:ascii="Times New Roman" w:hAnsi="Times New Roman" w:cs="Times New Roman" w:eastAsia="Times New Roman" w:hint="default"/>
        </w:rPr>
        <w:t>4</w:t>
      </w:r>
      <w:r>
        <w:rPr/>
        <w:t>）合同完工进度和为完成合同尚需发生的成本能够可靠地确定。 成本加成合同的结果能够可靠估计，是指同时满足下列条件：</w:t>
      </w:r>
    </w:p>
    <w:p>
      <w:pPr>
        <w:pStyle w:val="BodyText"/>
        <w:spacing w:line="240" w:lineRule="auto" w:before="31"/>
        <w:ind w:left="711" w:right="0"/>
        <w:jc w:val="left"/>
      </w:pPr>
      <w:r>
        <w:rPr>
          <w:rFonts w:ascii="Times New Roman" w:hAnsi="Times New Roman" w:cs="Times New Roman" w:eastAsia="Times New Roman" w:hint="default"/>
        </w:rPr>
        <w:t>1</w:t>
      </w:r>
      <w:r>
        <w:rPr/>
        <w:t>）与合同相关的经济利益很可能流入企业；</w:t>
      </w:r>
    </w:p>
    <w:p>
      <w:pPr>
        <w:pStyle w:val="BodyText"/>
        <w:spacing w:line="300" w:lineRule="auto" w:before="63"/>
        <w:ind w:left="871" w:right="0" w:hanging="161"/>
        <w:jc w:val="left"/>
      </w:pPr>
      <w:r>
        <w:rPr>
          <w:rFonts w:ascii="Times New Roman" w:hAnsi="Times New Roman" w:cs="Times New Roman" w:eastAsia="Times New Roman" w:hint="default"/>
        </w:rPr>
        <w:t>2</w:t>
      </w:r>
      <w:r>
        <w:rPr/>
        <w:t>）实际发生的合同成本能够清楚地区分和可靠地计量。 </w:t>
      </w:r>
      <w:r>
        <w:rPr>
          <w:spacing w:val="-4"/>
        </w:rPr>
        <w:t>在资产负债表日，按照合同总收入乘以完工进度扣除以前会计期间累计已确认收入后的金额，确认为当期合同收入；</w:t>
      </w:r>
    </w:p>
    <w:p>
      <w:pPr>
        <w:pStyle w:val="BodyText"/>
        <w:spacing w:line="316" w:lineRule="auto" w:before="31"/>
        <w:ind w:left="511" w:right="0"/>
        <w:jc w:val="left"/>
      </w:pPr>
      <w:r>
        <w:rPr>
          <w:spacing w:val="-2"/>
        </w:rPr>
        <w:t>同时，按照合同预计总成本乘以完工进度扣除以前会计期间累计已确认费用后的金额，确认为当期合同费用。合同工程</w:t>
      </w:r>
      <w:r>
        <w:rPr>
          <w:spacing w:val="-67"/>
        </w:rPr>
        <w:t> </w:t>
      </w:r>
      <w:r>
        <w:rPr>
          <w:spacing w:val="-67"/>
        </w:rPr>
      </w:r>
      <w:r>
        <w:rPr/>
        <w:t>的变动、索赔及奖金以可能带来收入并能可靠计算的数额为限计入合同总收入。</w:t>
      </w:r>
    </w:p>
    <w:p>
      <w:pPr>
        <w:pStyle w:val="BodyText"/>
        <w:spacing w:line="240" w:lineRule="auto" w:before="19"/>
        <w:ind w:left="711" w:right="0"/>
        <w:jc w:val="left"/>
      </w:pPr>
      <w:r>
        <w:rPr/>
        <w:t>（</w:t>
      </w:r>
      <w:r>
        <w:rPr>
          <w:rFonts w:ascii="Times New Roman" w:hAnsi="Times New Roman" w:cs="Times New Roman" w:eastAsia="Times New Roman" w:hint="default"/>
        </w:rPr>
        <w:t>2</w:t>
      </w:r>
      <w:r>
        <w:rPr/>
        <w:t>）建造合同的结果不能可靠估计的，分别下列情况处理：</w:t>
      </w:r>
    </w:p>
    <w:p>
      <w:pPr>
        <w:pStyle w:val="BodyText"/>
        <w:spacing w:line="300" w:lineRule="auto" w:before="63"/>
        <w:ind w:left="511" w:right="1118" w:firstLine="199"/>
        <w:jc w:val="left"/>
      </w:pPr>
      <w:r>
        <w:rPr>
          <w:rFonts w:ascii="Times New Roman" w:hAnsi="Times New Roman" w:cs="Times New Roman" w:eastAsia="Times New Roman" w:hint="default"/>
          <w:spacing w:val="-1"/>
        </w:rPr>
        <w:t>1</w:t>
      </w:r>
      <w:r>
        <w:rPr>
          <w:spacing w:val="-1"/>
        </w:rPr>
        <w:t>）合同成本能够收回的，合同收入根据能够收回的实际合同成本予以确认，合同成本在其发生的当期确认为合同费</w:t>
      </w:r>
      <w:r>
        <w:rPr/>
        <w:t> 用。</w:t>
      </w:r>
    </w:p>
    <w:p>
      <w:pPr>
        <w:pStyle w:val="BodyText"/>
        <w:spacing w:line="240" w:lineRule="auto" w:before="31"/>
        <w:ind w:left="711" w:right="0"/>
        <w:jc w:val="left"/>
      </w:pPr>
      <w:r>
        <w:rPr>
          <w:rFonts w:ascii="Times New Roman" w:hAnsi="Times New Roman" w:cs="Times New Roman" w:eastAsia="Times New Roman" w:hint="default"/>
        </w:rPr>
        <w:t>2</w:t>
      </w:r>
      <w:r>
        <w:rPr/>
        <w:t>）合同成本不可能收回的，在发生时立即确认为合同费用，不确认合同收入。</w:t>
      </w:r>
    </w:p>
    <w:p>
      <w:pPr>
        <w:pStyle w:val="BodyText"/>
        <w:spacing w:line="240" w:lineRule="auto" w:before="63"/>
        <w:ind w:left="711" w:right="0"/>
        <w:jc w:val="left"/>
      </w:pPr>
      <w:r>
        <w:rPr/>
        <w:t>（</w:t>
      </w:r>
      <w:r>
        <w:rPr>
          <w:rFonts w:ascii="Times New Roman" w:hAnsi="Times New Roman" w:cs="Times New Roman" w:eastAsia="Times New Roman" w:hint="default"/>
        </w:rPr>
        <w:t>3</w:t>
      </w:r>
      <w:r>
        <w:rPr/>
        <w:t>）如果合同总成本很可能超过合同总收入，则预期损失立即确认为费用。</w:t>
      </w:r>
    </w:p>
    <w:p>
      <w:pPr>
        <w:spacing w:line="300" w:lineRule="auto" w:before="63"/>
        <w:ind w:left="871"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、附回购条件的资产转让</w:t>
      </w:r>
      <w:r>
        <w:rPr>
          <w:rFonts w:ascii="宋体" w:hAnsi="宋体" w:cs="宋体" w:eastAsia="宋体" w:hint="default"/>
          <w:b/>
          <w:bCs/>
          <w:w w:val="99"/>
          <w:sz w:val="18"/>
          <w:szCs w:val="18"/>
        </w:rPr>
        <w:t> </w:t>
      </w:r>
      <w:r>
        <w:rPr>
          <w:rFonts w:ascii="宋体" w:hAnsi="宋体" w:cs="宋体" w:eastAsia="宋体" w:hint="default"/>
          <w:spacing w:val="-2"/>
          <w:sz w:val="18"/>
          <w:szCs w:val="18"/>
        </w:rPr>
        <w:t>公司销售产品或转让其他资产时，与购买方签订了所销售的产品或转让资产回购协议，根据协议条款判断销售商品</w:t>
      </w:r>
    </w:p>
    <w:p>
      <w:pPr>
        <w:pStyle w:val="BodyText"/>
        <w:spacing w:line="316" w:lineRule="auto" w:before="32"/>
        <w:ind w:left="511" w:right="0"/>
        <w:jc w:val="left"/>
      </w:pPr>
      <w:r>
        <w:rPr>
          <w:spacing w:val="-2"/>
        </w:rPr>
        <w:t>是否满足收入确认条件。如售后回购属于融资交易，则在交付产品或资产时，本公司不确认销售收入。回购价款大于销</w:t>
      </w:r>
      <w:r>
        <w:rPr>
          <w:spacing w:val="-68"/>
        </w:rPr>
        <w:t> </w:t>
      </w:r>
      <w:r>
        <w:rPr>
          <w:spacing w:val="-68"/>
        </w:rPr>
      </w:r>
      <w:r>
        <w:rPr/>
        <w:t>售价款的差额，在回购期间按期计提利息，计入财务费用。</w:t>
      </w:r>
    </w:p>
    <w:p>
      <w:pPr>
        <w:pStyle w:val="Heading5"/>
        <w:spacing w:line="240" w:lineRule="auto" w:before="19"/>
        <w:ind w:left="871" w:right="0"/>
        <w:jc w:val="left"/>
        <w:rPr>
          <w:b w:val="0"/>
          <w:bCs w:val="0"/>
        </w:rPr>
      </w:pPr>
      <w:r>
        <w:rPr>
          <w:rFonts w:ascii="Times New Roman" w:hAnsi="Times New Roman" w:cs="Times New Roman" w:eastAsia="Times New Roman" w:hint="default"/>
        </w:rPr>
        <w:t>6</w:t>
      </w:r>
      <w:r>
        <w:rPr/>
        <w:t>、本公司相关收入的具体确认原则</w:t>
      </w:r>
      <w:r>
        <w:rPr>
          <w:b w:val="0"/>
          <w:bCs w:val="0"/>
        </w:rPr>
      </w:r>
    </w:p>
    <w:p>
      <w:pPr>
        <w:pStyle w:val="BodyText"/>
        <w:spacing w:line="240" w:lineRule="auto" w:before="63"/>
        <w:ind w:left="871" w:right="0"/>
        <w:jc w:val="left"/>
      </w:pPr>
      <w:r>
        <w:rPr/>
        <w:t>（</w:t>
      </w:r>
      <w:r>
        <w:rPr>
          <w:rFonts w:ascii="Times New Roman" w:hAnsi="Times New Roman" w:cs="Times New Roman" w:eastAsia="Times New Roman" w:hint="default"/>
        </w:rPr>
        <w:t>1</w:t>
      </w:r>
      <w:r>
        <w:rPr/>
        <w:t>）成套开关设备收入确认的时点是：本公司与客户签订销售合同后，根据合同要求组织生产，产品完工后验收</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ind w:left="511" w:right="1035"/>
        <w:jc w:val="left"/>
      </w:pPr>
      <w:r>
        <w:rPr/>
        <w:t>入库，根据客户要求开具出库单将产品发到指定地点进行安装调试，安装调试达到验收标准后即获得收取货款的权利， 据此开具发票确认收入。</w:t>
      </w:r>
    </w:p>
    <w:p>
      <w:pPr>
        <w:pStyle w:val="BodyText"/>
        <w:spacing w:line="240" w:lineRule="auto" w:before="19"/>
        <w:ind w:left="871" w:right="0"/>
        <w:jc w:val="left"/>
      </w:pPr>
      <w:r>
        <w:rPr/>
        <w:t>（</w:t>
      </w:r>
      <w:r>
        <w:rPr>
          <w:rFonts w:ascii="Times New Roman" w:hAnsi="Times New Roman" w:cs="Times New Roman" w:eastAsia="Times New Roman" w:hint="default"/>
        </w:rPr>
        <w:t>2</w:t>
      </w:r>
      <w:r>
        <w:rPr/>
        <w:t>）系统集成收入的确认原则：</w:t>
      </w:r>
    </w:p>
    <w:p>
      <w:pPr>
        <w:pStyle w:val="BodyText"/>
        <w:spacing w:line="300" w:lineRule="auto" w:before="63"/>
        <w:ind w:left="511" w:right="1132" w:firstLine="199"/>
        <w:jc w:val="both"/>
      </w:pPr>
      <w:r>
        <w:rPr>
          <w:rFonts w:ascii="Times New Roman" w:hAnsi="Times New Roman" w:cs="Times New Roman" w:eastAsia="Times New Roman" w:hint="default"/>
          <w:spacing w:val="-1"/>
        </w:rPr>
        <w:t>1</w:t>
      </w:r>
      <w:r>
        <w:rPr>
          <w:spacing w:val="-1"/>
        </w:rPr>
        <w:t>）本公司对以提供系统集成设备为主，同时提供设备的安装、调试及运行等配套服务的，经验收合格后取得业主方</w:t>
      </w:r>
      <w:r>
        <w:rPr/>
        <w:t> 的竣工验收单后确认销售收入的实现。</w:t>
      </w:r>
    </w:p>
    <w:p>
      <w:pPr>
        <w:pStyle w:val="BodyText"/>
        <w:spacing w:line="300" w:lineRule="auto" w:before="31"/>
        <w:ind w:left="511" w:right="1132" w:firstLine="199"/>
        <w:jc w:val="both"/>
      </w:pPr>
      <w:r>
        <w:rPr>
          <w:rFonts w:ascii="Times New Roman" w:hAnsi="Times New Roman" w:cs="Times New Roman" w:eastAsia="Times New Roman" w:hint="default"/>
          <w:spacing w:val="-1"/>
        </w:rPr>
        <w:t>2</w:t>
      </w:r>
      <w:r>
        <w:rPr>
          <w:spacing w:val="-1"/>
        </w:rPr>
        <w:t>）本公司对以提供客户解决方案和应用软件开发服务的系统集成类项目，按照完工百分比法确认收入。如项目在同</w:t>
      </w:r>
      <w:r>
        <w:rPr/>
        <w:t> 一会计年度内开始并完成的，应根据经业主方确认的竣工验收单确认销售收入的实现。</w:t>
      </w:r>
    </w:p>
    <w:p>
      <w:pPr>
        <w:pStyle w:val="BodyText"/>
        <w:spacing w:line="316" w:lineRule="auto" w:before="31"/>
        <w:ind w:left="511" w:right="1131" w:firstLine="360"/>
        <w:jc w:val="both"/>
      </w:pPr>
      <w:r>
        <w:rPr>
          <w:spacing w:val="-2"/>
        </w:rPr>
        <w:t>完工百分比法的确认方法：根据累计发生的实际成本占合同预计总成本的比例确定。预算总成本的编制：公司对项</w:t>
      </w:r>
      <w:r>
        <w:rPr/>
        <w:t> </w:t>
      </w:r>
      <w:r>
        <w:rPr>
          <w:spacing w:val="-2"/>
        </w:rPr>
        <w:t>目预算管理通过编制项目总体预算来实现，预算事项主要包括设备的采购成本、工程施工成本、安装材料、人工费以及</w:t>
      </w:r>
      <w:r>
        <w:rPr>
          <w:spacing w:val="-68"/>
        </w:rPr>
        <w:t> </w:t>
      </w:r>
      <w:r>
        <w:rPr>
          <w:spacing w:val="-68"/>
        </w:rPr>
      </w:r>
      <w:r>
        <w:rPr>
          <w:spacing w:val="-2"/>
        </w:rPr>
        <w:t>其他费用等支出。其中材料、设备、施工成本在制定预算时通过市场询价、商务谈判确定，人工费用根据项目投入的人</w:t>
      </w:r>
      <w:r>
        <w:rPr>
          <w:spacing w:val="-66"/>
        </w:rPr>
        <w:t> </w:t>
      </w:r>
      <w:r>
        <w:rPr>
          <w:spacing w:val="-66"/>
        </w:rPr>
      </w:r>
      <w:r>
        <w:rPr/>
        <w:t>员、时间来编制预算。</w:t>
      </w:r>
    </w:p>
    <w:p>
      <w:pPr>
        <w:pStyle w:val="BodyText"/>
        <w:spacing w:line="309" w:lineRule="auto" w:before="19"/>
        <w:ind w:left="511" w:right="1131" w:firstLine="199"/>
        <w:jc w:val="both"/>
      </w:pPr>
      <w:r>
        <w:rPr>
          <w:rFonts w:ascii="Times New Roman" w:hAnsi="Times New Roman" w:cs="Times New Roman" w:eastAsia="Times New Roman" w:hint="default"/>
          <w:spacing w:val="-2"/>
        </w:rPr>
        <w:t>3</w:t>
      </w:r>
      <w:r>
        <w:rPr>
          <w:spacing w:val="-2"/>
        </w:rPr>
        <w:t>）本公司对</w:t>
      </w:r>
      <w:r>
        <w:rPr>
          <w:rFonts w:ascii="Times New Roman" w:hAnsi="Times New Roman" w:cs="Times New Roman" w:eastAsia="Times New Roman" w:hint="default"/>
          <w:spacing w:val="-2"/>
        </w:rPr>
        <w:t>BT</w:t>
      </w:r>
      <w:r>
        <w:rPr>
          <w:spacing w:val="-2"/>
        </w:rPr>
        <w:t>或</w:t>
      </w:r>
      <w:r>
        <w:rPr>
          <w:rFonts w:ascii="Times New Roman" w:hAnsi="Times New Roman" w:cs="Times New Roman" w:eastAsia="Times New Roman" w:hint="default"/>
          <w:spacing w:val="-2"/>
        </w:rPr>
        <w:t>BOT</w:t>
      </w:r>
      <w:r>
        <w:rPr>
          <w:spacing w:val="-2"/>
        </w:rPr>
        <w:t>业务所提供的建造服务，采用完工百分比法来确认项目建造服务的收入和成本，将收取对价的</w:t>
      </w:r>
      <w:r>
        <w:rPr/>
        <w:t> </w:t>
      </w:r>
      <w:r>
        <w:rPr>
          <w:spacing w:val="-2"/>
        </w:rPr>
        <w:t>权利确认为金融资产（长期应收款）或无形资产。长期应收款采用摊余成本计量并按期确认利息收入，实际利率在长期</w:t>
      </w:r>
      <w:r>
        <w:rPr>
          <w:spacing w:val="-68"/>
        </w:rPr>
        <w:t> </w:t>
      </w:r>
      <w:r>
        <w:rPr>
          <w:spacing w:val="-68"/>
        </w:rPr>
      </w:r>
      <w:r>
        <w:rPr/>
        <w:t>应收款存续期内一般保持不变。</w:t>
      </w:r>
    </w:p>
    <w:p>
      <w:pPr>
        <w:pStyle w:val="BodyText"/>
        <w:spacing w:line="300" w:lineRule="auto" w:before="24"/>
        <w:ind w:left="511" w:right="1178" w:firstLine="364"/>
        <w:jc w:val="both"/>
      </w:pPr>
      <w:r>
        <w:rPr>
          <w:rFonts w:ascii="Times New Roman" w:hAnsi="Times New Roman" w:cs="Times New Roman" w:eastAsia="Times New Roman" w:hint="default"/>
        </w:rPr>
        <w:t>BT</w:t>
      </w:r>
      <w:r>
        <w:rPr/>
        <w:t>项目涉及的长期应收款原则上不计提坏账准备，如有确凿证据表明不能收回或收回可能性不大时，则按其不可 收回金额计提坏账准备。</w:t>
      </w:r>
    </w:p>
    <w:p>
      <w:pPr>
        <w:pStyle w:val="BodyText"/>
        <w:spacing w:line="300" w:lineRule="auto" w:before="31"/>
        <w:ind w:left="511" w:right="1142" w:firstLine="360"/>
        <w:jc w:val="both"/>
      </w:pPr>
      <w:r>
        <w:rPr/>
        <w:t>（</w:t>
      </w:r>
      <w:r>
        <w:rPr>
          <w:rFonts w:ascii="Times New Roman" w:hAnsi="Times New Roman" w:cs="Times New Roman" w:eastAsia="Times New Roman" w:hint="default"/>
        </w:rPr>
        <w:t>3</w:t>
      </w:r>
      <w:r>
        <w:rPr/>
        <w:t>）软件开发和咨询服务收入的确认原则：该类业务的收入均在提供软件产品和咨询服务后，经客户验收确认以 后作为销售收入的实现。</w:t>
      </w:r>
    </w:p>
    <w:p>
      <w:pPr>
        <w:pStyle w:val="BodyText"/>
        <w:spacing w:line="300" w:lineRule="auto" w:before="31"/>
        <w:ind w:left="511" w:right="1133" w:firstLine="360"/>
        <w:jc w:val="both"/>
      </w:pPr>
      <w:r>
        <w:rPr/>
        <w:t>（</w:t>
      </w:r>
      <w:r>
        <w:rPr>
          <w:rFonts w:ascii="Times New Roman" w:hAnsi="Times New Roman" w:cs="Times New Roman" w:eastAsia="Times New Roman" w:hint="default"/>
        </w:rPr>
        <w:t>4</w:t>
      </w:r>
      <w:r>
        <w:rPr/>
        <w:t>）其他产品确认的时点是：本公司根据合同要求组织生产，于仓库发出产品，开具出库单，获得收取货款的权 利时确认收入。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48"/>
        <w:ind w:right="0"/>
        <w:jc w:val="left"/>
        <w:rPr>
          <w:b w:val="0"/>
          <w:bCs w:val="0"/>
        </w:rPr>
      </w:pPr>
      <w:bookmarkStart w:name="27、政府补助" w:id="213"/>
      <w:bookmarkEnd w:id="213"/>
      <w:r>
        <w:rPr>
          <w:b w:val="0"/>
          <w:bCs w:val="0"/>
        </w:rPr>
      </w:r>
      <w:r>
        <w:rPr>
          <w:rFonts w:ascii="Times New Roman" w:hAnsi="Times New Roman" w:cs="Times New Roman" w:eastAsia="Times New Roman" w:hint="default"/>
        </w:rPr>
        <w:t>27</w:t>
      </w:r>
      <w:r>
        <w:rPr/>
        <w:t>、政府补助</w:t>
      </w:r>
      <w:r>
        <w:rPr>
          <w:b w:val="0"/>
          <w:bCs w:val="0"/>
        </w:rPr>
      </w:r>
    </w:p>
    <w:p>
      <w:pPr>
        <w:spacing w:line="240" w:lineRule="auto" w:before="7"/>
        <w:rPr>
          <w:rFonts w:ascii="宋体" w:hAnsi="宋体" w:cs="宋体" w:eastAsia="宋体" w:hint="default"/>
          <w:b/>
          <w:bCs/>
          <w:sz w:val="26"/>
          <w:szCs w:val="26"/>
        </w:rPr>
      </w:pPr>
    </w:p>
    <w:p>
      <w:pPr>
        <w:pStyle w:val="BodyText"/>
        <w:spacing w:line="300" w:lineRule="auto" w:before="0"/>
        <w:ind w:left="871" w:right="1118"/>
        <w:jc w:val="left"/>
      </w:pPr>
      <w:r>
        <w:rPr>
          <w:rFonts w:ascii="Times New Roman" w:hAnsi="Times New Roman" w:cs="Times New Roman" w:eastAsia="Times New Roman" w:hint="default"/>
          <w:b/>
          <w:bCs/>
        </w:rPr>
        <w:t>1</w:t>
      </w:r>
      <w:r>
        <w:rPr>
          <w:rFonts w:ascii="宋体" w:hAnsi="宋体" w:cs="宋体" w:eastAsia="宋体" w:hint="default"/>
          <w:b/>
          <w:bCs/>
        </w:rPr>
        <w:t>、类型</w:t>
      </w:r>
      <w:r>
        <w:rPr>
          <w:rFonts w:ascii="宋体" w:hAnsi="宋体" w:cs="宋体" w:eastAsia="宋体" w:hint="default"/>
          <w:b/>
          <w:bCs/>
          <w:spacing w:val="1"/>
          <w:w w:val="99"/>
        </w:rPr>
        <w:t> </w:t>
      </w:r>
      <w:r>
        <w:rPr>
          <w:spacing w:val="-2"/>
        </w:rPr>
        <w:t>政府补助，是本公司从政府无偿取得的货币性资产与非货币性资产。根据相关政府文件规定的补助对象，将政府补</w:t>
      </w:r>
    </w:p>
    <w:p>
      <w:pPr>
        <w:pStyle w:val="BodyText"/>
        <w:spacing w:line="316" w:lineRule="auto" w:before="31"/>
        <w:ind w:left="871" w:right="0" w:hanging="361"/>
        <w:jc w:val="left"/>
      </w:pPr>
      <w:r>
        <w:rPr/>
        <w:t>助划分为与资产相关的政府补助和与收益相关的政府补助。 </w:t>
      </w:r>
      <w:r>
        <w:rPr>
          <w:spacing w:val="-2"/>
        </w:rPr>
        <w:t>对于政府文件未明确补助对象的政府补助，公司根据实际补助对象划分为与资产相关的政府补助或与收益相关的政</w:t>
      </w:r>
    </w:p>
    <w:p>
      <w:pPr>
        <w:pStyle w:val="BodyText"/>
        <w:spacing w:line="300" w:lineRule="auto" w:before="19"/>
        <w:ind w:left="871" w:right="0" w:hanging="361"/>
        <w:jc w:val="left"/>
      </w:pPr>
      <w:r>
        <w:rPr/>
        <w:t>府补助，相关判断依据说明详见本财务报表附注六之递延收益</w:t>
      </w:r>
      <w:r>
        <w:rPr>
          <w:rFonts w:ascii="Times New Roman" w:hAnsi="Times New Roman" w:cs="Times New Roman" w:eastAsia="Times New Roman" w:hint="default"/>
        </w:rPr>
        <w:t>/</w:t>
      </w:r>
      <w:r>
        <w:rPr/>
        <w:t>营业外收入项目注释。 </w:t>
      </w:r>
      <w:r>
        <w:rPr>
          <w:spacing w:val="-2"/>
        </w:rPr>
        <w:t>与资产相关的政府补助，是指本公司取得的、用于购建或以其他方式形成长期资产的政府补助。与收益相关的政府</w:t>
      </w:r>
    </w:p>
    <w:p>
      <w:pPr>
        <w:pStyle w:val="BodyText"/>
        <w:spacing w:line="240" w:lineRule="auto" w:before="31"/>
        <w:ind w:left="511" w:right="0"/>
        <w:jc w:val="left"/>
      </w:pPr>
      <w:r>
        <w:rPr/>
        <w:t>补助，是指除与资产相关的政府补助之外的政府补助。</w:t>
      </w:r>
    </w:p>
    <w:p>
      <w:pPr>
        <w:pStyle w:val="BodyText"/>
        <w:spacing w:line="300" w:lineRule="auto" w:before="76"/>
        <w:ind w:left="871" w:right="0"/>
        <w:jc w:val="left"/>
      </w:pPr>
      <w:r>
        <w:rPr>
          <w:rFonts w:ascii="Times New Roman" w:hAnsi="Times New Roman" w:cs="Times New Roman" w:eastAsia="Times New Roman" w:hint="default"/>
          <w:b/>
          <w:bCs/>
        </w:rPr>
        <w:t>2</w:t>
      </w:r>
      <w:r>
        <w:rPr>
          <w:rFonts w:ascii="宋体" w:hAnsi="宋体" w:cs="宋体" w:eastAsia="宋体" w:hint="default"/>
          <w:b/>
          <w:bCs/>
        </w:rPr>
        <w:t>、政府补助的确认</w:t>
      </w:r>
      <w:r>
        <w:rPr>
          <w:rFonts w:ascii="宋体" w:hAnsi="宋体" w:cs="宋体" w:eastAsia="宋体" w:hint="default"/>
          <w:b/>
          <w:bCs/>
          <w:w w:val="99"/>
        </w:rPr>
        <w:t> </w:t>
      </w:r>
      <w:r>
        <w:rPr>
          <w:spacing w:val="-2"/>
        </w:rPr>
        <w:t>对期末有证据表明公司能够符合财政扶持政策规定的相关条件且预计能够收到财政扶持资金的，按应收金额确认政</w:t>
      </w:r>
    </w:p>
    <w:p>
      <w:pPr>
        <w:pStyle w:val="BodyText"/>
        <w:spacing w:line="316" w:lineRule="auto" w:before="31"/>
        <w:ind w:left="871" w:right="0" w:hanging="361"/>
        <w:jc w:val="left"/>
      </w:pPr>
      <w:r>
        <w:rPr/>
        <w:t>府补助。除此之外，政府补助均在实际收到时确认。 </w:t>
      </w:r>
      <w:r>
        <w:rPr>
          <w:spacing w:val="-2"/>
        </w:rPr>
        <w:t>政府补助为货币性资产的，按照收到或应收的金额计量。政府补助为非货币性资产的，按照公允价值计量；公允价</w:t>
      </w:r>
    </w:p>
    <w:p>
      <w:pPr>
        <w:pStyle w:val="BodyText"/>
        <w:spacing w:line="300" w:lineRule="auto" w:before="19"/>
        <w:ind w:left="871" w:right="1118" w:hanging="361"/>
        <w:jc w:val="left"/>
      </w:pPr>
      <w:r>
        <w:rPr/>
        <w:t>值不能够可靠取得的，按照名义金额（人民币</w:t>
      </w:r>
      <w:r>
        <w:rPr>
          <w:rFonts w:ascii="Times New Roman" w:hAnsi="Times New Roman" w:cs="Times New Roman" w:eastAsia="Times New Roman" w:hint="default"/>
        </w:rPr>
        <w:t>1</w:t>
      </w:r>
      <w:r>
        <w:rPr/>
        <w:t>元）计量。按照名义金额计量的政府补助，直接计入当期损益。 </w:t>
      </w:r>
      <w:r>
        <w:rPr>
          <w:rFonts w:ascii="Times New Roman" w:hAnsi="Times New Roman" w:cs="Times New Roman" w:eastAsia="Times New Roman" w:hint="default"/>
          <w:b/>
          <w:bCs/>
        </w:rPr>
        <w:t>3</w:t>
      </w:r>
      <w:r>
        <w:rPr>
          <w:rFonts w:ascii="宋体" w:hAnsi="宋体" w:cs="宋体" w:eastAsia="宋体" w:hint="default"/>
          <w:b/>
          <w:bCs/>
        </w:rPr>
        <w:t>、会计处理方法</w:t>
      </w:r>
      <w:r>
        <w:rPr>
          <w:rFonts w:ascii="宋体" w:hAnsi="宋体" w:cs="宋体" w:eastAsia="宋体" w:hint="default"/>
          <w:b/>
          <w:bCs/>
          <w:w w:val="99"/>
        </w:rPr>
        <w:t> </w:t>
      </w:r>
      <w:r>
        <w:rPr>
          <w:spacing w:val="-2"/>
        </w:rPr>
        <w:t>与资产相关的政府补助，确认为递延收益，按照所建造或购买的资产使用年限内按照合理、系统的方法分期计入损</w:t>
      </w:r>
    </w:p>
    <w:p>
      <w:pPr>
        <w:pStyle w:val="BodyText"/>
        <w:spacing w:line="240" w:lineRule="auto" w:before="31"/>
        <w:ind w:left="511" w:right="0"/>
        <w:jc w:val="left"/>
      </w:pPr>
      <w:r>
        <w:rPr/>
        <w:t>益；</w:t>
      </w:r>
    </w:p>
    <w:p>
      <w:pPr>
        <w:pStyle w:val="BodyText"/>
        <w:spacing w:line="240" w:lineRule="auto" w:before="76"/>
        <w:ind w:left="871" w:right="0"/>
        <w:jc w:val="left"/>
      </w:pPr>
      <w:r>
        <w:rPr/>
        <w:t>与收益相关的政府补助，用于补偿企业以后期间的相关费用或损失的，确认为递延收益，在确认相关费用或损失的</w:t>
      </w:r>
    </w:p>
    <w:p>
      <w:pPr>
        <w:pStyle w:val="BodyText"/>
        <w:spacing w:line="316" w:lineRule="auto" w:before="77"/>
        <w:ind w:left="871" w:right="0" w:hanging="361"/>
        <w:jc w:val="left"/>
      </w:pPr>
      <w:r>
        <w:rPr/>
        <w:t>期间计入当期损益；用于补偿企业已发生的相关费用或损失的，取得时直接计入当期损益。 与企业日常活动相关的政府补助计入其他收益；与企业日常活动无关的政府补助计入营业外收支。 </w:t>
      </w:r>
      <w:r>
        <w:rPr>
          <w:spacing w:val="-2"/>
        </w:rPr>
        <w:t>收到与政策性优惠贷款贴息相关的政府补助冲减相关借款费用；取得贷款银行提供的政策性优惠利率贷款的，以实</w:t>
      </w:r>
    </w:p>
    <w:p>
      <w:pPr>
        <w:pStyle w:val="BodyText"/>
        <w:spacing w:line="240" w:lineRule="auto" w:before="19"/>
        <w:ind w:left="511" w:right="0"/>
        <w:jc w:val="left"/>
      </w:pPr>
      <w:r>
        <w:rPr/>
        <w:t>际收到的借款金额作为借款的入账价值，按照借款本金和该政策性优惠利率计算相关借款费用</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ind w:left="511" w:right="1131" w:firstLine="360"/>
        <w:jc w:val="both"/>
      </w:pPr>
      <w:r>
        <w:rPr>
          <w:spacing w:val="-2"/>
        </w:rPr>
        <w:t>已确认的政府补助需要返还时，初始确认时冲减相关资产账面价值的，调整资产账面价值；存在相关递延收益余额</w:t>
      </w:r>
      <w:r>
        <w:rPr/>
        <w:t> 的，冲减相关递延收益账面余额，超出部分计入当期损益；不存在相关递延收益的，直接计入当期损益。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6"/>
        <w:ind w:right="0"/>
        <w:jc w:val="left"/>
        <w:rPr>
          <w:b w:val="0"/>
          <w:bCs w:val="0"/>
        </w:rPr>
      </w:pPr>
      <w:bookmarkStart w:name="28、递延所得税资产/递延所得税负债" w:id="214"/>
      <w:bookmarkEnd w:id="214"/>
      <w:r>
        <w:rPr>
          <w:b w:val="0"/>
          <w:bCs w:val="0"/>
        </w:rPr>
      </w:r>
      <w:r>
        <w:rPr>
          <w:rFonts w:ascii="Times New Roman" w:hAnsi="Times New Roman" w:cs="Times New Roman" w:eastAsia="Times New Roman" w:hint="default"/>
        </w:rPr>
        <w:t>28</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300" w:lineRule="auto" w:before="0"/>
        <w:ind w:left="511" w:right="1130" w:firstLine="360"/>
        <w:jc w:val="both"/>
      </w:pPr>
      <w:r>
        <w:rPr>
          <w:spacing w:val="-1"/>
        </w:rPr>
        <w:t>递延所得税资产和递延所得税负债根据资产和负债的计税基础与其账面价值的差额</w:t>
      </w:r>
      <w:r>
        <w:rPr>
          <w:rFonts w:ascii="Times New Roman" w:hAnsi="Times New Roman" w:cs="Times New Roman" w:eastAsia="Times New Roman" w:hint="default"/>
          <w:spacing w:val="-1"/>
        </w:rPr>
        <w:t>(</w:t>
      </w:r>
      <w:r>
        <w:rPr>
          <w:spacing w:val="-1"/>
        </w:rPr>
        <w:t>暂时性差异</w:t>
      </w:r>
      <w:r>
        <w:rPr>
          <w:rFonts w:ascii="Times New Roman" w:hAnsi="Times New Roman" w:cs="Times New Roman" w:eastAsia="Times New Roman" w:hint="default"/>
          <w:spacing w:val="-1"/>
        </w:rPr>
        <w:t>)</w:t>
      </w:r>
      <w:r>
        <w:rPr>
          <w:spacing w:val="-1"/>
        </w:rPr>
        <w:t>计算确认。于资产</w:t>
      </w:r>
      <w:r>
        <w:rPr/>
        <w:t> 负债表日，递延所得税资产和递延所得税负债，按照预期收回该资产或清偿该负债期间的适用税率计量。</w:t>
      </w:r>
    </w:p>
    <w:p>
      <w:pPr>
        <w:spacing w:line="300" w:lineRule="auto" w:before="31"/>
        <w:ind w:left="871" w:right="1215"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、确认递延所得税资产的依据</w:t>
      </w:r>
      <w:r>
        <w:rPr>
          <w:rFonts w:ascii="宋体" w:hAnsi="宋体" w:cs="宋体" w:eastAsia="宋体" w:hint="default"/>
          <w:b/>
          <w:bCs/>
          <w:w w:val="99"/>
          <w:sz w:val="18"/>
          <w:szCs w:val="18"/>
        </w:rPr>
        <w:t> </w:t>
      </w:r>
      <w:r>
        <w:rPr>
          <w:rFonts w:ascii="宋体" w:hAnsi="宋体" w:cs="宋体" w:eastAsia="宋体" w:hint="default"/>
          <w:sz w:val="18"/>
          <w:szCs w:val="18"/>
        </w:rPr>
        <w:t>本公司以很可能取得用来抵扣可抵扣暂时性差异、能够结转以后年度的可抵扣亏损和税款抵减的应纳税所得额为</w:t>
      </w:r>
    </w:p>
    <w:p>
      <w:pPr>
        <w:pStyle w:val="BodyText"/>
        <w:spacing w:line="309" w:lineRule="auto" w:before="31"/>
        <w:ind w:left="511" w:right="1131"/>
        <w:jc w:val="both"/>
      </w:pPr>
      <w:r>
        <w:rPr>
          <w:spacing w:val="-2"/>
        </w:rPr>
        <w:t>限，确认由可抵扣暂时性差异产生的递延所得税资产。但是，同时具有下列特征的交易中因资产或负债的初始确认所产</w:t>
      </w:r>
      <w:r>
        <w:rPr>
          <w:spacing w:val="-67"/>
        </w:rPr>
        <w:t> </w:t>
      </w:r>
      <w:r>
        <w:rPr>
          <w:spacing w:val="-67"/>
        </w:rPr>
      </w:r>
      <w:r>
        <w:rPr>
          <w:spacing w:val="-2"/>
        </w:rPr>
        <w:t>生的递延所得税资产不予确认：（</w:t>
      </w:r>
      <w:r>
        <w:rPr>
          <w:rFonts w:ascii="Times New Roman" w:hAnsi="Times New Roman" w:cs="Times New Roman" w:eastAsia="Times New Roman" w:hint="default"/>
          <w:spacing w:val="-2"/>
        </w:rPr>
        <w:t>1</w:t>
      </w:r>
      <w:r>
        <w:rPr>
          <w:spacing w:val="-2"/>
        </w:rPr>
        <w:t>）该交易不是企业合并；（</w:t>
      </w:r>
      <w:r>
        <w:rPr>
          <w:rFonts w:ascii="Times New Roman" w:hAnsi="Times New Roman" w:cs="Times New Roman" w:eastAsia="Times New Roman" w:hint="default"/>
          <w:spacing w:val="-2"/>
        </w:rPr>
        <w:t>2</w:t>
      </w:r>
      <w:r>
        <w:rPr>
          <w:spacing w:val="-2"/>
        </w:rPr>
        <w:t>）交易发生时既不影响会计利润也不影响应纳税所得额</w:t>
      </w:r>
      <w:r>
        <w:rPr>
          <w:spacing w:val="-66"/>
        </w:rPr>
        <w:t> </w:t>
      </w:r>
      <w:r>
        <w:rPr>
          <w:spacing w:val="-66"/>
        </w:rPr>
      </w:r>
      <w:r>
        <w:rPr/>
        <w:t>或可抵扣亏损。</w:t>
      </w:r>
    </w:p>
    <w:p>
      <w:pPr>
        <w:pStyle w:val="BodyText"/>
        <w:spacing w:line="316" w:lineRule="auto" w:before="24"/>
        <w:ind w:left="511" w:right="1131" w:firstLine="360"/>
        <w:jc w:val="both"/>
      </w:pPr>
      <w:r>
        <w:rPr>
          <w:spacing w:val="-2"/>
        </w:rPr>
        <w:t>对于与联营企业投资相关的可抵扣暂时性差异，同时满足下列条件的，确认相应的递延所得税资产：暂时性差异在</w:t>
      </w:r>
      <w:r>
        <w:rPr/>
        <w:t> 可预见的未来很可能转回，且未来很可能获得用来抵扣可抵扣暂时性差异的应纳税所得额。</w:t>
      </w:r>
    </w:p>
    <w:p>
      <w:pPr>
        <w:spacing w:line="300" w:lineRule="auto" w:before="19"/>
        <w:ind w:left="871" w:right="3015"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、确认递延所得税负债的依据</w:t>
      </w:r>
      <w:r>
        <w:rPr>
          <w:rFonts w:ascii="宋体" w:hAnsi="宋体" w:cs="宋体" w:eastAsia="宋体" w:hint="default"/>
          <w:b/>
          <w:bCs/>
          <w:w w:val="99"/>
          <w:sz w:val="18"/>
          <w:szCs w:val="18"/>
        </w:rPr>
        <w:t> </w:t>
      </w:r>
      <w:r>
        <w:rPr>
          <w:rFonts w:ascii="宋体" w:hAnsi="宋体" w:cs="宋体" w:eastAsia="宋体" w:hint="default"/>
          <w:sz w:val="18"/>
          <w:szCs w:val="18"/>
        </w:rPr>
        <w:t>公司将当期与以前期间应交未交的应纳税暂时性差异确认为递延所得税负债。但不包括：</w:t>
      </w:r>
    </w:p>
    <w:p>
      <w:pPr>
        <w:pStyle w:val="BodyText"/>
        <w:spacing w:line="240" w:lineRule="auto" w:before="31"/>
        <w:ind w:left="871" w:right="0"/>
        <w:jc w:val="left"/>
      </w:pPr>
      <w:r>
        <w:rPr/>
        <w:t>（</w:t>
      </w:r>
      <w:r>
        <w:rPr>
          <w:rFonts w:ascii="Times New Roman" w:hAnsi="Times New Roman" w:cs="Times New Roman" w:eastAsia="Times New Roman" w:hint="default"/>
        </w:rPr>
        <w:t>1</w:t>
      </w:r>
      <w:r>
        <w:rPr/>
        <w:t>）商誉的初始确认所形成的暂时性差异；</w:t>
      </w:r>
    </w:p>
    <w:p>
      <w:pPr>
        <w:pStyle w:val="BodyText"/>
        <w:spacing w:line="300" w:lineRule="auto" w:before="63"/>
        <w:ind w:left="511" w:right="1142" w:firstLine="360"/>
        <w:jc w:val="both"/>
      </w:pPr>
      <w:r>
        <w:rPr/>
        <w:t>（</w:t>
      </w:r>
      <w:r>
        <w:rPr>
          <w:rFonts w:ascii="Times New Roman" w:hAnsi="Times New Roman" w:cs="Times New Roman" w:eastAsia="Times New Roman" w:hint="default"/>
        </w:rPr>
        <w:t>2</w:t>
      </w:r>
      <w:r>
        <w:rPr/>
        <w:t>）非企业合并形成的交易或事项，且该交易或事项发生时既不影响会计利润，也不影响应纳税所得额（或可抵 扣亏损）所形成的暂时性差异；</w:t>
      </w:r>
    </w:p>
    <w:p>
      <w:pPr>
        <w:pStyle w:val="BodyText"/>
        <w:spacing w:line="300" w:lineRule="auto" w:before="31"/>
        <w:ind w:left="511" w:right="1142" w:firstLine="360"/>
        <w:jc w:val="both"/>
      </w:pPr>
      <w:r>
        <w:rPr/>
        <w:t>（</w:t>
      </w:r>
      <w:r>
        <w:rPr>
          <w:rFonts w:ascii="Times New Roman" w:hAnsi="Times New Roman" w:cs="Times New Roman" w:eastAsia="Times New Roman" w:hint="default"/>
        </w:rPr>
        <w:t>3</w:t>
      </w:r>
      <w:r>
        <w:rPr/>
        <w:t>）对于与子公司、联营企业投资相关的应纳税暂时性差异，该暂时性差异转回的时间能够控制并且该暂时性差 异在可预见的未来很可能不会转回。</w:t>
      </w:r>
    </w:p>
    <w:p>
      <w:pPr>
        <w:pStyle w:val="Heading5"/>
        <w:spacing w:line="240" w:lineRule="auto" w:before="32"/>
        <w:ind w:left="871" w:right="0"/>
        <w:jc w:val="left"/>
        <w:rPr>
          <w:b w:val="0"/>
          <w:bCs w:val="0"/>
        </w:rPr>
      </w:pPr>
      <w:r>
        <w:rPr>
          <w:rFonts w:ascii="Times New Roman" w:hAnsi="Times New Roman" w:cs="Times New Roman" w:eastAsia="Times New Roman" w:hint="default"/>
        </w:rPr>
        <w:t>3</w:t>
      </w:r>
      <w:r>
        <w:rPr/>
        <w:t>、同时满足下列条件时，将递延所得税资产及递延所得税负债以抵销后的净额列示</w:t>
      </w:r>
      <w:r>
        <w:rPr>
          <w:b w:val="0"/>
          <w:bCs w:val="0"/>
        </w:rPr>
      </w:r>
    </w:p>
    <w:p>
      <w:pPr>
        <w:pStyle w:val="BodyText"/>
        <w:spacing w:line="240" w:lineRule="auto" w:before="63"/>
        <w:ind w:left="871" w:right="0"/>
        <w:jc w:val="left"/>
      </w:pPr>
      <w:r>
        <w:rPr/>
        <w:t>（</w:t>
      </w:r>
      <w:r>
        <w:rPr>
          <w:rFonts w:ascii="Times New Roman" w:hAnsi="Times New Roman" w:cs="Times New Roman" w:eastAsia="Times New Roman" w:hint="default"/>
        </w:rPr>
        <w:t>1</w:t>
      </w:r>
      <w:r>
        <w:rPr/>
        <w:t>）企业拥有以净额结算当期所得税资产及当期所得税负债的法定权利；</w:t>
      </w:r>
    </w:p>
    <w:p>
      <w:pPr>
        <w:pStyle w:val="BodyText"/>
        <w:spacing w:line="309" w:lineRule="auto" w:before="63"/>
        <w:ind w:left="511" w:right="1133" w:firstLine="360"/>
        <w:jc w:val="both"/>
      </w:pPr>
      <w:r>
        <w:rPr/>
        <w:t>（</w:t>
      </w:r>
      <w:r>
        <w:rPr>
          <w:rFonts w:ascii="Times New Roman" w:hAnsi="Times New Roman" w:cs="Times New Roman" w:eastAsia="Times New Roman" w:hint="default"/>
        </w:rPr>
        <w:t>2</w:t>
      </w:r>
      <w:r>
        <w:rPr/>
        <w:t>）递延所得税资产和递延所得税负债是与同一税收征管部门对同一纳税主体征收的所得税相关或者对不同的纳 </w:t>
      </w:r>
      <w:r>
        <w:rPr>
          <w:spacing w:val="-2"/>
        </w:rPr>
        <w:t>税主体相关，但在未来每一具有重要性的递延所得税资产和递延所得税负债转回的期间内，涉及的纳税主体体意图以净</w:t>
      </w:r>
      <w:r>
        <w:rPr>
          <w:spacing w:val="-66"/>
        </w:rPr>
        <w:t> </w:t>
      </w:r>
      <w:r>
        <w:rPr>
          <w:spacing w:val="-66"/>
        </w:rPr>
      </w:r>
      <w:r>
        <w:rPr/>
        <w:t>额结算当期所得税资产及当期所得税负债或是同时取得资产、清偿债务。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41"/>
        <w:ind w:right="0"/>
        <w:jc w:val="left"/>
        <w:rPr>
          <w:b w:val="0"/>
          <w:bCs w:val="0"/>
        </w:rPr>
      </w:pPr>
      <w:bookmarkStart w:name="29、租赁" w:id="215"/>
      <w:bookmarkEnd w:id="215"/>
      <w:r>
        <w:rPr>
          <w:b w:val="0"/>
          <w:bCs w:val="0"/>
        </w:rPr>
      </w:r>
      <w:r>
        <w:rPr>
          <w:rFonts w:ascii="Times New Roman" w:hAnsi="Times New Roman" w:cs="Times New Roman" w:eastAsia="Times New Roman" w:hint="default"/>
        </w:rPr>
        <w:t>29</w:t>
      </w:r>
      <w:r>
        <w:rPr/>
        <w:t>、租赁</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经营租赁的会计处理方法" w:id="216"/>
      <w:bookmarkEnd w:id="216"/>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00" w:lineRule="auto" w:before="0"/>
        <w:ind w:left="871" w:right="0"/>
        <w:jc w:val="left"/>
      </w:pPr>
      <w:r>
        <w:rPr/>
        <w:t>（</w:t>
      </w:r>
      <w:r>
        <w:rPr>
          <w:rFonts w:ascii="Times New Roman" w:hAnsi="Times New Roman" w:cs="Times New Roman" w:eastAsia="Times New Roman" w:hint="default"/>
        </w:rPr>
        <w:t>1</w:t>
      </w:r>
      <w:r>
        <w:rPr/>
        <w:t>）经营租入资产 </w:t>
      </w:r>
      <w:r>
        <w:rPr>
          <w:spacing w:val="-2"/>
        </w:rPr>
        <w:t>公司租入资产所支付的租赁费，在不扣除免租期的整个租赁期内，按直线法进行分摊，计入当期费用。公司支付的</w:t>
      </w:r>
    </w:p>
    <w:p>
      <w:pPr>
        <w:pStyle w:val="BodyText"/>
        <w:spacing w:line="316" w:lineRule="auto" w:before="31"/>
        <w:ind w:left="871" w:right="0" w:hanging="361"/>
        <w:jc w:val="left"/>
      </w:pPr>
      <w:r>
        <w:rPr/>
        <w:t>与租赁交易相关的初始直接费用，计入当期费用。 </w:t>
      </w:r>
      <w:r>
        <w:rPr>
          <w:spacing w:val="-2"/>
        </w:rPr>
        <w:t>资产出租方承担了应由公司承担的与租赁相关的费用时，公司将该部分费用从租金总额中扣除，按扣除后的租金费</w:t>
      </w:r>
    </w:p>
    <w:p>
      <w:pPr>
        <w:pStyle w:val="BodyText"/>
        <w:spacing w:line="240" w:lineRule="auto" w:before="19"/>
        <w:ind w:left="511" w:right="0"/>
        <w:jc w:val="both"/>
      </w:pPr>
      <w:r>
        <w:rPr/>
        <w:t>用在租赁期内分摊，计入当期费用。</w:t>
      </w:r>
    </w:p>
    <w:p>
      <w:pPr>
        <w:pStyle w:val="BodyText"/>
        <w:spacing w:line="300" w:lineRule="auto" w:before="76"/>
        <w:ind w:left="871" w:right="0"/>
        <w:jc w:val="left"/>
      </w:pPr>
      <w:r>
        <w:rPr/>
        <w:t>（</w:t>
      </w:r>
      <w:r>
        <w:rPr>
          <w:rFonts w:ascii="Times New Roman" w:hAnsi="Times New Roman" w:cs="Times New Roman" w:eastAsia="Times New Roman" w:hint="default"/>
        </w:rPr>
        <w:t>2</w:t>
      </w:r>
      <w:r>
        <w:rPr/>
        <w:t>）经营租出资产 </w:t>
      </w:r>
      <w:r>
        <w:rPr>
          <w:spacing w:val="-2"/>
        </w:rPr>
        <w:t>公司出租资产所收取的租赁费，在不扣除免租期的整个租赁期内，按直线法进行分摊，确认为租赁收入。公司支付</w:t>
      </w:r>
    </w:p>
    <w:p>
      <w:pPr>
        <w:pStyle w:val="BodyText"/>
        <w:spacing w:line="316" w:lineRule="auto" w:before="32"/>
        <w:ind w:left="511" w:right="1131"/>
        <w:jc w:val="both"/>
      </w:pPr>
      <w:r>
        <w:rPr>
          <w:spacing w:val="-2"/>
        </w:rPr>
        <w:t>的与租赁交易相关的初始直接费用，计入当期费用；如金额较大的，则予以资本化，在整个租赁期间内按照与租赁收入</w:t>
      </w:r>
      <w:r>
        <w:rPr>
          <w:spacing w:val="-68"/>
        </w:rPr>
        <w:t> </w:t>
      </w:r>
      <w:r>
        <w:rPr>
          <w:spacing w:val="-68"/>
        </w:rPr>
      </w:r>
      <w:r>
        <w:rPr/>
        <w:t>确认相同的基础分期计入当期收益。</w:t>
      </w:r>
    </w:p>
    <w:p>
      <w:pPr>
        <w:pStyle w:val="BodyText"/>
        <w:spacing w:line="316" w:lineRule="auto" w:before="19"/>
        <w:ind w:left="511" w:right="1131" w:firstLine="360"/>
        <w:jc w:val="both"/>
      </w:pPr>
      <w:r>
        <w:rPr>
          <w:spacing w:val="-2"/>
        </w:rPr>
        <w:t>公司承担了应由承租方承担的与租赁相关的费用时，公司将该部分费用从租金收入总额中扣除，按扣除后的租金费</w:t>
      </w:r>
      <w:r>
        <w:rPr/>
        <w:t> 用在租赁期内分配。</w:t>
      </w:r>
    </w:p>
    <w:p>
      <w:pPr>
        <w:spacing w:after="0" w:line="316"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2）融资租赁的会计处理方法" w:id="217"/>
      <w:bookmarkEnd w:id="217"/>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09" w:lineRule="auto" w:before="0"/>
        <w:ind w:left="511" w:right="1142" w:firstLine="360"/>
        <w:jc w:val="both"/>
      </w:pPr>
      <w:r>
        <w:rPr/>
        <w:t>（</w:t>
      </w:r>
      <w:r>
        <w:rPr>
          <w:rFonts w:ascii="Times New Roman" w:hAnsi="Times New Roman" w:cs="Times New Roman" w:eastAsia="Times New Roman" w:hint="default"/>
        </w:rPr>
        <w:t>1</w:t>
      </w:r>
      <w:r>
        <w:rPr/>
        <w:t>）融资租入资产：公司在承租开始日，将租赁资产公允价值与最低租赁付款额现值两者中较低者作为租入资产 的入账价值，将最低租赁付款额作为长期应付款的入账价值，其差额作为未确认的融资费用。</w:t>
      </w:r>
      <w:r>
        <w:rPr>
          <w:spacing w:val="63"/>
        </w:rPr>
        <w:t> </w:t>
      </w:r>
      <w:r>
        <w:rPr/>
        <w:t>融资租入资产的认定</w:t>
      </w:r>
      <w:r>
        <w:rPr/>
        <w:t> 依据、计价和折旧方法详见本附注四／（十五）固定资产。</w:t>
      </w:r>
    </w:p>
    <w:p>
      <w:pPr>
        <w:pStyle w:val="BodyText"/>
        <w:spacing w:line="240" w:lineRule="auto" w:before="24"/>
        <w:ind w:left="871" w:right="0"/>
        <w:jc w:val="left"/>
      </w:pPr>
      <w:r>
        <w:rPr/>
        <w:t>公司采用实际利率法对未确认的融资费用，在资产租赁期间内摊销，计入财务费用。</w:t>
      </w:r>
    </w:p>
    <w:p>
      <w:pPr>
        <w:pStyle w:val="BodyText"/>
        <w:spacing w:line="309" w:lineRule="auto" w:before="76"/>
        <w:ind w:left="511" w:right="1132" w:firstLine="360"/>
        <w:jc w:val="both"/>
      </w:pPr>
      <w:r>
        <w:rPr/>
        <w:t>（</w:t>
      </w:r>
      <w:r>
        <w:rPr>
          <w:rFonts w:ascii="Times New Roman" w:hAnsi="Times New Roman" w:cs="Times New Roman" w:eastAsia="Times New Roman" w:hint="default"/>
        </w:rPr>
        <w:t>2</w:t>
      </w:r>
      <w:r>
        <w:rPr/>
        <w:t>）融资租出资产：公司在租赁开始日，将应收融资租赁款，未担保余值之和与其现值的差额确认为未实现融资 </w:t>
      </w:r>
      <w:r>
        <w:rPr>
          <w:spacing w:val="-2"/>
        </w:rPr>
        <w:t>收益，在将来收到租金的各期间内确认为租赁收入，公司发生的与出租交易相关的初始直接费用，计入应收融资租赁款</w:t>
      </w:r>
      <w:r>
        <w:rPr>
          <w:spacing w:val="-67"/>
        </w:rPr>
        <w:t> </w:t>
      </w:r>
      <w:r>
        <w:rPr>
          <w:spacing w:val="-67"/>
        </w:rPr>
      </w:r>
      <w:r>
        <w:rPr/>
        <w:t>的初始计量中，并减少租赁期内确认的收益金额。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41"/>
        <w:ind w:right="0"/>
        <w:jc w:val="left"/>
        <w:rPr>
          <w:b w:val="0"/>
          <w:bCs w:val="0"/>
        </w:rPr>
      </w:pPr>
      <w:bookmarkStart w:name="30、其他重要的会计政策和会计估计" w:id="218"/>
      <w:bookmarkEnd w:id="218"/>
      <w:r>
        <w:rPr>
          <w:b w:val="0"/>
          <w:bCs w:val="0"/>
        </w:rPr>
      </w:r>
      <w:r>
        <w:rPr>
          <w:rFonts w:ascii="Times New Roman" w:hAnsi="Times New Roman" w:cs="Times New Roman" w:eastAsia="Times New Roman" w:hint="default"/>
        </w:rPr>
        <w:t>30</w:t>
      </w:r>
      <w:r>
        <w:rPr/>
        <w:t>、其他重要的会计政策和会计估计</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left="871" w:right="1118"/>
        <w:jc w:val="left"/>
      </w:pPr>
      <w:r>
        <w:rPr>
          <w:rFonts w:ascii="宋体" w:hAnsi="宋体" w:cs="宋体" w:eastAsia="宋体" w:hint="default"/>
          <w:b/>
          <w:bCs/>
        </w:rPr>
        <w:t>终止经营</w:t>
      </w:r>
      <w:r>
        <w:rPr>
          <w:rFonts w:ascii="宋体" w:hAnsi="宋体" w:cs="宋体" w:eastAsia="宋体" w:hint="default"/>
          <w:b/>
          <w:bCs/>
          <w:w w:val="99"/>
        </w:rPr>
        <w:t> </w:t>
      </w:r>
      <w:r>
        <w:rPr>
          <w:spacing w:val="-2"/>
        </w:rPr>
        <w:t>本公司将满足下列条件之一的，且该组成部分已经处置或划归为持有待售类别的、能够单独区分的组成部分确认为</w:t>
      </w:r>
    </w:p>
    <w:p>
      <w:pPr>
        <w:pStyle w:val="BodyText"/>
        <w:spacing w:line="240" w:lineRule="auto" w:before="19"/>
        <w:ind w:left="511" w:right="0"/>
        <w:jc w:val="left"/>
      </w:pPr>
      <w:r>
        <w:rPr/>
        <w:t>终止经营组成部分：</w:t>
      </w:r>
    </w:p>
    <w:p>
      <w:pPr>
        <w:pStyle w:val="BodyText"/>
        <w:spacing w:line="240" w:lineRule="auto" w:before="76"/>
        <w:ind w:left="871" w:right="0"/>
        <w:jc w:val="left"/>
      </w:pPr>
      <w:r>
        <w:rPr/>
        <w:t>（</w:t>
      </w:r>
      <w:r>
        <w:rPr>
          <w:rFonts w:ascii="Times New Roman" w:hAnsi="Times New Roman" w:cs="Times New Roman" w:eastAsia="Times New Roman" w:hint="default"/>
        </w:rPr>
        <w:t>1</w:t>
      </w:r>
      <w:r>
        <w:rPr/>
        <w:t>）该组成部分代表一项独立的主要业务或一个单独的主要经营地区。</w:t>
      </w:r>
    </w:p>
    <w:p>
      <w:pPr>
        <w:pStyle w:val="BodyText"/>
        <w:spacing w:line="240" w:lineRule="auto" w:before="63"/>
        <w:ind w:left="871" w:right="0"/>
        <w:jc w:val="left"/>
      </w:pPr>
      <w:r>
        <w:rPr/>
        <w:t>（</w:t>
      </w:r>
      <w:r>
        <w:rPr>
          <w:rFonts w:ascii="Times New Roman" w:hAnsi="Times New Roman" w:cs="Times New Roman" w:eastAsia="Times New Roman" w:hint="default"/>
        </w:rPr>
        <w:t>2</w:t>
      </w:r>
      <w:r>
        <w:rPr/>
        <w:t>）该组成部分是拟对一项独立的主要业务或一个单独的主要经营地区进行处置的一项相关联计划的一部分。</w:t>
      </w:r>
    </w:p>
    <w:p>
      <w:pPr>
        <w:pStyle w:val="BodyText"/>
        <w:spacing w:line="300" w:lineRule="auto" w:before="63"/>
        <w:ind w:left="871" w:right="2835"/>
        <w:jc w:val="left"/>
      </w:pPr>
      <w:r>
        <w:rPr/>
        <w:t>（</w:t>
      </w:r>
      <w:r>
        <w:rPr>
          <w:rFonts w:ascii="Times New Roman" w:hAnsi="Times New Roman" w:cs="Times New Roman" w:eastAsia="Times New Roman" w:hint="default"/>
        </w:rPr>
        <w:t>3</w:t>
      </w:r>
      <w:r>
        <w:rPr/>
        <w:t>）该组成部分是专为转售而取得的子公司。 终止经营的减值损失和转回金额等经营损益及处置损益作为终止经营损益在利润表中列示。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0"/>
          <w:szCs w:val="20"/>
        </w:rPr>
      </w:pPr>
    </w:p>
    <w:p>
      <w:pPr>
        <w:pStyle w:val="Heading4"/>
        <w:spacing w:line="240" w:lineRule="auto"/>
        <w:ind w:right="0"/>
        <w:jc w:val="left"/>
        <w:rPr>
          <w:b w:val="0"/>
          <w:bCs w:val="0"/>
        </w:rPr>
      </w:pPr>
      <w:bookmarkStart w:name="31、重要会计政策和会计估计变更" w:id="219"/>
      <w:bookmarkEnd w:id="219"/>
      <w:r>
        <w:rPr>
          <w:b w:val="0"/>
          <w:bCs w:val="0"/>
        </w:rPr>
      </w:r>
      <w:r>
        <w:rPr>
          <w:rFonts w:ascii="Times New Roman" w:hAnsi="Times New Roman" w:cs="Times New Roman" w:eastAsia="Times New Roman" w:hint="default"/>
        </w:rPr>
        <w:t>31</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重要会计政策变更" w:id="220"/>
      <w:bookmarkEnd w:id="220"/>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2）重要会计估计变更" w:id="221"/>
      <w:bookmarkEnd w:id="221"/>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32、其他" w:id="222"/>
      <w:bookmarkEnd w:id="222"/>
      <w:r>
        <w:rPr>
          <w:b w:val="0"/>
          <w:bCs w:val="0"/>
        </w:rPr>
      </w:r>
      <w:r>
        <w:rPr>
          <w:rFonts w:ascii="Times New Roman" w:hAnsi="Times New Roman" w:cs="Times New Roman" w:eastAsia="Times New Roman" w:hint="default"/>
        </w:rPr>
        <w:t>32</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left="517" w:right="1119" w:hanging="56"/>
        <w:jc w:val="left"/>
      </w:pPr>
      <w:r>
        <w:rPr>
          <w:rFonts w:ascii="宋体" w:hAnsi="宋体" w:cs="宋体" w:eastAsia="宋体" w:hint="default"/>
          <w:b/>
          <w:bCs/>
        </w:rPr>
        <w:t>财务报表列报项目变更说明</w:t>
      </w:r>
      <w:r>
        <w:rPr>
          <w:rFonts w:ascii="宋体" w:hAnsi="宋体" w:cs="宋体" w:eastAsia="宋体" w:hint="default"/>
          <w:b/>
          <w:bCs/>
          <w:w w:val="99"/>
        </w:rPr>
        <w:t> </w:t>
      </w:r>
      <w:r>
        <w:rPr/>
        <w:t>财政部于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15</w:t>
      </w:r>
      <w:r>
        <w:rPr/>
        <w:t>日发布了《关于修订印发</w:t>
      </w:r>
      <w:r>
        <w:rPr>
          <w:rFonts w:ascii="Times New Roman" w:hAnsi="Times New Roman" w:cs="Times New Roman" w:eastAsia="Times New Roman" w:hint="default"/>
        </w:rPr>
        <w:t>2018</w:t>
      </w:r>
      <w:r>
        <w:rPr/>
        <w:t>年度一般企业财务报表格式的通知》（财会〔</w:t>
      </w:r>
      <w:r>
        <w:rPr>
          <w:rFonts w:ascii="Times New Roman" w:hAnsi="Times New Roman" w:cs="Times New Roman" w:eastAsia="Times New Roman" w:hint="default"/>
        </w:rPr>
        <w:t>2018</w:t>
      </w:r>
      <w:r>
        <w:rPr/>
        <w:t>〕</w:t>
      </w:r>
      <w:r>
        <w:rPr>
          <w:rFonts w:ascii="Times New Roman" w:hAnsi="Times New Roman" w:cs="Times New Roman" w:eastAsia="Times New Roman" w:hint="default"/>
        </w:rPr>
        <w:t>15</w:t>
      </w:r>
      <w:r>
        <w:rPr/>
        <w:t>号），对一</w:t>
      </w:r>
    </w:p>
    <w:p>
      <w:pPr>
        <w:pStyle w:val="BodyText"/>
        <w:spacing w:line="300" w:lineRule="auto" w:before="0"/>
        <w:ind w:right="0"/>
        <w:jc w:val="left"/>
      </w:pPr>
      <w:r>
        <w:rPr/>
        <w:t>般企业财务报表格式进行了修订，归并部分资产负债表项目，拆分部分利润表项目；并于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7</w:t>
      </w:r>
      <w:r>
        <w:rPr/>
        <w:t>日发布了《关于</w:t>
      </w:r>
      <w:r>
        <w:rPr>
          <w:rFonts w:ascii="Times New Roman" w:hAnsi="Times New Roman" w:cs="Times New Roman" w:eastAsia="Times New Roman" w:hint="default"/>
        </w:rPr>
        <w:t>2018 </w:t>
      </w:r>
      <w:r>
        <w:rPr>
          <w:spacing w:val="-2"/>
        </w:rPr>
        <w:t>年度一般企业财务报表格式有关问题的解读》，明确要求代扣个人所得税手续费返还在</w:t>
      </w:r>
      <w:r>
        <w:rPr>
          <w:rFonts w:ascii="Times New Roman" w:hAnsi="Times New Roman" w:cs="Times New Roman" w:eastAsia="Times New Roman" w:hint="default"/>
          <w:spacing w:val="-2"/>
        </w:rPr>
        <w:t>“</w:t>
      </w:r>
      <w:r>
        <w:rPr>
          <w:spacing w:val="-2"/>
        </w:rPr>
        <w:t>其他收益</w:t>
      </w:r>
      <w:r>
        <w:rPr>
          <w:rFonts w:ascii="Times New Roman" w:hAnsi="Times New Roman" w:cs="Times New Roman" w:eastAsia="Times New Roman" w:hint="default"/>
          <w:spacing w:val="-2"/>
        </w:rPr>
        <w:t>”</w:t>
      </w:r>
      <w:r>
        <w:rPr>
          <w:spacing w:val="-2"/>
        </w:rPr>
        <w:t>列报，实际收到的政府补</w:t>
      </w:r>
      <w:r>
        <w:rPr>
          <w:spacing w:val="-44"/>
        </w:rPr>
        <w:t> </w:t>
      </w:r>
      <w:r>
        <w:rPr>
          <w:spacing w:val="-44"/>
        </w:rPr>
      </w:r>
      <w:r>
        <w:rPr/>
        <w:t>助，无论是与资产相关还是与收益相关，在编制现金流量表时均作为经营活动产生的现金流量列报等。</w:t>
      </w:r>
    </w:p>
    <w:p>
      <w:pPr>
        <w:pStyle w:val="BodyText"/>
        <w:spacing w:line="319" w:lineRule="auto" w:before="31"/>
        <w:ind w:right="0" w:firstLine="363"/>
        <w:jc w:val="left"/>
      </w:pPr>
      <w:r>
        <w:rPr>
          <w:spacing w:val="-2"/>
        </w:rPr>
        <w:t>本公司已经根据新的企业财务报表格式的要求编制财务报表，财务报表的列报项目因此发生变更的，已经按照《企业会</w:t>
      </w:r>
      <w:r>
        <w:rPr/>
        <w:t> 计准则第</w:t>
      </w:r>
      <w:r>
        <w:rPr>
          <w:rFonts w:ascii="Times New Roman" w:hAnsi="Times New Roman" w:cs="Times New Roman" w:eastAsia="Times New Roman" w:hint="default"/>
        </w:rPr>
        <w:t>30</w:t>
      </w:r>
      <w:r>
        <w:rPr/>
        <w:t>号</w:t>
      </w:r>
      <w:r>
        <w:rPr>
          <w:rFonts w:ascii="Times New Roman" w:hAnsi="Times New Roman" w:cs="Times New Roman" w:eastAsia="Times New Roman" w:hint="default"/>
        </w:rPr>
        <w:t>——</w:t>
      </w:r>
      <w:r>
        <w:rPr/>
        <w:t>财务报表列报》等的相关规定，对可比期间的比较数据进行调整。</w:t>
      </w:r>
    </w:p>
    <w:p>
      <w:pPr>
        <w:pStyle w:val="BodyText"/>
        <w:spacing w:line="233" w:lineRule="exact" w:before="0"/>
        <w:ind w:left="517" w:right="0"/>
        <w:jc w:val="left"/>
      </w:pPr>
      <w:r>
        <w:rPr/>
        <w:t>对可比期间的财务报表列报项目及金额的影响如下：</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1844"/>
        <w:gridCol w:w="1616"/>
        <w:gridCol w:w="1618"/>
        <w:gridCol w:w="1616"/>
        <w:gridCol w:w="1619"/>
      </w:tblGrid>
      <w:tr>
        <w:trPr>
          <w:trHeight w:val="668" w:hRule="exact"/>
        </w:trPr>
        <w:tc>
          <w:tcPr>
            <w:tcW w:w="18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553"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1616" w:type="dxa"/>
            <w:tcBorders>
              <w:top w:val="single" w:sz="6" w:space="0" w:color="000000"/>
              <w:left w:val="single" w:sz="6" w:space="0" w:color="000000"/>
              <w:bottom w:val="single" w:sz="12" w:space="0" w:color="000000"/>
              <w:right w:val="single" w:sz="6" w:space="0" w:color="000000"/>
            </w:tcBorders>
          </w:tcPr>
          <w:p>
            <w:pPr>
              <w:pStyle w:val="TableParagraph"/>
              <w:spacing w:line="300" w:lineRule="auto" w:before="21"/>
              <w:ind w:left="350" w:right="79" w:hanging="27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日之 前列报金额</w:t>
            </w:r>
          </w:p>
        </w:tc>
        <w:tc>
          <w:tcPr>
            <w:tcW w:w="16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441" w:right="0"/>
              <w:jc w:val="left"/>
              <w:rPr>
                <w:rFonts w:ascii="宋体" w:hAnsi="宋体" w:cs="宋体" w:eastAsia="宋体" w:hint="default"/>
                <w:sz w:val="18"/>
                <w:szCs w:val="18"/>
              </w:rPr>
            </w:pPr>
            <w:r>
              <w:rPr>
                <w:rFonts w:ascii="宋体" w:hAnsi="宋体" w:cs="宋体" w:eastAsia="宋体" w:hint="default"/>
                <w:sz w:val="18"/>
                <w:szCs w:val="18"/>
              </w:rPr>
              <w:t>影响金额</w:t>
            </w:r>
          </w:p>
        </w:tc>
        <w:tc>
          <w:tcPr>
            <w:tcW w:w="1616" w:type="dxa"/>
            <w:tcBorders>
              <w:top w:val="single" w:sz="6" w:space="0" w:color="000000"/>
              <w:left w:val="single" w:sz="6" w:space="0" w:color="000000"/>
              <w:bottom w:val="single" w:sz="12" w:space="0" w:color="000000"/>
              <w:right w:val="single" w:sz="6" w:space="0" w:color="000000"/>
            </w:tcBorders>
          </w:tcPr>
          <w:p>
            <w:pPr>
              <w:pStyle w:val="TableParagraph"/>
              <w:spacing w:line="300" w:lineRule="auto" w:before="21"/>
              <w:ind w:left="350" w:right="79" w:hanging="27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日经 重列后金额</w:t>
            </w:r>
          </w:p>
        </w:tc>
        <w:tc>
          <w:tcPr>
            <w:tcW w:w="161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3"/>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844"/>
        <w:gridCol w:w="1616"/>
        <w:gridCol w:w="1618"/>
        <w:gridCol w:w="1616"/>
        <w:gridCol w:w="1619"/>
      </w:tblGrid>
      <w:tr>
        <w:trPr>
          <w:trHeight w:val="355" w:hRule="exact"/>
        </w:trPr>
        <w:tc>
          <w:tcPr>
            <w:tcW w:w="18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6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79,548,329.06</w:t>
            </w:r>
          </w:p>
        </w:tc>
        <w:tc>
          <w:tcPr>
            <w:tcW w:w="16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-79,548,329.06</w:t>
            </w:r>
          </w:p>
        </w:tc>
        <w:tc>
          <w:tcPr>
            <w:tcW w:w="1616" w:type="dxa"/>
            <w:tcBorders>
              <w:top w:val="single" w:sz="6" w:space="0" w:color="000000"/>
              <w:left w:val="single" w:sz="6" w:space="0" w:color="000000"/>
              <w:bottom w:val="single" w:sz="12" w:space="0" w:color="000000"/>
              <w:right w:val="single" w:sz="6" w:space="0" w:color="000000"/>
            </w:tcBorders>
          </w:tcPr>
          <w:p>
            <w:pPr/>
          </w:p>
        </w:tc>
        <w:tc>
          <w:tcPr>
            <w:tcW w:w="1619" w:type="dxa"/>
            <w:tcBorders>
              <w:top w:val="single" w:sz="6" w:space="0" w:color="000000"/>
              <w:left w:val="single" w:sz="6" w:space="0" w:color="000000"/>
              <w:bottom w:val="single" w:sz="12" w:space="0" w:color="000000"/>
              <w:right w:val="nil" w:sz="6" w:space="0" w:color="auto"/>
            </w:tcBorders>
          </w:tcPr>
          <w:p>
            <w:pPr/>
          </w:p>
        </w:tc>
      </w:tr>
      <w:tr>
        <w:trPr>
          <w:trHeight w:val="352" w:hRule="exact"/>
        </w:trPr>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868,317,381.41</w:t>
            </w:r>
          </w:p>
        </w:tc>
        <w:tc>
          <w:tcPr>
            <w:tcW w:w="16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-868,317,381.41</w:t>
            </w:r>
          </w:p>
        </w:tc>
        <w:tc>
          <w:tcPr>
            <w:tcW w:w="1616" w:type="dxa"/>
            <w:tcBorders>
              <w:top w:val="single" w:sz="12" w:space="0" w:color="000000"/>
              <w:left w:val="single" w:sz="6" w:space="0" w:color="000000"/>
              <w:bottom w:val="single" w:sz="12" w:space="0" w:color="000000"/>
              <w:right w:val="single" w:sz="6" w:space="0" w:color="000000"/>
            </w:tcBorders>
          </w:tcPr>
          <w:p>
            <w:pPr/>
          </w:p>
        </w:tc>
        <w:tc>
          <w:tcPr>
            <w:tcW w:w="1619"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1616" w:type="dxa"/>
            <w:tcBorders>
              <w:top w:val="single" w:sz="12" w:space="0" w:color="000000"/>
              <w:left w:val="single" w:sz="6" w:space="0" w:color="000000"/>
              <w:bottom w:val="single" w:sz="12" w:space="0" w:color="000000"/>
              <w:right w:val="single" w:sz="6" w:space="0" w:color="000000"/>
            </w:tcBorders>
          </w:tcPr>
          <w:p>
            <w:pPr/>
          </w:p>
        </w:tc>
        <w:tc>
          <w:tcPr>
            <w:tcW w:w="16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947,865,710.47</w:t>
            </w:r>
          </w:p>
        </w:tc>
        <w:tc>
          <w:tcPr>
            <w:tcW w:w="16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947,865,710.47</w:t>
            </w:r>
          </w:p>
        </w:tc>
        <w:tc>
          <w:tcPr>
            <w:tcW w:w="1619"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6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85,025,110.82</w:t>
            </w:r>
          </w:p>
        </w:tc>
        <w:tc>
          <w:tcPr>
            <w:tcW w:w="16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-85,025,110.82</w:t>
            </w:r>
          </w:p>
        </w:tc>
        <w:tc>
          <w:tcPr>
            <w:tcW w:w="1616" w:type="dxa"/>
            <w:tcBorders>
              <w:top w:val="single" w:sz="12" w:space="0" w:color="000000"/>
              <w:left w:val="single" w:sz="6" w:space="0" w:color="000000"/>
              <w:bottom w:val="single" w:sz="12" w:space="0" w:color="000000"/>
              <w:right w:val="single" w:sz="6" w:space="0" w:color="000000"/>
            </w:tcBorders>
          </w:tcPr>
          <w:p>
            <w:pPr/>
          </w:p>
        </w:tc>
        <w:tc>
          <w:tcPr>
            <w:tcW w:w="1619"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6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307,887,133.80</w:t>
            </w:r>
          </w:p>
        </w:tc>
        <w:tc>
          <w:tcPr>
            <w:tcW w:w="16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-307,887,133.80</w:t>
            </w:r>
          </w:p>
        </w:tc>
        <w:tc>
          <w:tcPr>
            <w:tcW w:w="1616" w:type="dxa"/>
            <w:tcBorders>
              <w:top w:val="single" w:sz="12" w:space="0" w:color="000000"/>
              <w:left w:val="single" w:sz="6" w:space="0" w:color="000000"/>
              <w:bottom w:val="single" w:sz="12" w:space="0" w:color="000000"/>
              <w:right w:val="single" w:sz="6" w:space="0" w:color="000000"/>
            </w:tcBorders>
          </w:tcPr>
          <w:p>
            <w:pPr/>
          </w:p>
        </w:tc>
        <w:tc>
          <w:tcPr>
            <w:tcW w:w="1619"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1616" w:type="dxa"/>
            <w:tcBorders>
              <w:top w:val="single" w:sz="12" w:space="0" w:color="000000"/>
              <w:left w:val="single" w:sz="6" w:space="0" w:color="000000"/>
              <w:bottom w:val="single" w:sz="12" w:space="0" w:color="000000"/>
              <w:right w:val="single" w:sz="6" w:space="0" w:color="000000"/>
            </w:tcBorders>
          </w:tcPr>
          <w:p>
            <w:pPr/>
          </w:p>
        </w:tc>
        <w:tc>
          <w:tcPr>
            <w:tcW w:w="16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392,912,244.62</w:t>
            </w:r>
          </w:p>
        </w:tc>
        <w:tc>
          <w:tcPr>
            <w:tcW w:w="16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392,912,244.62</w:t>
            </w:r>
          </w:p>
        </w:tc>
        <w:tc>
          <w:tcPr>
            <w:tcW w:w="1619"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6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652,201.38</w:t>
            </w:r>
          </w:p>
        </w:tc>
        <w:tc>
          <w:tcPr>
            <w:tcW w:w="16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w w:val="95"/>
                <w:sz w:val="18"/>
              </w:rPr>
              <w:t>-652,201.38</w:t>
            </w:r>
            <w:r>
              <w:rPr>
                <w:rFonts w:ascii="Times New Roman"/>
                <w:sz w:val="18"/>
              </w:rPr>
            </w:r>
          </w:p>
        </w:tc>
        <w:tc>
          <w:tcPr>
            <w:tcW w:w="1616" w:type="dxa"/>
            <w:tcBorders>
              <w:top w:val="single" w:sz="12" w:space="0" w:color="000000"/>
              <w:left w:val="single" w:sz="6" w:space="0" w:color="000000"/>
              <w:bottom w:val="single" w:sz="12" w:space="0" w:color="000000"/>
              <w:right w:val="single" w:sz="6" w:space="0" w:color="000000"/>
            </w:tcBorders>
          </w:tcPr>
          <w:p>
            <w:pPr/>
          </w:p>
        </w:tc>
        <w:tc>
          <w:tcPr>
            <w:tcW w:w="1619"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6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16,024,207.42</w:t>
            </w:r>
          </w:p>
        </w:tc>
        <w:tc>
          <w:tcPr>
            <w:tcW w:w="16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652,201.38</w:t>
            </w:r>
          </w:p>
        </w:tc>
        <w:tc>
          <w:tcPr>
            <w:tcW w:w="16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16,676,408.80</w:t>
            </w:r>
          </w:p>
        </w:tc>
        <w:tc>
          <w:tcPr>
            <w:tcW w:w="1619"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205,455,650.39</w:t>
            </w:r>
          </w:p>
        </w:tc>
        <w:tc>
          <w:tcPr>
            <w:tcW w:w="16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-110,293,811.27</w:t>
            </w:r>
          </w:p>
        </w:tc>
        <w:tc>
          <w:tcPr>
            <w:tcW w:w="16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95,161,839.12</w:t>
            </w:r>
          </w:p>
        </w:tc>
        <w:tc>
          <w:tcPr>
            <w:tcW w:w="1619"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研发支出</w:t>
            </w:r>
          </w:p>
        </w:tc>
        <w:tc>
          <w:tcPr>
            <w:tcW w:w="1616" w:type="dxa"/>
            <w:tcBorders>
              <w:top w:val="single" w:sz="12" w:space="0" w:color="000000"/>
              <w:left w:val="single" w:sz="6" w:space="0" w:color="000000"/>
              <w:bottom w:val="single" w:sz="12" w:space="0" w:color="000000"/>
              <w:right w:val="single" w:sz="6" w:space="0" w:color="000000"/>
            </w:tcBorders>
          </w:tcPr>
          <w:p>
            <w:pPr/>
          </w:p>
        </w:tc>
        <w:tc>
          <w:tcPr>
            <w:tcW w:w="16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110,293,811.27</w:t>
            </w:r>
          </w:p>
        </w:tc>
        <w:tc>
          <w:tcPr>
            <w:tcW w:w="16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110,293,811.27</w:t>
            </w:r>
          </w:p>
        </w:tc>
        <w:tc>
          <w:tcPr>
            <w:tcW w:w="1619"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pStyle w:val="Heading2"/>
        <w:spacing w:line="240" w:lineRule="auto" w:before="26"/>
        <w:ind w:right="0"/>
        <w:jc w:val="left"/>
        <w:rPr>
          <w:b w:val="0"/>
          <w:bCs w:val="0"/>
        </w:rPr>
      </w:pPr>
      <w:bookmarkStart w:name="六、税项" w:id="223"/>
      <w:bookmarkEnd w:id="223"/>
      <w:r>
        <w:rPr>
          <w:b w:val="0"/>
          <w:bCs w:val="0"/>
        </w:rPr>
      </w:r>
      <w:r>
        <w:rPr/>
        <w:t>六、税项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主要税种及税率" w:id="224"/>
      <w:bookmarkEnd w:id="224"/>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162"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16" w:lineRule="auto" w:before="52"/>
              <w:ind w:left="16" w:right="95"/>
              <w:jc w:val="left"/>
              <w:rPr>
                <w:rFonts w:ascii="宋体" w:hAnsi="宋体" w:cs="宋体" w:eastAsia="宋体" w:hint="default"/>
                <w:sz w:val="18"/>
                <w:szCs w:val="18"/>
              </w:rPr>
            </w:pPr>
            <w:r>
              <w:rPr>
                <w:rFonts w:ascii="宋体" w:hAnsi="宋体" w:cs="宋体" w:eastAsia="宋体" w:hint="default"/>
                <w:sz w:val="18"/>
                <w:szCs w:val="18"/>
              </w:rPr>
              <w:t>销售货物或提供加工、修理修配劳务、 服务等</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391"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实缴流转税税额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10"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80"/>
              <w:jc w:val="left"/>
              <w:rPr>
                <w:rFonts w:ascii="宋体" w:hAnsi="宋体" w:cs="宋体" w:eastAsia="宋体" w:hint="default"/>
                <w:sz w:val="18"/>
                <w:szCs w:val="18"/>
              </w:rPr>
            </w:pPr>
            <w:r>
              <w:rPr>
                <w:rFonts w:ascii="宋体" w:hAnsi="宋体" w:cs="宋体" w:eastAsia="宋体" w:hint="default"/>
                <w:sz w:val="18"/>
                <w:szCs w:val="18"/>
              </w:rPr>
              <w:t>按照房产原值的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或租金收入为纳税 基准</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p>
        </w:tc>
      </w:tr>
    </w:tbl>
    <w:p>
      <w:pPr>
        <w:pStyle w:val="BodyText"/>
        <w:spacing w:line="240" w:lineRule="auto" w:before="51"/>
        <w:ind w:right="0"/>
        <w:jc w:val="left"/>
      </w:pPr>
      <w:r>
        <w:rPr/>
        <w:t>存在不同企业所得税税率纳税主体的，披露情况说明</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安徽中电兴发与鑫龙科技股份有限公司本部</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安徽中电兴发与鑫龙科技股份有限公司北京分公司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安徽鑫龙电器股份有限公司天津分公司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安徽中电兴发与鑫龙科技股份有限公司营销中心</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安徽森源电器有限公司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安徽鑫龙自动化有限公司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安徽鑫龙低压电器有限公司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安徽鑫龙电器元件销售有限公司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安徽鑫龙变压器有限公司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安徽鑫东投资管理有限公司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安徽佑赛科技股份有限公司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安徽北辰能源工程技术有限公司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斯高思电器（安徽）有限公司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亳州鑫龙电气有限公司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天津市泰达工程设计有限公司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安徽杰偌新材料技术有限公司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苏州开关二厂有限公司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苏州天平安装工程有限公司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苏州天平安装工程有限公司芜湖分公司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北京中电兴发科技有限公司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信诺非凡</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中电兴发机器人技术</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安徽鑫龙电器有限公司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安徽龙玺新能源科技有限公司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红河智慧科技有限公司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云南红河智慧城市互联网发展有限公司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红河智慧旅游信息发展有限公司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安徽鑫畅达轨道交通电气有限公司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安徽鑫龙售电有限公司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云南中电典基网络科技有限公司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伊宁县智慧城市信息科技有限公司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天津滨龙工程管理咨询有限公司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安徽中电兴发科技有限公司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中电兴发软件研发（北京）有限公司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北京普天智慧科技有限公司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枣强县智慧城市信息技术服务有限公司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中普慧园科技（北京）有限公司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凤凰智慧城市管理运营有限责任公司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云南中电新联通信网络有限公司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昭通中典联网络科技有限公司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昭通欣联企业管理有限合伙企业</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曲靖中典联网络科技有限公司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曲靖卓联企业管理合伙企业（有限合伙）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普洱中典联网络科技有限公司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普洱卓联企业管理合伙企业（有限合伙）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楚雄彝州云数据科技有限公司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楚雄市卓联企业管理合伙企业（有限合伙）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湖南恒联通达信息科技有限公司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0"/>
        <w:jc w:val="left"/>
        <w:rPr>
          <w:b w:val="0"/>
          <w:bCs w:val="0"/>
        </w:rPr>
      </w:pPr>
      <w:bookmarkStart w:name="2、税收优惠" w:id="225"/>
      <w:bookmarkEnd w:id="225"/>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pStyle w:val="BodyText"/>
        <w:spacing w:line="309" w:lineRule="auto" w:before="0"/>
        <w:ind w:right="1032" w:firstLine="360"/>
        <w:jc w:val="left"/>
      </w:pPr>
      <w:r>
        <w:rPr/>
        <w:t>注</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20</w:t>
      </w:r>
      <w:r>
        <w:rPr/>
        <w:t>日，安徽中电兴发与鑫龙科技股份有限公司、安徽鑫龙低压电器有限公司、安徽森源电器有限公司、 </w:t>
      </w:r>
      <w:r>
        <w:rPr>
          <w:spacing w:val="-2"/>
        </w:rPr>
        <w:t>安徽佑赛科技股份有限公司取得安徽省科学技术厅、安徽省财政厅、安徽省国家税务局、安徽省地方税务局联合颁发的《高</w:t>
      </w:r>
      <w:r>
        <w:rPr>
          <w:spacing w:val="-66"/>
        </w:rPr>
        <w:t> </w:t>
      </w:r>
      <w:r>
        <w:rPr>
          <w:spacing w:val="-66"/>
        </w:rPr>
      </w:r>
      <w:r>
        <w:rPr/>
        <w:t>新技术企业证书》（证书编号分别为</w:t>
      </w:r>
      <w:r>
        <w:rPr>
          <w:rFonts w:ascii="Times New Roman" w:hAnsi="Times New Roman" w:cs="Times New Roman" w:eastAsia="Times New Roman" w:hint="default"/>
        </w:rPr>
        <w:t>GR201734000818</w:t>
      </w:r>
      <w:r>
        <w:rPr/>
        <w:t>、</w:t>
      </w:r>
      <w:r>
        <w:rPr>
          <w:rFonts w:ascii="Times New Roman" w:hAnsi="Times New Roman" w:cs="Times New Roman" w:eastAsia="Times New Roman" w:hint="default"/>
        </w:rPr>
        <w:t>GR201734000227</w:t>
      </w:r>
      <w:r>
        <w:rPr/>
        <w:t>、</w:t>
      </w:r>
      <w:r>
        <w:rPr>
          <w:rFonts w:ascii="Times New Roman" w:hAnsi="Times New Roman" w:cs="Times New Roman" w:eastAsia="Times New Roman" w:hint="default"/>
        </w:rPr>
        <w:t>GR201734000447</w:t>
      </w:r>
      <w:r>
        <w:rPr/>
        <w:t>、</w:t>
      </w:r>
      <w:r>
        <w:rPr>
          <w:rFonts w:ascii="Times New Roman" w:hAnsi="Times New Roman" w:cs="Times New Roman" w:eastAsia="Times New Roman" w:hint="default"/>
        </w:rPr>
        <w:t>GR201734000281</w:t>
      </w:r>
      <w:r>
        <w:rPr/>
        <w:t>），有效期 </w:t>
      </w:r>
      <w:r>
        <w:rPr>
          <w:spacing w:val="-2"/>
        </w:rPr>
        <w:t>三年。根据有关规定，安徽中电兴发与鑫龙科技股份有限公司、安徽鑫龙低压电器有限公司、安徽森源电器有限公司、安徽</w:t>
      </w:r>
      <w:r>
        <w:rPr>
          <w:spacing w:val="-66"/>
        </w:rPr>
        <w:t> </w:t>
      </w:r>
      <w:r>
        <w:rPr>
          <w:spacing w:val="-66"/>
        </w:rPr>
      </w:r>
      <w:r>
        <w:rPr/>
        <w:t>佑赛科技股份有限公司</w:t>
      </w:r>
      <w:r>
        <w:rPr>
          <w:rFonts w:ascii="Times New Roman" w:hAnsi="Times New Roman" w:cs="Times New Roman" w:eastAsia="Times New Roman" w:hint="default"/>
        </w:rPr>
        <w:t>2018</w:t>
      </w:r>
      <w:r>
        <w:rPr/>
        <w:t>年度享受国家关于高新技术企业的相关优惠政策，按</w:t>
      </w:r>
      <w:r>
        <w:rPr>
          <w:rFonts w:ascii="Times New Roman" w:hAnsi="Times New Roman" w:cs="Times New Roman" w:eastAsia="Times New Roman" w:hint="default"/>
        </w:rPr>
        <w:t>15%</w:t>
      </w:r>
      <w:r>
        <w:rPr/>
        <w:t>的税率计缴企业所得税。</w:t>
      </w:r>
    </w:p>
    <w:p>
      <w:pPr>
        <w:pStyle w:val="BodyText"/>
        <w:spacing w:line="300" w:lineRule="auto" w:before="5"/>
        <w:ind w:right="1141" w:firstLine="36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7</w:t>
      </w:r>
      <w:r>
        <w:rPr/>
        <w:t>日，安徽鑫龙自动化有限公司取得安徽省科学技术厅、安徽省财政厅、安徽省国家税务局、安徽省地方税 务局联合颁发的《高新技术企业证书》（证书编号分别为</w:t>
      </w:r>
      <w:r>
        <w:rPr>
          <w:rFonts w:ascii="Times New Roman" w:hAnsi="Times New Roman" w:cs="Times New Roman" w:eastAsia="Times New Roman" w:hint="default"/>
        </w:rPr>
        <w:t>GR201734001706</w:t>
      </w:r>
      <w:r>
        <w:rPr/>
        <w:t>），有效期三年。根据有关规定，安徽鑫龙自动 化有限公司</w:t>
      </w:r>
      <w:r>
        <w:rPr>
          <w:rFonts w:ascii="Times New Roman" w:hAnsi="Times New Roman" w:cs="Times New Roman" w:eastAsia="Times New Roman" w:hint="default"/>
        </w:rPr>
        <w:t>2018</w:t>
      </w:r>
      <w:r>
        <w:rPr/>
        <w:t>年度享受国家关于高新技术企业的相关优惠政策，按</w:t>
      </w:r>
      <w:r>
        <w:rPr>
          <w:rFonts w:ascii="Times New Roman" w:hAnsi="Times New Roman" w:cs="Times New Roman" w:eastAsia="Times New Roman" w:hint="default"/>
        </w:rPr>
        <w:t>15%</w:t>
      </w:r>
      <w:r>
        <w:rPr/>
        <w:t>的税率计缴企业所得税。</w:t>
      </w:r>
    </w:p>
    <w:p>
      <w:pPr>
        <w:pStyle w:val="BodyText"/>
        <w:spacing w:line="300" w:lineRule="auto" w:before="13"/>
        <w:ind w:right="1049" w:firstLine="360"/>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17</w:t>
      </w:r>
      <w:r>
        <w:rPr>
          <w:spacing w:val="-2"/>
        </w:rPr>
        <w:t>日，苏州开关二厂有限公司取得江苏省科学技术厅、江苏省财政厅、江苏省国家税务局、江苏省地方税务</w:t>
      </w:r>
      <w:r>
        <w:rPr/>
        <w:t> 局联合颁发的《高新技术企业证书》（证书编号为</w:t>
      </w:r>
      <w:r>
        <w:rPr>
          <w:rFonts w:ascii="Times New Roman" w:hAnsi="Times New Roman" w:cs="Times New Roman" w:eastAsia="Times New Roman" w:hint="default"/>
        </w:rPr>
        <w:t>GR201732000377</w:t>
      </w:r>
      <w:r>
        <w:rPr/>
        <w:t>），有效期三年。根据有关规定，苏州开关二厂有限公 司</w:t>
      </w:r>
      <w:r>
        <w:rPr>
          <w:rFonts w:ascii="Times New Roman" w:hAnsi="Times New Roman" w:cs="Times New Roman" w:eastAsia="Times New Roman" w:hint="default"/>
        </w:rPr>
        <w:t>2018</w:t>
      </w:r>
      <w:r>
        <w:rPr/>
        <w:t>年度按</w:t>
      </w:r>
      <w:r>
        <w:rPr>
          <w:rFonts w:ascii="Times New Roman" w:hAnsi="Times New Roman" w:cs="Times New Roman" w:eastAsia="Times New Roman" w:hint="default"/>
        </w:rPr>
        <w:t>15%</w:t>
      </w:r>
      <w:r>
        <w:rPr/>
        <w:t>的税率计缴企业所得税。根据财政部和国家税务总局《关于促进残疾人就业税收优惠政策的通知》（财税 </w:t>
      </w:r>
      <w:r>
        <w:rPr>
          <w:rFonts w:ascii="Times New Roman" w:hAnsi="Times New Roman" w:cs="Times New Roman" w:eastAsia="Times New Roman" w:hint="default"/>
        </w:rPr>
        <w:t>[2007]92</w:t>
      </w:r>
      <w:r>
        <w:rPr/>
        <w:t>号），公司支付给残疾人的实际工资可在企业所得税前据实扣除，并可按支付给残疾人实际工资的</w:t>
      </w:r>
      <w:r>
        <w:rPr>
          <w:rFonts w:ascii="Times New Roman" w:hAnsi="Times New Roman" w:cs="Times New Roman" w:eastAsia="Times New Roman" w:hint="default"/>
        </w:rPr>
        <w:t>100%</w:t>
      </w:r>
      <w:r>
        <w:rPr/>
        <w:t>加计扣除。</w:t>
      </w:r>
    </w:p>
    <w:p>
      <w:pPr>
        <w:pStyle w:val="BodyText"/>
        <w:spacing w:line="240" w:lineRule="auto" w:before="13"/>
        <w:ind w:left="514" w:right="0"/>
        <w:jc w:val="left"/>
      </w:pPr>
      <w:r>
        <w:rPr/>
        <w:t>苏州天平安装工程有限公司</w:t>
      </w:r>
      <w:r>
        <w:rPr>
          <w:rFonts w:ascii="Times New Roman" w:hAnsi="Times New Roman" w:cs="Times New Roman" w:eastAsia="Times New Roman" w:hint="default"/>
        </w:rPr>
        <w:t>2018</w:t>
      </w:r>
      <w:r>
        <w:rPr/>
        <w:t>年度实行核定征收方式征收企业所得税。</w:t>
      </w:r>
    </w:p>
    <w:p>
      <w:pPr>
        <w:pStyle w:val="BodyText"/>
        <w:spacing w:line="300" w:lineRule="auto" w:before="63"/>
        <w:ind w:right="1131" w:firstLine="360"/>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25</w:t>
      </w:r>
      <w:r>
        <w:rPr>
          <w:spacing w:val="-2"/>
        </w:rPr>
        <w:t>日，北京中电兴发科技有限公司公司取得北京市科学技术委员会、北京市财政局、北京市国家税务局、北</w:t>
      </w:r>
      <w:r>
        <w:rPr/>
        <w:t> 京市地方税务局联合颁发的《高新技术企业证书》（证书编号为</w:t>
      </w:r>
      <w:r>
        <w:rPr>
          <w:rFonts w:ascii="Times New Roman" w:hAnsi="Times New Roman" w:cs="Times New Roman" w:eastAsia="Times New Roman" w:hint="default"/>
        </w:rPr>
        <w:t>GR201711003310</w:t>
      </w:r>
      <w:r>
        <w:rPr/>
        <w:t>），有效期三年。根据有关规定，北京中 电兴发科技有限公司</w:t>
      </w:r>
      <w:r>
        <w:rPr>
          <w:rFonts w:ascii="Times New Roman" w:hAnsi="Times New Roman" w:cs="Times New Roman" w:eastAsia="Times New Roman" w:hint="default"/>
        </w:rPr>
        <w:t>2018</w:t>
      </w:r>
      <w:r>
        <w:rPr/>
        <w:t>年度按</w:t>
      </w:r>
      <w:r>
        <w:rPr>
          <w:rFonts w:ascii="Times New Roman" w:hAnsi="Times New Roman" w:cs="Times New Roman" w:eastAsia="Times New Roman" w:hint="default"/>
        </w:rPr>
        <w:t>15%</w:t>
      </w:r>
      <w:r>
        <w:rPr/>
        <w:t>的税率计缴企业所得税。</w:t>
      </w:r>
    </w:p>
    <w:p>
      <w:pPr>
        <w:pStyle w:val="BodyText"/>
        <w:spacing w:line="300" w:lineRule="auto" w:before="13"/>
        <w:ind w:right="1141" w:firstLine="360"/>
        <w:jc w:val="both"/>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w:t>
      </w:r>
      <w:r>
        <w:rPr/>
        <w:t>日，信诺非凡（北京）科技有限公司取得经北京市科学技术委员会、北京市财政局、北京市国家税务局、 北京市地方税务局联合颁发的《高新技术企业证书》（证书编号为</w:t>
      </w:r>
      <w:r>
        <w:rPr>
          <w:rFonts w:ascii="Times New Roman" w:hAnsi="Times New Roman" w:cs="Times New Roman" w:eastAsia="Times New Roman" w:hint="default"/>
        </w:rPr>
        <w:t>GR201611000370</w:t>
      </w:r>
      <w:r>
        <w:rPr/>
        <w:t>），有效期三年。根据有关规定，信诺 非凡（北京）科技有限公司</w:t>
      </w:r>
      <w:r>
        <w:rPr>
          <w:rFonts w:ascii="Times New Roman" w:hAnsi="Times New Roman" w:cs="Times New Roman" w:eastAsia="Times New Roman" w:hint="default"/>
        </w:rPr>
        <w:t>2018</w:t>
      </w:r>
      <w:r>
        <w:rPr/>
        <w:t>年度按</w:t>
      </w:r>
      <w:r>
        <w:rPr>
          <w:rFonts w:ascii="Times New Roman" w:hAnsi="Times New Roman" w:cs="Times New Roman" w:eastAsia="Times New Roman" w:hint="default"/>
        </w:rPr>
        <w:t>15%</w:t>
      </w:r>
      <w:r>
        <w:rPr/>
        <w:t>的税率计缴企业所得税。</w:t>
      </w:r>
    </w:p>
    <w:p>
      <w:pPr>
        <w:pStyle w:val="BodyText"/>
        <w:spacing w:line="300" w:lineRule="auto" w:before="13"/>
        <w:ind w:right="1141" w:firstLine="36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4</w:t>
      </w:r>
      <w:r>
        <w:rPr/>
        <w:t>日，天津市泰达工程设计有限公司取得天津市科学技术委员会、天津市财政局、天津市国家税务局、天津 地方税务局联合颁发的《高新技术企业证书》（证书编号为</w:t>
      </w:r>
      <w:r>
        <w:rPr>
          <w:rFonts w:ascii="Times New Roman" w:hAnsi="Times New Roman" w:cs="Times New Roman" w:eastAsia="Times New Roman" w:hint="default"/>
        </w:rPr>
        <w:t>GR201712000947</w:t>
      </w:r>
      <w:r>
        <w:rPr/>
        <w:t>），有效期三年。根据有关规定，天津市泰达 工程设计有限公司</w:t>
      </w:r>
      <w:r>
        <w:rPr>
          <w:rFonts w:ascii="Times New Roman" w:hAnsi="Times New Roman" w:cs="Times New Roman" w:eastAsia="Times New Roman" w:hint="default"/>
        </w:rPr>
        <w:t>2018</w:t>
      </w:r>
      <w:r>
        <w:rPr/>
        <w:t>年度按</w:t>
      </w:r>
      <w:r>
        <w:rPr>
          <w:rFonts w:ascii="Times New Roman" w:hAnsi="Times New Roman" w:cs="Times New Roman" w:eastAsia="Times New Roman" w:hint="default"/>
        </w:rPr>
        <w:t>15%</w:t>
      </w:r>
      <w:r>
        <w:rPr/>
        <w:t>的税率计缴企业所得税。</w:t>
      </w:r>
    </w:p>
    <w:p>
      <w:pPr>
        <w:pStyle w:val="BodyText"/>
        <w:spacing w:line="300" w:lineRule="auto" w:before="13"/>
        <w:ind w:right="1141" w:firstLine="360"/>
        <w:jc w:val="both"/>
      </w:pPr>
      <w:r>
        <w:rPr/>
        <w:t>注</w:t>
      </w:r>
      <w:r>
        <w:rPr>
          <w:rFonts w:ascii="Times New Roman" w:hAnsi="Times New Roman" w:cs="Times New Roman" w:eastAsia="Times New Roman" w:hint="default"/>
        </w:rPr>
        <w:t>2</w:t>
      </w:r>
      <w:r>
        <w:rPr/>
        <w:t>、经税务机关批准，安徽中电兴发与鑫龙科技股份有限公司营销中心由安徽中电兴发与鑫龙科技股份有限公司本部 汇总向其所在地主管税务机关申报纳税。</w:t>
      </w:r>
    </w:p>
    <w:p>
      <w:pPr>
        <w:pStyle w:val="BodyText"/>
        <w:spacing w:line="300" w:lineRule="auto" w:before="31"/>
        <w:ind w:left="511" w:right="1125"/>
        <w:jc w:val="left"/>
      </w:pPr>
      <w:r>
        <w:rPr/>
        <w:t>注</w:t>
      </w:r>
      <w:r>
        <w:rPr>
          <w:rFonts w:ascii="Times New Roman" w:hAnsi="Times New Roman" w:cs="Times New Roman" w:eastAsia="Times New Roman" w:hint="default"/>
        </w:rPr>
        <w:t>3</w:t>
      </w:r>
      <w:r>
        <w:rPr/>
        <w:t>、根据《中华人民共和国个人所得税法》关于个人独资企业和合伙企业投资者征收个人所得税的规定：个人独资企 业和合伙企业按照个人所得税法的规定，计算征收个人所得税。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7"/>
          <w:szCs w:val="17"/>
        </w:rPr>
      </w:pPr>
    </w:p>
    <w:p>
      <w:pPr>
        <w:pStyle w:val="BodyText"/>
        <w:spacing w:line="240" w:lineRule="auto" w:before="0"/>
        <w:ind w:right="0"/>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3、其他" w:id="226"/>
      <w:bookmarkEnd w:id="226"/>
      <w:r>
        <w:rPr>
          <w:b w:val="0"/>
          <w:bCs w:val="0"/>
        </w:rPr>
      </w:r>
      <w:r>
        <w:rPr>
          <w:rFonts w:ascii="Times New Roman" w:hAnsi="Times New Roman" w:cs="Times New Roman" w:eastAsia="Times New Roman" w:hint="default"/>
        </w:rPr>
        <w:t>3</w:t>
      </w:r>
      <w:r>
        <w:rPr/>
        <w:t>、其他</w:t>
      </w:r>
      <w:r>
        <w:rPr>
          <w:b w:val="0"/>
          <w:bCs w:val="0"/>
        </w:rPr>
      </w:r>
    </w:p>
    <w:p>
      <w:pPr>
        <w:spacing w:line="240" w:lineRule="auto" w:before="9"/>
        <w:rPr>
          <w:rFonts w:ascii="宋体" w:hAnsi="宋体" w:cs="宋体" w:eastAsia="宋体" w:hint="default"/>
          <w:b/>
          <w:bCs/>
          <w:sz w:val="24"/>
          <w:szCs w:val="24"/>
        </w:rPr>
      </w:pPr>
    </w:p>
    <w:p>
      <w:pPr>
        <w:pStyle w:val="Heading4"/>
        <w:spacing w:line="256" w:lineRule="auto"/>
        <w:ind w:right="1122" w:firstLine="358"/>
        <w:jc w:val="left"/>
        <w:rPr>
          <w:b w:val="0"/>
          <w:bCs w:val="0"/>
        </w:rPr>
      </w:pPr>
      <w:r>
        <w:rPr/>
        <w:t>根据财政部、税务总局《关于调整增值税税率的通知》（财税〔</w:t>
      </w:r>
      <w:r>
        <w:rPr>
          <w:rFonts w:ascii="Times New Roman" w:hAnsi="Times New Roman" w:cs="Times New Roman" w:eastAsia="Times New Roman" w:hint="default"/>
        </w:rPr>
        <w:t>2018</w:t>
      </w:r>
      <w:r>
        <w:rPr/>
        <w:t>〕</w:t>
      </w:r>
      <w:r>
        <w:rPr>
          <w:rFonts w:ascii="Times New Roman" w:hAnsi="Times New Roman" w:cs="Times New Roman" w:eastAsia="Times New Roman" w:hint="default"/>
        </w:rPr>
        <w:t>32</w:t>
      </w:r>
      <w:r>
        <w:rPr/>
        <w:t>号）的规定，本公司自</w:t>
      </w:r>
      <w:r>
        <w:rPr>
          <w:rFonts w:ascii="Times New Roman" w:hAnsi="Times New Roman" w:cs="Times New Roman" w:eastAsia="Times New Roman" w:hint="default"/>
        </w:rPr>
        <w:t>2018 </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w:t>
      </w:r>
      <w:r>
        <w:rPr/>
        <w:t>日起发生增值税应税销售行为或者进口货物，原适用</w:t>
      </w:r>
      <w:r>
        <w:rPr>
          <w:rFonts w:ascii="Times New Roman" w:hAnsi="Times New Roman" w:cs="Times New Roman" w:eastAsia="Times New Roman" w:hint="default"/>
        </w:rPr>
        <w:t>17%</w:t>
      </w:r>
      <w:r>
        <w:rPr/>
        <w:t>和</w:t>
      </w:r>
      <w:r>
        <w:rPr>
          <w:rFonts w:ascii="Times New Roman" w:hAnsi="Times New Roman" w:cs="Times New Roman" w:eastAsia="Times New Roman" w:hint="default"/>
        </w:rPr>
        <w:t>11%</w:t>
      </w:r>
      <w:r>
        <w:rPr/>
        <w:t>税率的，税率分别调整为</w:t>
      </w:r>
      <w:r>
        <w:rPr>
          <w:rFonts w:ascii="Times New Roman" w:hAnsi="Times New Roman" w:cs="Times New Roman" w:eastAsia="Times New Roman" w:hint="default"/>
        </w:rPr>
        <w:t>16%</w:t>
      </w:r>
      <w:r>
        <w:rPr/>
        <w:t>、</w:t>
      </w:r>
      <w:r>
        <w:rPr>
          <w:w w:val="99"/>
        </w:rPr>
        <w:t> </w:t>
      </w:r>
      <w:r>
        <w:rPr>
          <w:rFonts w:ascii="Times New Roman" w:hAnsi="Times New Roman" w:cs="Times New Roman" w:eastAsia="Times New Roman" w:hint="default"/>
        </w:rPr>
        <w:t>10%</w:t>
      </w:r>
      <w:r>
        <w:rPr/>
        <w:t>。</w:t>
      </w:r>
      <w:r>
        <w:rPr>
          <w:b w:val="0"/>
          <w:bCs w:val="0"/>
        </w:rPr>
      </w:r>
    </w:p>
    <w:p>
      <w:pPr>
        <w:spacing w:after="0" w:line="256" w:lineRule="auto"/>
        <w:jc w:val="left"/>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bookmarkStart w:name="七、合并财务报表项目注释" w:id="227"/>
      <w:bookmarkEnd w:id="227"/>
      <w:r>
        <w:rPr>
          <w:b w:val="0"/>
          <w:bCs w:val="0"/>
        </w:rPr>
      </w: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货币资金" w:id="228"/>
      <w:bookmarkEnd w:id="228"/>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7524"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192,781.56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384,198.72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756,568,539.94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1,225,958,565.13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29,475,035.35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21,864,434.98</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786,236,356.85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1,248,207,198.83</w:t>
            </w:r>
          </w:p>
        </w:tc>
      </w:tr>
    </w:tbl>
    <w:p>
      <w:pPr>
        <w:pStyle w:val="BodyText"/>
        <w:spacing w:line="240" w:lineRule="auto" w:before="51"/>
        <w:ind w:right="0"/>
        <w:jc w:val="left"/>
      </w:pPr>
      <w:r>
        <w:rPr/>
        <w:t>其他说明</w:t>
      </w:r>
    </w:p>
    <w:p>
      <w:pPr>
        <w:spacing w:line="240" w:lineRule="auto" w:before="12"/>
        <w:rPr>
          <w:rFonts w:ascii="宋体" w:hAnsi="宋体" w:cs="宋体" w:eastAsia="宋体" w:hint="default"/>
          <w:sz w:val="14"/>
          <w:szCs w:val="14"/>
        </w:rPr>
      </w:pPr>
    </w:p>
    <w:p>
      <w:pPr>
        <w:pStyle w:val="BodyText"/>
        <w:spacing w:line="300" w:lineRule="auto" w:before="0"/>
        <w:ind w:left="514" w:right="4272"/>
        <w:jc w:val="left"/>
      </w:pPr>
      <w:r>
        <w:rPr/>
        <w:t>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日，本公司不存在质押、冻结，或有潜在收回风险的款项。 其中受限制的货币资金明细如下：</w:t>
      </w:r>
    </w:p>
    <w:tbl>
      <w:tblPr>
        <w:tblW w:w="0" w:type="auto"/>
        <w:jc w:val="left"/>
        <w:tblInd w:w="146" w:type="dxa"/>
        <w:tblLayout w:type="fixed"/>
        <w:tblCellMar>
          <w:top w:w="0" w:type="dxa"/>
          <w:left w:w="0" w:type="dxa"/>
          <w:bottom w:w="0" w:type="dxa"/>
          <w:right w:w="0" w:type="dxa"/>
        </w:tblCellMar>
        <w:tblLook w:val="01E0"/>
      </w:tblPr>
      <w:tblGrid>
        <w:gridCol w:w="3652"/>
        <w:gridCol w:w="2439"/>
        <w:gridCol w:w="2439"/>
      </w:tblGrid>
      <w:tr>
        <w:trPr>
          <w:trHeight w:val="355" w:hRule="exact"/>
        </w:trPr>
        <w:tc>
          <w:tcPr>
            <w:tcW w:w="36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637"/>
              <w:jc w:val="right"/>
              <w:rPr>
                <w:rFonts w:ascii="宋体" w:hAnsi="宋体" w:cs="宋体" w:eastAsia="宋体" w:hint="default"/>
                <w:sz w:val="18"/>
                <w:szCs w:val="18"/>
              </w:rPr>
            </w:pPr>
            <w:r>
              <w:rPr>
                <w:rFonts w:ascii="宋体" w:hAnsi="宋体" w:cs="宋体" w:eastAsia="宋体" w:hint="default"/>
                <w:sz w:val="18"/>
                <w:szCs w:val="18"/>
              </w:rPr>
              <w:t>项目</w:t>
            </w:r>
          </w:p>
        </w:tc>
        <w:tc>
          <w:tcPr>
            <w:tcW w:w="243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3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9"/>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53" w:hRule="exact"/>
        </w:trPr>
        <w:tc>
          <w:tcPr>
            <w:tcW w:w="36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24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419"/>
              <w:jc w:val="right"/>
              <w:rPr>
                <w:rFonts w:ascii="Times New Roman" w:hAnsi="Times New Roman" w:cs="Times New Roman" w:eastAsia="Times New Roman" w:hint="default"/>
                <w:sz w:val="18"/>
                <w:szCs w:val="18"/>
              </w:rPr>
            </w:pPr>
            <w:r>
              <w:rPr>
                <w:rFonts w:ascii="Times New Roman"/>
                <w:spacing w:val="-1"/>
                <w:sz w:val="18"/>
              </w:rPr>
              <w:t>16,151,380.80</w:t>
            </w:r>
          </w:p>
        </w:tc>
        <w:tc>
          <w:tcPr>
            <w:tcW w:w="243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9"/>
              <w:jc w:val="right"/>
              <w:rPr>
                <w:rFonts w:ascii="Times New Roman" w:hAnsi="Times New Roman" w:cs="Times New Roman" w:eastAsia="Times New Roman" w:hint="default"/>
                <w:sz w:val="18"/>
                <w:szCs w:val="18"/>
              </w:rPr>
            </w:pPr>
            <w:r>
              <w:rPr>
                <w:rFonts w:ascii="Times New Roman"/>
                <w:spacing w:val="-1"/>
                <w:sz w:val="18"/>
              </w:rPr>
              <w:t>12,600,630.73</w:t>
            </w:r>
          </w:p>
        </w:tc>
      </w:tr>
      <w:tr>
        <w:trPr>
          <w:trHeight w:val="352" w:hRule="exact"/>
        </w:trPr>
        <w:tc>
          <w:tcPr>
            <w:tcW w:w="36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24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419"/>
              <w:jc w:val="right"/>
              <w:rPr>
                <w:rFonts w:ascii="Times New Roman" w:hAnsi="Times New Roman" w:cs="Times New Roman" w:eastAsia="Times New Roman" w:hint="default"/>
                <w:sz w:val="18"/>
                <w:szCs w:val="18"/>
              </w:rPr>
            </w:pPr>
            <w:r>
              <w:rPr>
                <w:rFonts w:ascii="Times New Roman"/>
                <w:spacing w:val="-1"/>
                <w:sz w:val="18"/>
              </w:rPr>
              <w:t>13,311,510.60</w:t>
            </w:r>
          </w:p>
        </w:tc>
        <w:tc>
          <w:tcPr>
            <w:tcW w:w="243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9"/>
              <w:jc w:val="right"/>
              <w:rPr>
                <w:rFonts w:ascii="Times New Roman" w:hAnsi="Times New Roman" w:cs="Times New Roman" w:eastAsia="Times New Roman" w:hint="default"/>
                <w:sz w:val="18"/>
                <w:szCs w:val="18"/>
              </w:rPr>
            </w:pPr>
            <w:r>
              <w:rPr>
                <w:rFonts w:ascii="Times New Roman"/>
                <w:spacing w:val="-1"/>
                <w:sz w:val="18"/>
              </w:rPr>
              <w:t>9,263,804.25</w:t>
            </w:r>
          </w:p>
        </w:tc>
      </w:tr>
      <w:tr>
        <w:trPr>
          <w:trHeight w:val="352" w:hRule="exact"/>
        </w:trPr>
        <w:tc>
          <w:tcPr>
            <w:tcW w:w="36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419"/>
              <w:jc w:val="right"/>
              <w:rPr>
                <w:rFonts w:ascii="Times New Roman" w:hAnsi="Times New Roman" w:cs="Times New Roman" w:eastAsia="Times New Roman" w:hint="default"/>
                <w:sz w:val="18"/>
                <w:szCs w:val="18"/>
              </w:rPr>
            </w:pPr>
            <w:r>
              <w:rPr>
                <w:rFonts w:ascii="Times New Roman"/>
                <w:sz w:val="18"/>
              </w:rPr>
              <w:t>12,143.95</w:t>
            </w:r>
          </w:p>
        </w:tc>
        <w:tc>
          <w:tcPr>
            <w:tcW w:w="2439"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36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637"/>
              <w:jc w:val="right"/>
              <w:rPr>
                <w:rFonts w:ascii="宋体" w:hAnsi="宋体" w:cs="宋体" w:eastAsia="宋体" w:hint="default"/>
                <w:sz w:val="18"/>
                <w:szCs w:val="18"/>
              </w:rPr>
            </w:pPr>
            <w:r>
              <w:rPr>
                <w:rFonts w:ascii="宋体" w:hAnsi="宋体" w:cs="宋体" w:eastAsia="宋体" w:hint="default"/>
                <w:sz w:val="18"/>
                <w:szCs w:val="18"/>
              </w:rPr>
              <w:t>合计</w:t>
            </w:r>
          </w:p>
        </w:tc>
        <w:tc>
          <w:tcPr>
            <w:tcW w:w="24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419"/>
              <w:jc w:val="right"/>
              <w:rPr>
                <w:rFonts w:ascii="Times New Roman" w:hAnsi="Times New Roman" w:cs="Times New Roman" w:eastAsia="Times New Roman" w:hint="default"/>
                <w:sz w:val="18"/>
                <w:szCs w:val="18"/>
              </w:rPr>
            </w:pPr>
            <w:r>
              <w:rPr>
                <w:rFonts w:ascii="Times New Roman"/>
                <w:spacing w:val="-1"/>
                <w:sz w:val="18"/>
              </w:rPr>
              <w:t>29,475,035.35</w:t>
            </w:r>
          </w:p>
        </w:tc>
        <w:tc>
          <w:tcPr>
            <w:tcW w:w="243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21,864,434.98</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2、应收票据及应收账款" w:id="229"/>
      <w:bookmarkEnd w:id="229"/>
      <w:r>
        <w:rPr>
          <w:b w:val="0"/>
          <w:bCs w:val="0"/>
        </w:rPr>
      </w:r>
      <w:r>
        <w:rPr>
          <w:rFonts w:ascii="Times New Roman" w:hAnsi="Times New Roman" w:cs="Times New Roman" w:eastAsia="Times New Roman" w:hint="default"/>
        </w:rPr>
        <w:t>2</w:t>
      </w:r>
      <w:r>
        <w:rPr/>
        <w:t>、应收票据及应收账款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7524"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89,714,563.36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79,548,329.06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978,660,986.62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868,317,381.41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1,068,375,549.98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947,865,710.47</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应收票据" w:id="230"/>
      <w:bookmarkEnd w:id="230"/>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1)</w:t>
      </w:r>
      <w:r>
        <w:rPr/>
        <w:t>应收票据分类列示</w:t>
      </w:r>
    </w:p>
    <w:p>
      <w:pPr>
        <w:pStyle w:val="BodyText"/>
        <w:spacing w:line="240" w:lineRule="auto" w:before="103"/>
        <w:ind w:left="7524"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83,994,418.19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60,031,428.94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5,720,145.17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19,516,900.12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89,714,563.36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79,548,329.06</w:t>
            </w:r>
          </w:p>
        </w:tc>
      </w:tr>
    </w:tbl>
    <w:p>
      <w:pPr>
        <w:pStyle w:val="BodyText"/>
        <w:spacing w:line="240" w:lineRule="auto" w:before="51"/>
        <w:ind w:right="0"/>
        <w:jc w:val="left"/>
      </w:pPr>
      <w:r>
        <w:rPr>
          <w:rFonts w:ascii="Times New Roman" w:hAnsi="Times New Roman" w:cs="Times New Roman" w:eastAsia="Times New Roman" w:hint="default"/>
        </w:rPr>
        <w:t>2)</w:t>
      </w:r>
      <w:r>
        <w:rPr/>
        <w:t>期末公司已质押的应收票据</w:t>
      </w:r>
    </w:p>
    <w:p>
      <w:pPr>
        <w:pStyle w:val="BodyText"/>
        <w:spacing w:line="240" w:lineRule="auto" w:before="103"/>
        <w:ind w:left="7524"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332" w:hRule="exact"/>
        </w:trPr>
        <w:tc>
          <w:tcPr>
            <w:tcW w:w="4785" w:type="dxa"/>
            <w:tcBorders>
              <w:top w:val="nil" w:sz="6" w:space="0" w:color="auto"/>
              <w:left w:val="nil" w:sz="6" w:space="0" w:color="auto"/>
              <w:bottom w:val="single" w:sz="4" w:space="0" w:color="000000"/>
              <w:right w:val="nil" w:sz="6" w:space="0" w:color="auto"/>
            </w:tcBorders>
          </w:tcPr>
          <w:p>
            <w:pPr/>
          </w:p>
        </w:tc>
        <w:tc>
          <w:tcPr>
            <w:tcW w:w="4784" w:type="dxa"/>
            <w:tcBorders>
              <w:top w:val="nil" w:sz="6" w:space="0" w:color="auto"/>
              <w:left w:val="nil" w:sz="6" w:space="0" w:color="auto"/>
              <w:bottom w:val="single" w:sz="4" w:space="0" w:color="000000"/>
              <w:right w:val="nil" w:sz="6" w:space="0" w:color="auto"/>
            </w:tcBorders>
          </w:tcPr>
          <w:p>
            <w:pP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pStyle w:val="BodyText"/>
        <w:spacing w:line="240" w:lineRule="auto" w:before="51"/>
        <w:ind w:right="0"/>
        <w:jc w:val="left"/>
      </w:pPr>
      <w:r>
        <w:rPr/>
        <w:pict>
          <v:group style="position:absolute;margin-left:55.200001pt;margin-top:-36.978271pt;width:485pt;height:.1pt;mso-position-horizontal-relative:page;mso-position-vertical-relative:paragraph;z-index:-1195768" coordorigin="1104,-740" coordsize="9700,2">
            <v:shape style="position:absolute;left:1104;top:-740;width:9700;height:2" coordorigin="1104,-740" coordsize="9700,0" path="m1104,-740l10804,-740e" filled="false" stroked="true" strokeweight=".72pt" strokecolor="#000000">
              <v:path arrowok="t"/>
            </v:shape>
            <w10:wrap type="none"/>
          </v:group>
        </w:pict>
      </w:r>
      <w:r>
        <w:rPr>
          <w:rFonts w:ascii="Times New Roman" w:hAnsi="Times New Roman" w:cs="Times New Roman" w:eastAsia="Times New Roman" w:hint="default"/>
        </w:rPr>
        <w:t>3)</w:t>
      </w:r>
      <w:r>
        <w:rPr/>
        <w:t>期末公司已背书或贴现且在资产负债表日尚未到期的应收票据</w:t>
      </w:r>
    </w:p>
    <w:p>
      <w:pPr>
        <w:pStyle w:val="BodyText"/>
        <w:spacing w:line="240" w:lineRule="auto" w:before="103"/>
        <w:ind w:left="7524"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112,382,791.56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1,005,568.38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113,388,359.94</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rFonts w:ascii="Times New Roman" w:hAnsi="Times New Roman" w:cs="Times New Roman" w:eastAsia="Times New Roman" w:hint="default"/>
        </w:rPr>
        <w:t>4)</w:t>
      </w:r>
      <w:r>
        <w:rPr/>
        <w:t>期末公司因出票人未履约而将其转应收账款的票据</w:t>
      </w:r>
    </w:p>
    <w:p>
      <w:pPr>
        <w:pStyle w:val="BodyText"/>
        <w:spacing w:line="240" w:lineRule="auto" w:before="102"/>
        <w:ind w:left="7524"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应收账款" w:id="231"/>
      <w:bookmarkEnd w:id="231"/>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1)</w:t>
      </w:r>
      <w:r>
        <w:rPr/>
        <w:t>应收账款分类披露</w:t>
      </w:r>
    </w:p>
    <w:p>
      <w:pPr>
        <w:pStyle w:val="BodyText"/>
        <w:spacing w:line="240" w:lineRule="auto" w:before="103"/>
        <w:ind w:left="7524"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5"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39,922,2</w:t>
            </w:r>
          </w:p>
          <w:p>
            <w:pPr>
              <w:pStyle w:val="TableParagraph"/>
              <w:spacing w:line="240" w:lineRule="auto" w:before="106"/>
              <w:ind w:left="313" w:right="0"/>
              <w:jc w:val="left"/>
              <w:rPr>
                <w:rFonts w:ascii="Times New Roman" w:hAnsi="Times New Roman" w:cs="Times New Roman" w:eastAsia="Times New Roman" w:hint="default"/>
                <w:sz w:val="18"/>
                <w:szCs w:val="18"/>
              </w:rPr>
            </w:pPr>
            <w:r>
              <w:rPr>
                <w:rFonts w:ascii="Times New Roman"/>
                <w:sz w:val="18"/>
              </w:rPr>
              <w:t>81.64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38,154,0</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08.40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3" w:right="0"/>
              <w:jc w:val="center"/>
              <w:rPr>
                <w:rFonts w:ascii="Times New Roman" w:hAnsi="Times New Roman" w:cs="Times New Roman" w:eastAsia="Times New Roman" w:hint="default"/>
                <w:sz w:val="18"/>
                <w:szCs w:val="18"/>
              </w:rPr>
            </w:pPr>
            <w:r>
              <w:rPr>
                <w:rFonts w:ascii="Times New Roman"/>
                <w:sz w:val="18"/>
              </w:rPr>
              <w:t>95.57%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1,768,273</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.24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10,756,</w:t>
            </w:r>
          </w:p>
          <w:p>
            <w:pPr>
              <w:pStyle w:val="TableParagraph"/>
              <w:spacing w:line="240" w:lineRule="auto" w:before="106"/>
              <w:ind w:left="126" w:right="0"/>
              <w:jc w:val="left"/>
              <w:rPr>
                <w:rFonts w:ascii="Times New Roman" w:hAnsi="Times New Roman" w:cs="Times New Roman" w:eastAsia="Times New Roman" w:hint="default"/>
                <w:sz w:val="18"/>
                <w:szCs w:val="18"/>
              </w:rPr>
            </w:pPr>
            <w:r>
              <w:rPr>
                <w:rFonts w:ascii="Times New Roman"/>
                <w:sz w:val="18"/>
              </w:rPr>
              <w:t>469.27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1.05%</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10,390,46</w:t>
            </w:r>
          </w:p>
          <w:p>
            <w:pPr>
              <w:pStyle w:val="TableParagraph"/>
              <w:spacing w:line="240" w:lineRule="auto" w:before="106"/>
              <w:ind w:left="465" w:right="0"/>
              <w:jc w:val="left"/>
              <w:rPr>
                <w:rFonts w:ascii="Times New Roman" w:hAnsi="Times New Roman" w:cs="Times New Roman" w:eastAsia="Times New Roman" w:hint="default"/>
                <w:sz w:val="18"/>
                <w:szCs w:val="18"/>
              </w:rPr>
            </w:pPr>
            <w:r>
              <w:rPr>
                <w:rFonts w:ascii="Times New Roman"/>
                <w:sz w:val="18"/>
              </w:rPr>
              <w:t>9.27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96.60%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366,000.00</w:t>
            </w: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1,120,16</w:t>
            </w:r>
          </w:p>
          <w:p>
            <w:pPr>
              <w:pStyle w:val="TableParagraph"/>
              <w:spacing w:line="240" w:lineRule="auto" w:before="106"/>
              <w:ind w:left="87" w:right="0"/>
              <w:jc w:val="left"/>
              <w:rPr>
                <w:rFonts w:ascii="Times New Roman" w:hAnsi="Times New Roman" w:cs="Times New Roman" w:eastAsia="Times New Roman" w:hint="default"/>
                <w:sz w:val="18"/>
                <w:szCs w:val="18"/>
              </w:rPr>
            </w:pPr>
            <w:r>
              <w:rPr>
                <w:rFonts w:ascii="Times New Roman"/>
                <w:sz w:val="18"/>
              </w:rPr>
              <w:t>8,201.09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95.83%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143,275,</w:t>
            </w:r>
          </w:p>
          <w:p>
            <w:pPr>
              <w:pStyle w:val="TableParagraph"/>
              <w:spacing w:line="240" w:lineRule="auto" w:before="106"/>
              <w:ind w:left="210" w:right="0"/>
              <w:jc w:val="center"/>
              <w:rPr>
                <w:rFonts w:ascii="Times New Roman" w:hAnsi="Times New Roman" w:cs="Times New Roman" w:eastAsia="Times New Roman" w:hint="default"/>
                <w:sz w:val="18"/>
                <w:szCs w:val="18"/>
              </w:rPr>
            </w:pPr>
            <w:r>
              <w:rPr>
                <w:rFonts w:ascii="Times New Roman"/>
                <w:sz w:val="18"/>
              </w:rPr>
              <w:t>487.71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3" w:right="0"/>
              <w:jc w:val="center"/>
              <w:rPr>
                <w:rFonts w:ascii="Times New Roman" w:hAnsi="Times New Roman" w:cs="Times New Roman" w:eastAsia="Times New Roman" w:hint="default"/>
                <w:sz w:val="18"/>
                <w:szCs w:val="18"/>
              </w:rPr>
            </w:pPr>
            <w:r>
              <w:rPr>
                <w:rFonts w:ascii="Times New Roman"/>
                <w:sz w:val="18"/>
              </w:rPr>
              <w:t>12.79%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976,892,7</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13.38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1,013,3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35,386.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98.83%</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145,384,0</w:t>
            </w:r>
          </w:p>
          <w:p>
            <w:pPr>
              <w:pStyle w:val="TableParagraph"/>
              <w:spacing w:line="240" w:lineRule="auto" w:before="106"/>
              <w:ind w:left="375" w:right="0"/>
              <w:jc w:val="left"/>
              <w:rPr>
                <w:rFonts w:ascii="Times New Roman" w:hAnsi="Times New Roman" w:cs="Times New Roman" w:eastAsia="Times New Roman" w:hint="default"/>
                <w:sz w:val="18"/>
                <w:szCs w:val="18"/>
              </w:rPr>
            </w:pPr>
            <w:r>
              <w:rPr>
                <w:rFonts w:ascii="Times New Roman"/>
                <w:sz w:val="18"/>
              </w:rPr>
              <w:t>04.93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14.35%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867,951,38</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1.41</w:t>
            </w: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8,863,03</w:t>
            </w:r>
          </w:p>
          <w:p>
            <w:pPr>
              <w:pStyle w:val="TableParagraph"/>
              <w:spacing w:line="240" w:lineRule="auto" w:before="106"/>
              <w:ind w:left="403" w:right="0"/>
              <w:jc w:val="left"/>
              <w:rPr>
                <w:rFonts w:ascii="Times New Roman" w:hAnsi="Times New Roman" w:cs="Times New Roman" w:eastAsia="Times New Roman" w:hint="default"/>
                <w:sz w:val="18"/>
                <w:szCs w:val="18"/>
              </w:rPr>
            </w:pPr>
            <w:r>
              <w:rPr>
                <w:rFonts w:ascii="Times New Roman"/>
                <w:sz w:val="18"/>
              </w:rPr>
              <w:t>6.21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0.76%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8,863,03</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6.21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1,239,7</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75.00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0.12%</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1,239,775</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1,168,95</w:t>
            </w:r>
          </w:p>
          <w:p>
            <w:pPr>
              <w:pStyle w:val="TableParagraph"/>
              <w:spacing w:line="240" w:lineRule="auto" w:before="106"/>
              <w:ind w:left="93" w:right="0"/>
              <w:jc w:val="left"/>
              <w:rPr>
                <w:rFonts w:ascii="Times New Roman" w:hAnsi="Times New Roman" w:cs="Times New Roman" w:eastAsia="Times New Roman" w:hint="default"/>
                <w:sz w:val="18"/>
                <w:szCs w:val="18"/>
              </w:rPr>
            </w:pPr>
            <w:r>
              <w:rPr>
                <w:rFonts w:ascii="Times New Roman"/>
                <w:sz w:val="18"/>
              </w:rPr>
              <w:t>3,518.94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190,292,</w:t>
            </w:r>
          </w:p>
          <w:p>
            <w:pPr>
              <w:pStyle w:val="TableParagraph"/>
              <w:spacing w:line="240" w:lineRule="auto" w:before="106"/>
              <w:ind w:left="210" w:right="0"/>
              <w:jc w:val="center"/>
              <w:rPr>
                <w:rFonts w:ascii="Times New Roman" w:hAnsi="Times New Roman" w:cs="Times New Roman" w:eastAsia="Times New Roman" w:hint="default"/>
                <w:sz w:val="18"/>
                <w:szCs w:val="18"/>
              </w:rPr>
            </w:pPr>
            <w:r>
              <w:rPr>
                <w:rFonts w:ascii="Times New Roman"/>
                <w:sz w:val="18"/>
              </w:rPr>
              <w:t>532.32</w:t>
            </w: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978,660,9</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86.62</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1,025,3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31,630.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157,014,2</w:t>
            </w:r>
          </w:p>
          <w:p>
            <w:pPr>
              <w:pStyle w:val="TableParagraph"/>
              <w:spacing w:line="240" w:lineRule="auto" w:before="106"/>
              <w:ind w:left="375" w:right="0"/>
              <w:jc w:val="left"/>
              <w:rPr>
                <w:rFonts w:ascii="Times New Roman" w:hAnsi="Times New Roman" w:cs="Times New Roman" w:eastAsia="Times New Roman" w:hint="default"/>
                <w:sz w:val="18"/>
                <w:szCs w:val="18"/>
              </w:rPr>
            </w:pPr>
            <w:r>
              <w:rPr>
                <w:rFonts w:ascii="Times New Roman"/>
                <w:sz w:val="18"/>
              </w:rPr>
              <w:t>49.20</w:t>
            </w: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868,317,38</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1.41</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317"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right="-20"/>
        <w:jc w:val="left"/>
      </w:pPr>
      <w:r>
        <w:rPr/>
        <w:t>期末单项金额重大并单项计提坏账准备的应收账款：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before="0"/>
        <w:ind w:left="153"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64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浙江中高动力科技股份</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7" w:right="0"/>
              <w:jc w:val="left"/>
              <w:rPr>
                <w:rFonts w:ascii="Times New Roman" w:hAnsi="Times New Roman" w:cs="Times New Roman" w:eastAsia="Times New Roman" w:hint="default"/>
                <w:sz w:val="18"/>
                <w:szCs w:val="18"/>
              </w:rPr>
            </w:pPr>
            <w:r>
              <w:rPr>
                <w:rFonts w:ascii="Times New Roman"/>
                <w:sz w:val="18"/>
              </w:rPr>
              <w:t>4,477,606.57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4,477,606.57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6" w:right="0"/>
              <w:jc w:val="left"/>
              <w:rPr>
                <w:rFonts w:ascii="Times New Roman" w:hAnsi="Times New Roman" w:cs="Times New Roman" w:eastAsia="Times New Roman" w:hint="default"/>
                <w:sz w:val="18"/>
                <w:szCs w:val="18"/>
              </w:rPr>
            </w:pPr>
            <w:r>
              <w:rPr>
                <w:rFonts w:ascii="Times New Roman"/>
                <w:sz w:val="18"/>
              </w:rPr>
              <w:t>100.00%</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胜诉一年以上未回款</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36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东莞大酒店有限公司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公司已注销</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繁昌县好而优购物中心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1,507,285.00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1,507,285.00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胜诉一年以上未回款</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镇江中安电子科技有限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14,919,171.11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14,919,171.11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账龄较长，预计无法收 回</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郑州康天工控仪器有限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1,199,000.00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1,199,000.00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公司已注销</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郑州广林商贸有限公司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1,183,199.47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1,183,199.47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公司已注销</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天津市鑫鼎电力安装工 程有限公司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公司已注销</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鄂尔多斯机场改扩建工 程指挥部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4,086,642.86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4,086,642.86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账龄较长，预计无法收 回</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成都市兴城投资有限公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3,036,863.20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3,036,863.20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账龄较长，预计无法收 回</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山东盛圆酒店管理有限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4,562,513.43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2,794,240.19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法院判决胜诉，部分能 收回</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39,922,281.64</w:t>
            </w:r>
          </w:p>
        </w:tc>
        <w:tc>
          <w:tcPr>
            <w:tcW w:w="191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38,154,008.40</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240" w:lineRule="auto" w:before="51"/>
        <w:ind w:right="-20"/>
        <w:jc w:val="left"/>
      </w:pPr>
      <w:r>
        <w:rPr/>
        <w:t>组合中，按账龄分析法计提坏账准备的应收账款：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before="0"/>
        <w:ind w:left="153" w:right="0"/>
        <w:jc w:val="left"/>
      </w:pPr>
      <w:r>
        <w:rPr/>
        <w:t>单位： 元</w:t>
      </w:r>
    </w:p>
    <w:p>
      <w:pPr>
        <w:spacing w:after="0" w:line="240" w:lineRule="auto"/>
        <w:jc w:val="left"/>
        <w:sectPr>
          <w:type w:val="continuous"/>
          <w:pgSz w:w="11910" w:h="16840"/>
          <w:pgMar w:top="1060" w:bottom="1160" w:left="980" w:right="0"/>
          <w:cols w:num="2" w:equalWidth="0">
            <w:col w:w="4115" w:space="4715"/>
            <w:col w:w="2100"/>
          </w:cols>
        </w:sectPr>
      </w:pP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81"/>
        <w:gridCol w:w="2393"/>
        <w:gridCol w:w="2392"/>
        <w:gridCol w:w="2392"/>
      </w:tblGrid>
      <w:tr>
        <w:trPr>
          <w:trHeight w:val="206" w:hRule="exact"/>
        </w:trPr>
        <w:tc>
          <w:tcPr>
            <w:tcW w:w="2381"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3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381"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8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639,603,651.83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19,188,109.58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216,852,633.91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21,685,263.40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98,179,476.50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19,635,895.29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165,532,438.85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82,766,219.44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1,120,168,201.09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143,275,487.71</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6432"/>
        <w:jc w:val="left"/>
      </w:pPr>
      <w:r>
        <w:rPr/>
        <w:t>确定该组合依据的说明： 组合中，采用余额百分比法计提坏账准备的应收账款：</w:t>
      </w:r>
    </w:p>
    <w:p>
      <w:pPr>
        <w:pStyle w:val="BodyText"/>
        <w:spacing w:line="338" w:lineRule="auto" w:before="29"/>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pStyle w:val="BodyText"/>
        <w:spacing w:line="240" w:lineRule="auto" w:before="42"/>
        <w:ind w:right="0"/>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pStyle w:val="BodyText"/>
        <w:spacing w:line="240" w:lineRule="auto" w:before="104"/>
        <w:ind w:right="0"/>
        <w:jc w:val="left"/>
      </w:pPr>
      <w:r>
        <w:rPr>
          <w:rFonts w:ascii="Times New Roman" w:hAnsi="Times New Roman" w:cs="Times New Roman" w:eastAsia="Times New Roman" w:hint="default"/>
        </w:rPr>
        <w:t>2)</w:t>
      </w:r>
      <w:r>
        <w:rPr/>
        <w:t>本期计提、收回或转回的坏账准备情况</w:t>
      </w:r>
    </w:p>
    <w:p>
      <w:pPr>
        <w:pStyle w:val="BodyText"/>
        <w:spacing w:line="338" w:lineRule="auto" w:before="102"/>
        <w:ind w:right="3738"/>
        <w:jc w:val="left"/>
      </w:pPr>
      <w:r>
        <w:rPr/>
        <w:t>本期计提坏账准备金额</w:t>
      </w:r>
      <w:r>
        <w:rPr>
          <w:spacing w:val="-47"/>
        </w:rPr>
        <w:t> </w:t>
      </w:r>
      <w:r>
        <w:rPr>
          <w:rFonts w:ascii="Times New Roman" w:hAnsi="Times New Roman" w:cs="Times New Roman" w:eastAsia="Times New Roman" w:hint="default"/>
        </w:rPr>
        <w:t>35,138,488.58</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1,074,348.66</w:t>
      </w:r>
      <w:r>
        <w:rPr>
          <w:rFonts w:ascii="Times New Roman" w:hAnsi="Times New Roman" w:cs="Times New Roman" w:eastAsia="Times New Roman" w:hint="default"/>
          <w:spacing w:val="-1"/>
        </w:rPr>
        <w:t> </w:t>
      </w:r>
      <w:r>
        <w:rPr/>
        <w:t>元。 其中本期坏账准备收回或转回金额重要的：</w:t>
      </w:r>
    </w:p>
    <w:p>
      <w:pPr>
        <w:spacing w:after="0" w:line="338" w:lineRule="auto"/>
        <w:jc w:val="left"/>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ind w:left="7524"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52"/>
        <w:ind w:right="0"/>
        <w:jc w:val="left"/>
      </w:pPr>
      <w:r>
        <w:rPr>
          <w:rFonts w:ascii="Times New Roman" w:hAnsi="Times New Roman" w:cs="Times New Roman" w:eastAsia="Times New Roman" w:hint="default"/>
        </w:rPr>
        <w:t>3)</w:t>
      </w:r>
      <w:r>
        <w:rPr/>
        <w:t>本期实际核销的应收账款情况</w:t>
      </w:r>
    </w:p>
    <w:p>
      <w:pPr>
        <w:pStyle w:val="BodyText"/>
        <w:spacing w:line="240" w:lineRule="auto" w:before="103"/>
        <w:ind w:left="7524"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785,856.80</w:t>
            </w:r>
          </w:p>
        </w:tc>
      </w:tr>
    </w:tbl>
    <w:p>
      <w:pPr>
        <w:pStyle w:val="BodyText"/>
        <w:spacing w:line="240" w:lineRule="auto" w:before="51"/>
        <w:ind w:right="0"/>
        <w:jc w:val="left"/>
      </w:pPr>
      <w:r>
        <w:rPr/>
        <w:t>其中重要的应收账款核销情况：</w:t>
      </w:r>
    </w:p>
    <w:p>
      <w:pPr>
        <w:pStyle w:val="BodyText"/>
        <w:spacing w:line="240" w:lineRule="auto" w:before="117"/>
        <w:ind w:left="7524"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right="0"/>
        <w:jc w:val="left"/>
      </w:pPr>
      <w:r>
        <w:rPr/>
        <w:t>应收账款核销说明：</w:t>
      </w:r>
    </w:p>
    <w:p>
      <w:pPr>
        <w:pStyle w:val="BodyText"/>
        <w:spacing w:line="240" w:lineRule="auto" w:before="117"/>
        <w:ind w:right="0"/>
        <w:jc w:val="left"/>
      </w:pPr>
      <w:r>
        <w:rPr>
          <w:rFonts w:ascii="Times New Roman" w:hAnsi="Times New Roman" w:cs="Times New Roman" w:eastAsia="Times New Roman" w:hint="default"/>
        </w:rPr>
        <w:t>4)</w:t>
      </w:r>
      <w:r>
        <w:rPr/>
        <w:t>按欠款方归集的期末余额前五名的应收账款情况</w:t>
      </w:r>
    </w:p>
    <w:p>
      <w:pPr>
        <w:spacing w:line="240" w:lineRule="auto" w:before="12"/>
        <w:rPr>
          <w:rFonts w:ascii="宋体" w:hAnsi="宋体" w:cs="宋体" w:eastAsia="宋体" w:hint="default"/>
          <w:sz w:val="6"/>
          <w:szCs w:val="6"/>
        </w:rPr>
      </w:pPr>
    </w:p>
    <w:tbl>
      <w:tblPr>
        <w:tblW w:w="0" w:type="auto"/>
        <w:jc w:val="left"/>
        <w:tblInd w:w="146" w:type="dxa"/>
        <w:tblLayout w:type="fixed"/>
        <w:tblCellMar>
          <w:top w:w="0" w:type="dxa"/>
          <w:left w:w="0" w:type="dxa"/>
          <w:bottom w:w="0" w:type="dxa"/>
          <w:right w:w="0" w:type="dxa"/>
        </w:tblCellMar>
        <w:tblLook w:val="01E0"/>
      </w:tblPr>
      <w:tblGrid>
        <w:gridCol w:w="2944"/>
        <w:gridCol w:w="1985"/>
        <w:gridCol w:w="1559"/>
        <w:gridCol w:w="1985"/>
      </w:tblGrid>
      <w:tr>
        <w:trPr>
          <w:trHeight w:val="667" w:hRule="exact"/>
        </w:trPr>
        <w:tc>
          <w:tcPr>
            <w:tcW w:w="29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62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9"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21"/>
              <w:ind w:left="275" w:right="50" w:hanging="225"/>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占应收账款期末余 额的比例</w:t>
            </w:r>
            <w:r>
              <w:rPr>
                <w:rFonts w:ascii="Times New Roman" w:hAnsi="Times New Roman" w:cs="Times New Roman" w:eastAsia="Times New Roman" w:hint="default"/>
                <w:sz w:val="18"/>
                <w:szCs w:val="18"/>
              </w:rPr>
              <w:t>(%)</w:t>
            </w:r>
          </w:p>
        </w:tc>
        <w:tc>
          <w:tcPr>
            <w:tcW w:w="198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left="355" w:right="0"/>
              <w:jc w:val="left"/>
              <w:rPr>
                <w:rFonts w:ascii="宋体" w:hAnsi="宋体" w:cs="宋体" w:eastAsia="宋体" w:hint="default"/>
                <w:sz w:val="18"/>
                <w:szCs w:val="18"/>
              </w:rPr>
            </w:pPr>
            <w:r>
              <w:rPr>
                <w:rFonts w:ascii="宋体" w:hAnsi="宋体" w:cs="宋体" w:eastAsia="宋体" w:hint="default"/>
                <w:sz w:val="18"/>
                <w:szCs w:val="18"/>
              </w:rPr>
              <w:t>已计提坏账准备</w:t>
            </w:r>
          </w:p>
        </w:tc>
      </w:tr>
      <w:tr>
        <w:trPr>
          <w:trHeight w:val="353" w:hRule="exact"/>
        </w:trPr>
        <w:tc>
          <w:tcPr>
            <w:tcW w:w="29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南水北调中线干线工程建设管理局</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30,885,777.34</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420"/>
              <w:jc w:val="right"/>
              <w:rPr>
                <w:rFonts w:ascii="Times New Roman" w:hAnsi="Times New Roman" w:cs="Times New Roman" w:eastAsia="Times New Roman" w:hint="default"/>
                <w:sz w:val="18"/>
                <w:szCs w:val="18"/>
              </w:rPr>
            </w:pPr>
            <w:r>
              <w:rPr>
                <w:rFonts w:ascii="Times New Roman"/>
                <w:sz w:val="18"/>
              </w:rPr>
              <w:t>2.64</w:t>
            </w:r>
          </w:p>
        </w:tc>
        <w:tc>
          <w:tcPr>
            <w:tcW w:w="19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180"/>
              <w:jc w:val="right"/>
              <w:rPr>
                <w:rFonts w:ascii="Times New Roman" w:hAnsi="Times New Roman" w:cs="Times New Roman" w:eastAsia="Times New Roman" w:hint="default"/>
                <w:sz w:val="18"/>
                <w:szCs w:val="18"/>
              </w:rPr>
            </w:pPr>
            <w:r>
              <w:rPr>
                <w:rFonts w:ascii="Times New Roman"/>
                <w:sz w:val="18"/>
              </w:rPr>
              <w:t>926,573.32</w:t>
            </w:r>
          </w:p>
        </w:tc>
      </w:tr>
      <w:tr>
        <w:trPr>
          <w:trHeight w:val="664" w:hRule="exact"/>
        </w:trPr>
        <w:tc>
          <w:tcPr>
            <w:tcW w:w="2944"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45"/>
              <w:jc w:val="left"/>
              <w:rPr>
                <w:rFonts w:ascii="宋体" w:hAnsi="宋体" w:cs="宋体" w:eastAsia="宋体" w:hint="default"/>
                <w:sz w:val="18"/>
                <w:szCs w:val="18"/>
              </w:rPr>
            </w:pPr>
            <w:r>
              <w:rPr>
                <w:rFonts w:ascii="宋体" w:hAnsi="宋体" w:cs="宋体" w:eastAsia="宋体" w:hint="default"/>
                <w:sz w:val="18"/>
                <w:szCs w:val="18"/>
              </w:rPr>
              <w:t>中国联合网络通信有限公司云南省分 公司</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24,407,229.49</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420"/>
              <w:jc w:val="right"/>
              <w:rPr>
                <w:rFonts w:ascii="Times New Roman" w:hAnsi="Times New Roman" w:cs="Times New Roman" w:eastAsia="Times New Roman" w:hint="default"/>
                <w:sz w:val="18"/>
                <w:szCs w:val="18"/>
              </w:rPr>
            </w:pPr>
            <w:r>
              <w:rPr>
                <w:rFonts w:ascii="Times New Roman"/>
                <w:sz w:val="18"/>
              </w:rPr>
              <w:t>2.09</w:t>
            </w:r>
          </w:p>
        </w:tc>
        <w:tc>
          <w:tcPr>
            <w:tcW w:w="19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180"/>
              <w:jc w:val="right"/>
              <w:rPr>
                <w:rFonts w:ascii="Times New Roman" w:hAnsi="Times New Roman" w:cs="Times New Roman" w:eastAsia="Times New Roman" w:hint="default"/>
                <w:sz w:val="18"/>
                <w:szCs w:val="18"/>
              </w:rPr>
            </w:pPr>
            <w:r>
              <w:rPr>
                <w:rFonts w:ascii="Times New Roman"/>
                <w:sz w:val="18"/>
              </w:rPr>
              <w:t>732,216.88</w:t>
            </w:r>
          </w:p>
        </w:tc>
      </w:tr>
      <w:tr>
        <w:trPr>
          <w:trHeight w:val="664" w:hRule="exact"/>
        </w:trPr>
        <w:tc>
          <w:tcPr>
            <w:tcW w:w="2944"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44"/>
              <w:jc w:val="left"/>
              <w:rPr>
                <w:rFonts w:ascii="宋体" w:hAnsi="宋体" w:cs="宋体" w:eastAsia="宋体" w:hint="default"/>
                <w:sz w:val="18"/>
                <w:szCs w:val="18"/>
              </w:rPr>
            </w:pPr>
            <w:r>
              <w:rPr>
                <w:rFonts w:ascii="宋体" w:hAnsi="宋体" w:cs="宋体" w:eastAsia="宋体" w:hint="default"/>
                <w:sz w:val="18"/>
                <w:szCs w:val="18"/>
              </w:rPr>
              <w:t>中铁电气化局集团有限公司成绵乐铁 路客运专线四电系统集成工程指挥部</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22,821,335.80</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420"/>
              <w:jc w:val="right"/>
              <w:rPr>
                <w:rFonts w:ascii="Times New Roman" w:hAnsi="Times New Roman" w:cs="Times New Roman" w:eastAsia="Times New Roman" w:hint="default"/>
                <w:sz w:val="18"/>
                <w:szCs w:val="18"/>
              </w:rPr>
            </w:pPr>
            <w:r>
              <w:rPr>
                <w:rFonts w:ascii="Times New Roman"/>
                <w:sz w:val="18"/>
              </w:rPr>
              <w:t>1.95</w:t>
            </w:r>
          </w:p>
        </w:tc>
        <w:tc>
          <w:tcPr>
            <w:tcW w:w="19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181"/>
              <w:jc w:val="right"/>
              <w:rPr>
                <w:rFonts w:ascii="Times New Roman" w:hAnsi="Times New Roman" w:cs="Times New Roman" w:eastAsia="Times New Roman" w:hint="default"/>
                <w:sz w:val="18"/>
                <w:szCs w:val="18"/>
              </w:rPr>
            </w:pPr>
            <w:r>
              <w:rPr>
                <w:rFonts w:ascii="Times New Roman"/>
                <w:spacing w:val="-1"/>
                <w:sz w:val="18"/>
              </w:rPr>
              <w:t>6,839,932.39</w:t>
            </w:r>
          </w:p>
        </w:tc>
      </w:tr>
      <w:tr>
        <w:trPr>
          <w:trHeight w:val="353" w:hRule="exact"/>
        </w:trPr>
        <w:tc>
          <w:tcPr>
            <w:tcW w:w="29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国网天津市电力公司滨海供电分公司</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20,944,310.13</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420"/>
              <w:jc w:val="right"/>
              <w:rPr>
                <w:rFonts w:ascii="Times New Roman" w:hAnsi="Times New Roman" w:cs="Times New Roman" w:eastAsia="Times New Roman" w:hint="default"/>
                <w:sz w:val="18"/>
                <w:szCs w:val="18"/>
              </w:rPr>
            </w:pPr>
            <w:r>
              <w:rPr>
                <w:rFonts w:ascii="Times New Roman"/>
                <w:sz w:val="18"/>
              </w:rPr>
              <w:t>1.79</w:t>
            </w:r>
          </w:p>
        </w:tc>
        <w:tc>
          <w:tcPr>
            <w:tcW w:w="19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180"/>
              <w:jc w:val="right"/>
              <w:rPr>
                <w:rFonts w:ascii="Times New Roman" w:hAnsi="Times New Roman" w:cs="Times New Roman" w:eastAsia="Times New Roman" w:hint="default"/>
                <w:sz w:val="18"/>
                <w:szCs w:val="18"/>
              </w:rPr>
            </w:pPr>
            <w:r>
              <w:rPr>
                <w:rFonts w:ascii="Times New Roman"/>
                <w:sz w:val="18"/>
              </w:rPr>
              <w:t>628,329.30</w:t>
            </w:r>
          </w:p>
        </w:tc>
      </w:tr>
      <w:tr>
        <w:trPr>
          <w:trHeight w:val="352" w:hRule="exact"/>
        </w:trPr>
        <w:tc>
          <w:tcPr>
            <w:tcW w:w="29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江苏兴厦建设工程集团有限公司</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15,975,954.09</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420"/>
              <w:jc w:val="right"/>
              <w:rPr>
                <w:rFonts w:ascii="Times New Roman" w:hAnsi="Times New Roman" w:cs="Times New Roman" w:eastAsia="Times New Roman" w:hint="default"/>
                <w:sz w:val="18"/>
                <w:szCs w:val="18"/>
              </w:rPr>
            </w:pPr>
            <w:r>
              <w:rPr>
                <w:rFonts w:ascii="Times New Roman"/>
                <w:sz w:val="18"/>
              </w:rPr>
              <w:t>1.37</w:t>
            </w:r>
          </w:p>
        </w:tc>
        <w:tc>
          <w:tcPr>
            <w:tcW w:w="19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181"/>
              <w:jc w:val="right"/>
              <w:rPr>
                <w:rFonts w:ascii="Times New Roman" w:hAnsi="Times New Roman" w:cs="Times New Roman" w:eastAsia="Times New Roman" w:hint="default"/>
                <w:sz w:val="18"/>
                <w:szCs w:val="18"/>
              </w:rPr>
            </w:pPr>
            <w:r>
              <w:rPr>
                <w:rFonts w:ascii="Times New Roman"/>
                <w:spacing w:val="-1"/>
                <w:sz w:val="18"/>
              </w:rPr>
              <w:t>1,491,128.62</w:t>
            </w:r>
          </w:p>
        </w:tc>
      </w:tr>
      <w:tr>
        <w:trPr>
          <w:trHeight w:val="352" w:hRule="exact"/>
        </w:trPr>
        <w:tc>
          <w:tcPr>
            <w:tcW w:w="29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115,034,606.85</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420"/>
              <w:jc w:val="right"/>
              <w:rPr>
                <w:rFonts w:ascii="Times New Roman" w:hAnsi="Times New Roman" w:cs="Times New Roman" w:eastAsia="Times New Roman" w:hint="default"/>
                <w:sz w:val="18"/>
                <w:szCs w:val="18"/>
              </w:rPr>
            </w:pPr>
            <w:r>
              <w:rPr>
                <w:rFonts w:ascii="Times New Roman"/>
                <w:sz w:val="18"/>
              </w:rPr>
              <w:t>9.84</w:t>
            </w:r>
          </w:p>
        </w:tc>
        <w:tc>
          <w:tcPr>
            <w:tcW w:w="19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181"/>
              <w:jc w:val="right"/>
              <w:rPr>
                <w:rFonts w:ascii="Times New Roman" w:hAnsi="Times New Roman" w:cs="Times New Roman" w:eastAsia="Times New Roman" w:hint="default"/>
                <w:sz w:val="18"/>
                <w:szCs w:val="18"/>
              </w:rPr>
            </w:pPr>
            <w:r>
              <w:rPr>
                <w:rFonts w:ascii="Times New Roman"/>
                <w:spacing w:val="-1"/>
                <w:sz w:val="18"/>
              </w:rPr>
              <w:t>10,618,180.51</w:t>
            </w:r>
          </w:p>
        </w:tc>
      </w:tr>
    </w:tbl>
    <w:p>
      <w:pPr>
        <w:spacing w:line="240" w:lineRule="auto" w:before="5"/>
        <w:rPr>
          <w:rFonts w:ascii="宋体" w:hAnsi="宋体" w:cs="宋体" w:eastAsia="宋体" w:hint="default"/>
          <w:sz w:val="24"/>
          <w:szCs w:val="24"/>
        </w:rPr>
      </w:pPr>
    </w:p>
    <w:p>
      <w:pPr>
        <w:pStyle w:val="BodyText"/>
        <w:spacing w:line="240" w:lineRule="auto"/>
        <w:ind w:right="0"/>
        <w:jc w:val="left"/>
      </w:pPr>
      <w:r>
        <w:rPr>
          <w:rFonts w:ascii="Times New Roman" w:hAnsi="Times New Roman" w:cs="Times New Roman" w:eastAsia="Times New Roman" w:hint="default"/>
        </w:rPr>
        <w:t>5)</w:t>
      </w:r>
      <w:r>
        <w:rPr/>
        <w:t>因金融资产转移而终止确认的应收账款</w:t>
      </w:r>
    </w:p>
    <w:p>
      <w:pPr>
        <w:pStyle w:val="BodyText"/>
        <w:spacing w:line="338" w:lineRule="auto" w:before="103"/>
        <w:ind w:right="6822"/>
        <w:jc w:val="left"/>
      </w:pPr>
      <w:r>
        <w:rPr>
          <w:rFonts w:ascii="Times New Roman" w:hAnsi="Times New Roman" w:cs="Times New Roman" w:eastAsia="Times New Roman" w:hint="default"/>
        </w:rPr>
        <w:t>6)</w:t>
      </w:r>
      <w:r>
        <w:rPr/>
        <w:t>转移应收账款且继续涉入形成的资产、负债金额</w:t>
      </w:r>
      <w:r>
        <w:rPr>
          <w:w w:val="99"/>
        </w:rPr>
        <w:t> </w:t>
      </w:r>
      <w:r>
        <w:rPr/>
        <w:t>其他说明：</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3、预付款项" w:id="232"/>
      <w:bookmarkEnd w:id="232"/>
      <w:r>
        <w:rPr>
          <w:b w:val="0"/>
          <w:bCs w:val="0"/>
        </w:rPr>
      </w:r>
      <w:r>
        <w:rPr>
          <w:rFonts w:ascii="Times New Roman" w:hAnsi="Times New Roman" w:cs="Times New Roman" w:eastAsia="Times New Roman" w:hint="default"/>
        </w:rPr>
        <w:t>3</w:t>
      </w:r>
      <w:r>
        <w:rPr/>
        <w:t>、预付款项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预付款项按账龄列示" w:id="233"/>
      <w:bookmarkEnd w:id="233"/>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7524"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36,265,263.41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15,065,758.57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63.61%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603,678.09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5,335,759.86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22.53%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549,276.19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1,846,615.40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206,231.87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1,434,726.75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914"/>
        <w:gridCol w:w="1927"/>
        <w:gridCol w:w="1903"/>
        <w:gridCol w:w="1914"/>
        <w:gridCol w:w="190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848" w:right="0"/>
              <w:jc w:val="left"/>
              <w:rPr>
                <w:rFonts w:ascii="Times New Roman" w:hAnsi="Times New Roman" w:cs="Times New Roman" w:eastAsia="Times New Roman" w:hint="default"/>
                <w:sz w:val="18"/>
                <w:szCs w:val="18"/>
              </w:rPr>
            </w:pPr>
            <w:r>
              <w:rPr>
                <w:rFonts w:ascii="Times New Roman"/>
                <w:sz w:val="18"/>
              </w:rPr>
              <w:t>37,624,449.56</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5" w:right="0"/>
              <w:jc w:val="left"/>
              <w:rPr>
                <w:rFonts w:ascii="Times New Roman" w:hAnsi="Times New Roman" w:cs="Times New Roman" w:eastAsia="Times New Roman" w:hint="default"/>
                <w:sz w:val="18"/>
                <w:szCs w:val="18"/>
              </w:rPr>
            </w:pPr>
            <w:r>
              <w:rPr>
                <w:rFonts w:ascii="Times New Roman"/>
                <w:sz w:val="18"/>
              </w:rPr>
              <w:t>23,682,860.58</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2）按预付对象归集的期末余额前五名的预付款情况" w:id="234"/>
      <w:bookmarkEnd w:id="234"/>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2458"/>
        <w:gridCol w:w="1762"/>
        <w:gridCol w:w="992"/>
        <w:gridCol w:w="1276"/>
        <w:gridCol w:w="2042"/>
      </w:tblGrid>
      <w:tr>
        <w:trPr>
          <w:trHeight w:val="979" w:hRule="exact"/>
        </w:trPr>
        <w:tc>
          <w:tcPr>
            <w:tcW w:w="24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7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513"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992" w:type="dxa"/>
            <w:tcBorders>
              <w:top w:val="single" w:sz="6" w:space="0" w:color="000000"/>
              <w:left w:val="single" w:sz="6" w:space="0" w:color="000000"/>
              <w:bottom w:val="single" w:sz="12" w:space="0" w:color="000000"/>
              <w:right w:val="single" w:sz="6" w:space="0" w:color="000000"/>
            </w:tcBorders>
          </w:tcPr>
          <w:p>
            <w:pPr>
              <w:pStyle w:val="TableParagraph"/>
              <w:spacing w:line="338" w:lineRule="auto" w:before="21"/>
              <w:ind w:left="38" w:right="37"/>
              <w:jc w:val="center"/>
              <w:rPr>
                <w:rFonts w:ascii="Times New Roman" w:hAnsi="Times New Roman" w:cs="Times New Roman" w:eastAsia="Times New Roman" w:hint="default"/>
                <w:sz w:val="18"/>
                <w:szCs w:val="18"/>
              </w:rPr>
            </w:pPr>
            <w:r>
              <w:rPr>
                <w:rFonts w:ascii="宋体" w:hAnsi="宋体" w:cs="宋体" w:eastAsia="宋体" w:hint="default"/>
                <w:sz w:val="18"/>
                <w:szCs w:val="18"/>
              </w:rPr>
              <w:t>占预付账款 总额的比例 </w:t>
            </w:r>
            <w:r>
              <w:rPr>
                <w:rFonts w:ascii="Times New Roman" w:hAnsi="Times New Roman" w:cs="Times New Roman" w:eastAsia="Times New Roman" w:hint="default"/>
                <w:sz w:val="18"/>
                <w:szCs w:val="18"/>
              </w:rPr>
              <w:t>(%)</w:t>
            </w: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180" w:right="0"/>
              <w:jc w:val="left"/>
              <w:rPr>
                <w:rFonts w:ascii="宋体" w:hAnsi="宋体" w:cs="宋体" w:eastAsia="宋体" w:hint="default"/>
                <w:sz w:val="18"/>
                <w:szCs w:val="18"/>
              </w:rPr>
            </w:pPr>
            <w:r>
              <w:rPr>
                <w:rFonts w:ascii="宋体" w:hAnsi="宋体" w:cs="宋体" w:eastAsia="宋体" w:hint="default"/>
                <w:sz w:val="18"/>
                <w:szCs w:val="18"/>
              </w:rPr>
              <w:t>预付款时间</w:t>
            </w:r>
          </w:p>
        </w:tc>
        <w:tc>
          <w:tcPr>
            <w:tcW w:w="204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7"/>
              <w:jc w:val="center"/>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664" w:hRule="exact"/>
        </w:trPr>
        <w:tc>
          <w:tcPr>
            <w:tcW w:w="2458"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3"/>
              <w:jc w:val="left"/>
              <w:rPr>
                <w:rFonts w:ascii="宋体" w:hAnsi="宋体" w:cs="宋体" w:eastAsia="宋体" w:hint="default"/>
                <w:sz w:val="18"/>
                <w:szCs w:val="18"/>
              </w:rPr>
            </w:pPr>
            <w:r>
              <w:rPr>
                <w:rFonts w:ascii="宋体" w:hAnsi="宋体" w:cs="宋体" w:eastAsia="宋体" w:hint="default"/>
                <w:spacing w:val="-6"/>
                <w:sz w:val="18"/>
                <w:szCs w:val="18"/>
              </w:rPr>
              <w:t>施耐德电气设备工程（西安）有</w:t>
            </w:r>
            <w:r>
              <w:rPr>
                <w:rFonts w:ascii="宋体" w:hAnsi="宋体" w:cs="宋体" w:eastAsia="宋体" w:hint="default"/>
                <w:sz w:val="18"/>
                <w:szCs w:val="18"/>
              </w:rPr>
              <w:t> 限公司</w:t>
            </w:r>
          </w:p>
        </w:tc>
        <w:tc>
          <w:tcPr>
            <w:tcW w:w="17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5,615,000.00</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14.92</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04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7"/>
              <w:jc w:val="center"/>
              <w:rPr>
                <w:rFonts w:ascii="宋体" w:hAnsi="宋体" w:cs="宋体" w:eastAsia="宋体" w:hint="default"/>
                <w:sz w:val="18"/>
                <w:szCs w:val="18"/>
              </w:rPr>
            </w:pPr>
            <w:r>
              <w:rPr>
                <w:rFonts w:ascii="宋体" w:hAnsi="宋体" w:cs="宋体" w:eastAsia="宋体" w:hint="default"/>
                <w:sz w:val="18"/>
                <w:szCs w:val="18"/>
              </w:rPr>
              <w:t>未交货</w:t>
            </w:r>
          </w:p>
        </w:tc>
      </w:tr>
      <w:tr>
        <w:trPr>
          <w:trHeight w:val="353" w:hRule="exact"/>
        </w:trPr>
        <w:tc>
          <w:tcPr>
            <w:tcW w:w="24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北京国信网通科技有限公司</w:t>
            </w:r>
          </w:p>
        </w:tc>
        <w:tc>
          <w:tcPr>
            <w:tcW w:w="17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2,400,000.00</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6.38</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04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7"/>
              <w:jc w:val="center"/>
              <w:rPr>
                <w:rFonts w:ascii="宋体" w:hAnsi="宋体" w:cs="宋体" w:eastAsia="宋体" w:hint="default"/>
                <w:sz w:val="18"/>
                <w:szCs w:val="18"/>
              </w:rPr>
            </w:pPr>
            <w:r>
              <w:rPr>
                <w:rFonts w:ascii="宋体" w:hAnsi="宋体" w:cs="宋体" w:eastAsia="宋体" w:hint="default"/>
                <w:sz w:val="18"/>
                <w:szCs w:val="18"/>
              </w:rPr>
              <w:t>未交货</w:t>
            </w:r>
          </w:p>
        </w:tc>
      </w:tr>
      <w:tr>
        <w:trPr>
          <w:trHeight w:val="352" w:hRule="exact"/>
        </w:trPr>
        <w:tc>
          <w:tcPr>
            <w:tcW w:w="24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苏州浩来登企业管理有限公司</w:t>
            </w:r>
          </w:p>
        </w:tc>
        <w:tc>
          <w:tcPr>
            <w:tcW w:w="17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2,000,000.00</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5.32</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04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7"/>
              <w:jc w:val="center"/>
              <w:rPr>
                <w:rFonts w:ascii="宋体" w:hAnsi="宋体" w:cs="宋体" w:eastAsia="宋体" w:hint="default"/>
                <w:sz w:val="18"/>
                <w:szCs w:val="18"/>
              </w:rPr>
            </w:pPr>
            <w:r>
              <w:rPr>
                <w:rFonts w:ascii="宋体" w:hAnsi="宋体" w:cs="宋体" w:eastAsia="宋体" w:hint="default"/>
                <w:sz w:val="18"/>
                <w:szCs w:val="18"/>
              </w:rPr>
              <w:t>未交货</w:t>
            </w:r>
          </w:p>
        </w:tc>
      </w:tr>
      <w:tr>
        <w:trPr>
          <w:trHeight w:val="352" w:hRule="exact"/>
        </w:trPr>
        <w:tc>
          <w:tcPr>
            <w:tcW w:w="24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四川融创建筑劳务有限公司</w:t>
            </w:r>
          </w:p>
        </w:tc>
        <w:tc>
          <w:tcPr>
            <w:tcW w:w="17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1,900,000.00</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5.05</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04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7"/>
              <w:jc w:val="center"/>
              <w:rPr>
                <w:rFonts w:ascii="宋体" w:hAnsi="宋体" w:cs="宋体" w:eastAsia="宋体" w:hint="default"/>
                <w:sz w:val="18"/>
                <w:szCs w:val="18"/>
              </w:rPr>
            </w:pPr>
            <w:r>
              <w:rPr>
                <w:rFonts w:ascii="宋体" w:hAnsi="宋体" w:cs="宋体" w:eastAsia="宋体" w:hint="default"/>
                <w:sz w:val="18"/>
                <w:szCs w:val="18"/>
              </w:rPr>
              <w:t>未交货</w:t>
            </w:r>
          </w:p>
        </w:tc>
      </w:tr>
      <w:tr>
        <w:trPr>
          <w:trHeight w:val="353" w:hRule="exact"/>
        </w:trPr>
        <w:tc>
          <w:tcPr>
            <w:tcW w:w="24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南京凯拓自动化设备有限公司</w:t>
            </w:r>
          </w:p>
        </w:tc>
        <w:tc>
          <w:tcPr>
            <w:tcW w:w="17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1,591,400.00</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4.23</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04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7"/>
              <w:jc w:val="center"/>
              <w:rPr>
                <w:rFonts w:ascii="宋体" w:hAnsi="宋体" w:cs="宋体" w:eastAsia="宋体" w:hint="default"/>
                <w:sz w:val="18"/>
                <w:szCs w:val="18"/>
              </w:rPr>
            </w:pPr>
            <w:r>
              <w:rPr>
                <w:rFonts w:ascii="宋体" w:hAnsi="宋体" w:cs="宋体" w:eastAsia="宋体" w:hint="default"/>
                <w:sz w:val="18"/>
                <w:szCs w:val="18"/>
              </w:rPr>
              <w:t>未交货</w:t>
            </w:r>
          </w:p>
        </w:tc>
      </w:tr>
      <w:tr>
        <w:trPr>
          <w:trHeight w:val="352" w:hRule="exact"/>
        </w:trPr>
        <w:tc>
          <w:tcPr>
            <w:tcW w:w="24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7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13,506,400.00</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35.9</w:t>
            </w:r>
          </w:p>
        </w:tc>
        <w:tc>
          <w:tcPr>
            <w:tcW w:w="1276" w:type="dxa"/>
            <w:tcBorders>
              <w:top w:val="single" w:sz="12" w:space="0" w:color="000000"/>
              <w:left w:val="single" w:sz="6" w:space="0" w:color="000000"/>
              <w:bottom w:val="single" w:sz="12" w:space="0" w:color="000000"/>
              <w:right w:val="single" w:sz="6" w:space="0" w:color="000000"/>
            </w:tcBorders>
          </w:tcPr>
          <w:p>
            <w:pPr/>
          </w:p>
        </w:tc>
        <w:tc>
          <w:tcPr>
            <w:tcW w:w="2042"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5"/>
        <w:rPr>
          <w:rFonts w:ascii="宋体" w:hAnsi="宋体" w:cs="宋体" w:eastAsia="宋体" w:hint="default"/>
          <w:b/>
          <w:bCs/>
          <w:sz w:val="24"/>
          <w:szCs w:val="24"/>
        </w:rPr>
      </w:pPr>
    </w:p>
    <w:p>
      <w:pPr>
        <w:pStyle w:val="BodyText"/>
        <w:spacing w:line="240" w:lineRule="auto"/>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其他应收款" w:id="235"/>
      <w:bookmarkEnd w:id="235"/>
      <w:r>
        <w:rPr>
          <w:b w:val="0"/>
          <w:bCs w:val="0"/>
        </w:rPr>
      </w:r>
      <w:r>
        <w:rPr>
          <w:rFonts w:ascii="Times New Roman" w:hAnsi="Times New Roman" w:cs="Times New Roman" w:eastAsia="Times New Roman" w:hint="default"/>
        </w:rPr>
        <w:t>4</w:t>
      </w:r>
      <w:r>
        <w:rPr/>
        <w:t>、其他应收款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7524"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123,865,514.97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72,220,855.45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123,865,514.97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72,220,855.45</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应收利息" w:id="236"/>
      <w:bookmarkEnd w:id="236"/>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1)</w:t>
      </w:r>
      <w:r>
        <w:rPr/>
        <w:t>应收利息分类</w:t>
      </w:r>
    </w:p>
    <w:p>
      <w:pPr>
        <w:pStyle w:val="BodyText"/>
        <w:spacing w:line="240" w:lineRule="auto" w:before="102"/>
        <w:ind w:left="7524"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rFonts w:ascii="Times New Roman" w:hAnsi="Times New Roman" w:cs="Times New Roman" w:eastAsia="Times New Roman" w:hint="default"/>
        </w:rPr>
        <w:t>2)</w:t>
      </w:r>
      <w:r>
        <w:rPr/>
        <w:t>重要逾期利息</w:t>
      </w:r>
    </w:p>
    <w:p>
      <w:pPr>
        <w:pStyle w:val="BodyText"/>
        <w:spacing w:line="240" w:lineRule="auto" w:before="103"/>
        <w:ind w:left="7524"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应收股利" w:id="237"/>
      <w:bookmarkEnd w:id="237"/>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1)</w:t>
      </w:r>
      <w:r>
        <w:rPr/>
        <w:t>应收股利</w:t>
      </w:r>
    </w:p>
    <w:p>
      <w:pPr>
        <w:pStyle w:val="BodyText"/>
        <w:spacing w:line="240" w:lineRule="auto" w:before="102"/>
        <w:ind w:left="7524"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rFonts w:ascii="Times New Roman" w:hAnsi="Times New Roman" w:cs="Times New Roman" w:eastAsia="Times New Roman" w:hint="default"/>
        </w:rPr>
        <w:t>2)</w:t>
      </w:r>
      <w:r>
        <w:rPr/>
        <w:t>重要的账龄超过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年的应收股利</w:t>
      </w:r>
    </w:p>
    <w:p>
      <w:pPr>
        <w:pStyle w:val="BodyText"/>
        <w:spacing w:line="240" w:lineRule="auto" w:before="103"/>
        <w:ind w:left="7524"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其他应收款" w:id="238"/>
      <w:bookmarkEnd w:id="238"/>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1)</w:t>
      </w:r>
      <w:r>
        <w:rPr/>
        <w:t>其他应收款分类披露</w:t>
      </w:r>
    </w:p>
    <w:p>
      <w:pPr>
        <w:pStyle w:val="BodyText"/>
        <w:spacing w:line="240" w:lineRule="auto" w:before="102"/>
        <w:ind w:left="7524"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142,815,</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687.50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99.69%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18,950,1</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72.53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3" w:right="0"/>
              <w:jc w:val="center"/>
              <w:rPr>
                <w:rFonts w:ascii="Times New Roman" w:hAnsi="Times New Roman" w:cs="Times New Roman" w:eastAsia="Times New Roman" w:hint="default"/>
                <w:sz w:val="18"/>
                <w:szCs w:val="18"/>
              </w:rPr>
            </w:pPr>
            <w:r>
              <w:rPr>
                <w:rFonts w:ascii="Times New Roman"/>
                <w:sz w:val="18"/>
              </w:rPr>
              <w:t>13.27%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123,865,5</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14.97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87,735,</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996.04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99.50%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15,515,14</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0.59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17.68%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72,220,855.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45</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438,984.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438,984.</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438,984</w:t>
            </w:r>
          </w:p>
          <w:p>
            <w:pPr>
              <w:pStyle w:val="TableParagraph"/>
              <w:spacing w:line="240" w:lineRule="auto" w:before="105"/>
              <w:ind w:left="396" w:right="0"/>
              <w:jc w:val="lef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438,984.0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143,254,</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671.50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19,389,1</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56.53</w:t>
            </w: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123,865,5</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14.97</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88,174,</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980.04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15,954,12</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4.59</w:t>
            </w: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72,220,855.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45</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right="-20"/>
        <w:jc w:val="left"/>
      </w:pPr>
      <w:r>
        <w:rPr/>
        <w:t>期末单项金额重大并单项计提坏账准备的其他应收款：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before="0"/>
        <w:ind w:left="153"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74"/>
        <w:gridCol w:w="2399"/>
        <w:gridCol w:w="2392"/>
        <w:gridCol w:w="2392"/>
      </w:tblGrid>
      <w:tr>
        <w:trPr>
          <w:trHeight w:val="206" w:hRule="exact"/>
        </w:trPr>
        <w:tc>
          <w:tcPr>
            <w:tcW w:w="2374"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3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账龄</w:t>
            </w:r>
          </w:p>
        </w:tc>
        <w:tc>
          <w:tcPr>
            <w:tcW w:w="7183"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374" w:type="dxa"/>
            <w:vMerge/>
            <w:tcBorders>
              <w:left w:val="single" w:sz="4" w:space="0" w:color="000000"/>
              <w:bottom w:val="nil" w:sz="6" w:space="0" w:color="auto"/>
              <w:right w:val="single" w:sz="4" w:space="0" w:color="000000"/>
            </w:tcBorders>
            <w:shd w:val="clear" w:color="auto" w:fill="D2D2D2"/>
          </w:tcPr>
          <w:p>
            <w:pPr/>
          </w:p>
        </w:tc>
        <w:tc>
          <w:tcPr>
            <w:tcW w:w="23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4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0" w:hRule="exact"/>
        </w:trPr>
        <w:tc>
          <w:tcPr>
            <w:tcW w:w="2374"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9"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90,275,217.63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2,708,256.51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14,429,498.64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1,442,949.86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14,188,398.17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2,837,679.63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23,922,573.06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11,961,286.53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142,815,687.50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18,950,172.53</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right="6252"/>
        <w:jc w:val="left"/>
      </w:pPr>
      <w:r>
        <w:rPr/>
        <w:t>确定该组合依据的说明： 组合中，采用余额百分比法计提坏账准备的其他应收款：</w:t>
      </w:r>
    </w:p>
    <w:p>
      <w:pPr>
        <w:spacing w:after="0" w:line="360" w:lineRule="auto"/>
        <w:jc w:val="left"/>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7" w:footer="979" w:top="1060" w:bottom="1160" w:left="980" w:right="0"/>
        </w:sectPr>
      </w:pPr>
    </w:p>
    <w:p>
      <w:pPr>
        <w:pStyle w:val="BodyText"/>
        <w:spacing w:line="338" w:lineRule="auto"/>
        <w:ind w:right="26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3"/>
        <w:ind w:right="26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2635"/>
        <w:jc w:val="left"/>
      </w:pPr>
      <w:r>
        <w:rPr>
          <w:rFonts w:ascii="Times New Roman" w:hAnsi="Times New Roman" w:cs="Times New Roman" w:eastAsia="Times New Roman" w:hint="default"/>
        </w:rPr>
        <w:t>2)</w:t>
      </w:r>
      <w:r>
        <w:rPr/>
        <w:t>本期计提、收回或转回的坏账准备情况</w:t>
      </w:r>
    </w:p>
    <w:p>
      <w:pPr>
        <w:pStyle w:val="BodyText"/>
        <w:spacing w:line="340" w:lineRule="auto" w:before="103"/>
        <w:ind w:right="-12"/>
        <w:jc w:val="left"/>
      </w:pPr>
      <w:r>
        <w:rPr/>
        <w:t>本期计提坏账准备金额</w:t>
      </w:r>
      <w:r>
        <w:rPr>
          <w:spacing w:val="-47"/>
        </w:rPr>
        <w:t> </w:t>
      </w:r>
      <w:r>
        <w:rPr>
          <w:rFonts w:ascii="Times New Roman" w:hAnsi="Times New Roman" w:cs="Times New Roman" w:eastAsia="Times New Roman" w:hint="default"/>
        </w:rPr>
        <w:t>4,277,859.92</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832,327.98</w:t>
      </w:r>
      <w:r>
        <w:rPr>
          <w:rFonts w:ascii="Times New Roman" w:hAnsi="Times New Roman" w:cs="Times New Roman" w:eastAsia="Times New Roman" w:hint="default"/>
          <w:spacing w:val="-2"/>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0"/>
          <w:szCs w:val="20"/>
        </w:rPr>
      </w:pPr>
    </w:p>
    <w:p>
      <w:pPr>
        <w:pStyle w:val="BodyText"/>
        <w:spacing w:line="240" w:lineRule="auto" w:before="0"/>
        <w:ind w:left="153" w:right="0"/>
        <w:jc w:val="left"/>
      </w:pPr>
      <w:r>
        <w:rPr/>
        <w:t>单位： 元</w:t>
      </w:r>
    </w:p>
    <w:p>
      <w:pPr>
        <w:spacing w:after="0" w:line="240" w:lineRule="auto"/>
        <w:jc w:val="left"/>
        <w:sectPr>
          <w:type w:val="continuous"/>
          <w:pgSz w:w="11910" w:h="16840"/>
          <w:pgMar w:top="1060" w:bottom="1160" w:left="980" w:right="0"/>
          <w:cols w:num="2" w:equalWidth="0">
            <w:col w:w="6950" w:space="1880"/>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52"/>
        <w:ind w:right="0"/>
        <w:jc w:val="left"/>
      </w:pPr>
      <w:r>
        <w:rPr>
          <w:rFonts w:ascii="Times New Roman" w:hAnsi="Times New Roman" w:cs="Times New Roman" w:eastAsia="Times New Roman" w:hint="default"/>
        </w:rPr>
        <w:t>3)</w:t>
      </w:r>
      <w:r>
        <w:rPr/>
        <w:t>本期实际核销的其他应收款情况</w:t>
      </w:r>
    </w:p>
    <w:p>
      <w:pPr>
        <w:pStyle w:val="BodyText"/>
        <w:spacing w:line="240" w:lineRule="auto" w:before="102"/>
        <w:ind w:left="7524"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实际核销的其他应收款</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10,500.00</w:t>
            </w:r>
          </w:p>
        </w:tc>
      </w:tr>
    </w:tbl>
    <w:p>
      <w:pPr>
        <w:pStyle w:val="BodyText"/>
        <w:spacing w:line="240" w:lineRule="auto" w:before="51"/>
        <w:ind w:right="0"/>
        <w:jc w:val="left"/>
      </w:pPr>
      <w:r>
        <w:rPr/>
        <w:t>其中重要的其他应收款核销情况：</w:t>
      </w:r>
    </w:p>
    <w:p>
      <w:pPr>
        <w:pStyle w:val="BodyText"/>
        <w:spacing w:line="240" w:lineRule="auto" w:before="117"/>
        <w:ind w:left="7524"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after="0" w:line="319" w:lineRule="auto"/>
        <w:jc w:val="left"/>
        <w:rPr>
          <w:rFonts w:ascii="宋体" w:hAnsi="宋体" w:cs="宋体" w:eastAsia="宋体" w:hint="default"/>
          <w:sz w:val="18"/>
          <w:szCs w:val="18"/>
        </w:rPr>
        <w:sectPr>
          <w:type w:val="continuous"/>
          <w:pgSz w:w="11910" w:h="16840"/>
          <w:pgMar w:top="1060" w:bottom="1160" w:left="980" w:right="0"/>
        </w:sectPr>
      </w:pPr>
    </w:p>
    <w:p>
      <w:pPr>
        <w:pStyle w:val="BodyText"/>
        <w:spacing w:line="240" w:lineRule="auto" w:before="51"/>
        <w:ind w:right="-20"/>
        <w:jc w:val="left"/>
      </w:pPr>
      <w:r>
        <w:rPr/>
        <w:t>其他应收款核销说明：</w:t>
      </w:r>
    </w:p>
    <w:p>
      <w:pPr>
        <w:pStyle w:val="BodyText"/>
        <w:spacing w:line="240" w:lineRule="auto" w:before="117"/>
        <w:ind w:right="-20"/>
        <w:jc w:val="left"/>
      </w:pPr>
      <w:r>
        <w:rPr>
          <w:rFonts w:ascii="Times New Roman" w:hAnsi="Times New Roman" w:cs="Times New Roman" w:eastAsia="Times New Roman" w:hint="default"/>
        </w:rPr>
        <w:t>4)</w:t>
      </w:r>
      <w:r>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before="0"/>
        <w:ind w:left="153" w:right="0"/>
        <w:jc w:val="left"/>
      </w:pPr>
      <w:r>
        <w:rPr/>
        <w:t>单位： 元</w:t>
      </w:r>
    </w:p>
    <w:p>
      <w:pPr>
        <w:spacing w:after="0" w:line="240" w:lineRule="auto"/>
        <w:jc w:val="left"/>
        <w:sectPr>
          <w:type w:val="continuous"/>
          <w:pgSz w:w="11910" w:h="16840"/>
          <w:pgMar w:top="1060" w:bottom="1160" w:left="980" w:right="0"/>
          <w:cols w:num="2" w:equalWidth="0">
            <w:col w:w="2825" w:space="600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108,857,366.30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75,997,396.19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17,469,913.13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10,020,233.70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土地回收款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5,609,700.00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资金拆借</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8,817,692.07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2,157,350.15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143,254,671.50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88,174,980.04</w:t>
            </w:r>
          </w:p>
        </w:tc>
      </w:tr>
    </w:tbl>
    <w:p>
      <w:pPr>
        <w:pStyle w:val="BodyText"/>
        <w:spacing w:line="240" w:lineRule="auto" w:before="51"/>
        <w:ind w:right="0"/>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3"/>
        <w:ind w:left="7524"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102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中国联合网络通信 有限公司云南省分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13.96%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600,000.00</w:t>
            </w:r>
          </w:p>
        </w:tc>
      </w:tr>
      <w:tr>
        <w:trPr>
          <w:trHeight w:val="102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19"/>
              <w:jc w:val="left"/>
              <w:rPr>
                <w:rFonts w:ascii="宋体" w:hAnsi="宋体" w:cs="宋体" w:eastAsia="宋体" w:hint="default"/>
                <w:sz w:val="18"/>
                <w:szCs w:val="18"/>
              </w:rPr>
            </w:pPr>
            <w:r>
              <w:rPr>
                <w:rFonts w:ascii="宋体" w:hAnsi="宋体" w:cs="宋体" w:eastAsia="宋体" w:hint="default"/>
                <w:sz w:val="18"/>
                <w:szCs w:val="18"/>
              </w:rPr>
              <w:t>芜湖市公共资源交 易中心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15,984,936.00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15,043,80</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z w:val="18"/>
                <w:szCs w:val="18"/>
              </w:rPr>
              <w:t>.00 </w:t>
            </w:r>
            <w:r>
              <w:rPr>
                <w:rFonts w:ascii="宋体" w:hAnsi="宋体" w:cs="宋体" w:eastAsia="宋体" w:hint="default"/>
                <w:sz w:val="18"/>
                <w:szCs w:val="18"/>
              </w:rPr>
              <w:t>元</w:t>
            </w:r>
            <w:r>
              <w:rPr>
                <w:rFonts w:ascii="宋体" w:hAnsi="宋体" w:cs="宋体" w:eastAsia="宋体" w:hint="default"/>
                <w:spacing w:val="-82"/>
                <w:sz w:val="18"/>
                <w:szCs w:val="18"/>
              </w:rPr>
              <w:t>，</w:t>
            </w:r>
            <w:r>
              <w:rPr>
                <w:rFonts w:ascii="宋体" w:hAnsi="宋体" w:cs="宋体" w:eastAsia="宋体" w:hint="default"/>
                <w:sz w:val="18"/>
                <w:szCs w:val="18"/>
              </w:rPr>
              <w:t>其</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11.16%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639,539.84</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6"/>
              <w:jc w:val="center"/>
              <w:rPr>
                <w:rFonts w:ascii="宋体" w:hAnsi="宋体" w:cs="宋体" w:eastAsia="宋体" w:hint="default"/>
                <w:sz w:val="18"/>
                <w:szCs w:val="18"/>
              </w:rPr>
            </w:pPr>
            <w:r>
              <w:rPr>
                <w:rFonts w:ascii="宋体" w:hAnsi="宋体" w:cs="宋体" w:eastAsia="宋体" w:hint="default"/>
                <w:sz w:val="18"/>
                <w:szCs w:val="18"/>
              </w:rPr>
              <w:t>鸠江区湾里街道办</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土地回收款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5,609,700.00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168,291.00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36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事处</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江苏富强新材料有 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5,586,000.00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167,580.00</w:t>
            </w:r>
          </w:p>
        </w:tc>
      </w:tr>
      <w:tr>
        <w:trPr>
          <w:trHeight w:val="102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中华通信系统有限 责任公司河北分公 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3,005,000.00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90,150.00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50,185,636.00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1,665,560.84</w:t>
            </w:r>
          </w:p>
        </w:tc>
      </w:tr>
    </w:tbl>
    <w:p>
      <w:pPr>
        <w:pStyle w:val="BodyText"/>
        <w:spacing w:line="240" w:lineRule="auto" w:before="51"/>
        <w:ind w:right="0"/>
        <w:jc w:val="left"/>
      </w:pPr>
      <w:r>
        <w:rPr>
          <w:rFonts w:ascii="Times New Roman" w:hAnsi="Times New Roman" w:cs="Times New Roman" w:eastAsia="Times New Roman" w:hint="default"/>
        </w:rPr>
        <w:t>6)</w:t>
      </w:r>
      <w:r>
        <w:rPr/>
        <w:t>涉及政府补助的应收款项</w:t>
      </w:r>
    </w:p>
    <w:p>
      <w:pPr>
        <w:pStyle w:val="BodyText"/>
        <w:spacing w:line="240" w:lineRule="auto" w:before="103"/>
        <w:ind w:left="7524"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83" w:right="39"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pStyle w:val="BodyText"/>
        <w:spacing w:line="240" w:lineRule="auto" w:before="51"/>
        <w:ind w:right="0"/>
        <w:jc w:val="left"/>
      </w:pPr>
      <w:r>
        <w:rPr>
          <w:rFonts w:ascii="Times New Roman" w:hAnsi="Times New Roman" w:cs="Times New Roman" w:eastAsia="Times New Roman" w:hint="default"/>
        </w:rPr>
        <w:t>7)</w:t>
      </w:r>
      <w:r>
        <w:rPr/>
        <w:t>因金融资产转移而终止确认的其他应收款</w:t>
      </w:r>
    </w:p>
    <w:p>
      <w:pPr>
        <w:pStyle w:val="BodyText"/>
        <w:spacing w:line="338" w:lineRule="auto" w:before="103"/>
        <w:ind w:right="6642"/>
        <w:jc w:val="left"/>
      </w:pPr>
      <w:r>
        <w:rPr>
          <w:rFonts w:ascii="Times New Roman" w:hAnsi="Times New Roman" w:cs="Times New Roman" w:eastAsia="Times New Roman" w:hint="default"/>
        </w:rPr>
        <w:t>8)</w:t>
      </w:r>
      <w:r>
        <w:rPr/>
        <w:t>转移其他应收款且继续涉入形成的资产、负债金额</w:t>
      </w:r>
      <w:r>
        <w:rPr>
          <w:w w:val="99"/>
        </w:rPr>
        <w:t> </w:t>
      </w:r>
      <w:r>
        <w:rPr/>
        <w:t>其他说明：</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5、存货" w:id="239"/>
      <w:bookmarkEnd w:id="239"/>
      <w:r>
        <w:rPr>
          <w:b w:val="0"/>
          <w:bCs w:val="0"/>
        </w:rPr>
      </w:r>
      <w:r>
        <w:rPr>
          <w:rFonts w:ascii="Times New Roman" w:hAnsi="Times New Roman" w:cs="Times New Roman" w:eastAsia="Times New Roman" w:hint="default"/>
        </w:rPr>
        <w:t>5</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before="0"/>
        <w:ind w:right="7512"/>
        <w:jc w:val="left"/>
      </w:pPr>
      <w:r>
        <w:rPr/>
        <w:t>公司是否需要遵守房地产行业的披露要求 否</w:t>
      </w:r>
    </w:p>
    <w:p>
      <w:pPr>
        <w:spacing w:line="240" w:lineRule="auto" w:before="12"/>
        <w:rPr>
          <w:rFonts w:ascii="宋体" w:hAnsi="宋体" w:cs="宋体" w:eastAsia="宋体" w:hint="default"/>
          <w:sz w:val="19"/>
          <w:szCs w:val="19"/>
        </w:rPr>
      </w:pPr>
    </w:p>
    <w:p>
      <w:pPr>
        <w:pStyle w:val="Heading4"/>
        <w:spacing w:line="240" w:lineRule="auto"/>
        <w:ind w:right="0"/>
        <w:jc w:val="left"/>
        <w:rPr>
          <w:b w:val="0"/>
          <w:bCs w:val="0"/>
        </w:rPr>
      </w:pPr>
      <w:bookmarkStart w:name="（1）存货分类" w:id="240"/>
      <w:bookmarkEnd w:id="240"/>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7524"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36,606,445.75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278,828.28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36,327,617.47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37,480,119.56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249,703.71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37,230,415.85</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71,094,119.06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71,094,119.06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51,313,413.50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51,313,413.50</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372,270,866.93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37,529,234.36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334,741,632.57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426,694,123.77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31,773,404.76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394,920,719.01</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248,583.96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248,583.96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188,138.04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188,138.04</w:t>
            </w:r>
          </w:p>
        </w:tc>
      </w:tr>
      <w:tr>
        <w:trPr>
          <w:trHeight w:val="1026"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62"/>
              <w:jc w:val="both"/>
              <w:rPr>
                <w:rFonts w:ascii="宋体" w:hAnsi="宋体" w:cs="宋体" w:eastAsia="宋体" w:hint="default"/>
                <w:sz w:val="18"/>
                <w:szCs w:val="18"/>
              </w:rPr>
            </w:pPr>
            <w:r>
              <w:rPr>
                <w:rFonts w:ascii="宋体" w:hAnsi="宋体" w:cs="宋体" w:eastAsia="宋体" w:hint="default"/>
                <w:sz w:val="18"/>
                <w:szCs w:val="18"/>
              </w:rPr>
              <w:t>建造合同形成的 已完工未结算资 产</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654,628,468.50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159,596.14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654,468,872.36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667,464,212.53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688,372.51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666,775,840.02</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1,134,848,484.20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37,967,658.78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1,096,880,825.42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1,183,140,007.40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32,711,480.98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1,150,428,526.42</w:t>
            </w:r>
          </w:p>
        </w:tc>
      </w:tr>
    </w:tbl>
    <w:p>
      <w:pPr>
        <w:pStyle w:val="BodyText"/>
        <w:spacing w:line="340" w:lineRule="auto" w:before="51"/>
        <w:ind w:right="2473"/>
        <w:jc w:val="left"/>
      </w:pPr>
      <w:r>
        <w:rPr/>
        <w:t>公司是否需遵守《深圳证券交易所行业信息披露指引第</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pStyle w:val="BodyText"/>
        <w:spacing w:line="340" w:lineRule="auto" w:before="41"/>
        <w:ind w:right="2751"/>
        <w:jc w:val="left"/>
      </w:pPr>
      <w:r>
        <w:rPr/>
        <w:t>公司需遵守《深圳证券交易所行业信息披露指引第</w:t>
      </w:r>
      <w:r>
        <w:rPr>
          <w:spacing w:val="-4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上市公司从事珠宝相关业务》的披露要求 否</w:t>
      </w:r>
    </w:p>
    <w:p>
      <w:pPr>
        <w:spacing w:after="0" w:line="3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2）存货跌价准备" w:id="241"/>
      <w:bookmarkEnd w:id="241"/>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7524"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7"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196"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single" w:sz="4" w:space="0" w:color="000000"/>
            </w:tcBorders>
            <w:shd w:val="clear" w:color="auto" w:fill="D2D2D2"/>
          </w:tcPr>
          <w:p>
            <w:pPr/>
          </w:p>
        </w:tc>
      </w:tr>
      <w:tr>
        <w:trPr>
          <w:trHeight w:val="205"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249,703.71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29,124.57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278,828.28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31,773,404.76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7,029,305.28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1,273,475.68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37,529,234.36</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75"/>
              <w:jc w:val="both"/>
              <w:rPr>
                <w:rFonts w:ascii="宋体" w:hAnsi="宋体" w:cs="宋体" w:eastAsia="宋体" w:hint="default"/>
                <w:sz w:val="18"/>
                <w:szCs w:val="18"/>
              </w:rPr>
            </w:pPr>
            <w:r>
              <w:rPr>
                <w:rFonts w:ascii="宋体" w:hAnsi="宋体" w:cs="宋体" w:eastAsia="宋体" w:hint="default"/>
                <w:sz w:val="18"/>
                <w:szCs w:val="18"/>
              </w:rPr>
              <w:t>建造合同形成的 已完工未结算资 产</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688,372.51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159,596.14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688,372.51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159,596.14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32,711,480.98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7,218,025.99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1,961,848.19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37,967,658.78</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存货期末余额含有借款费用资本化金额的说明" w:id="242"/>
      <w:bookmarkEnd w:id="242"/>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4）期末建造合同形成的已完工未结算资产情况" w:id="243"/>
      <w:bookmarkEnd w:id="243"/>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7524"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累计已发生成本</w:t>
            </w:r>
          </w:p>
        </w:tc>
        <w:tc>
          <w:tcPr>
            <w:tcW w:w="47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2,263,266,823.94</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累计已确认毛利</w:t>
            </w:r>
          </w:p>
        </w:tc>
        <w:tc>
          <w:tcPr>
            <w:tcW w:w="47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767,174,548.78</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减：预计损失</w:t>
            </w:r>
          </w:p>
        </w:tc>
        <w:tc>
          <w:tcPr>
            <w:tcW w:w="47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159,596.14</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已办理结算的金额</w:t>
            </w:r>
          </w:p>
        </w:tc>
        <w:tc>
          <w:tcPr>
            <w:tcW w:w="47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2,375,812,904.22</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建造合同形成的已完工未结算资产</w:t>
            </w:r>
          </w:p>
        </w:tc>
        <w:tc>
          <w:tcPr>
            <w:tcW w:w="47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654,468,872.36</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6、持有待售资产" w:id="244"/>
      <w:bookmarkEnd w:id="244"/>
      <w:r>
        <w:rPr>
          <w:b w:val="0"/>
          <w:bCs w:val="0"/>
        </w:rPr>
      </w:r>
      <w:r>
        <w:rPr>
          <w:rFonts w:ascii="Times New Roman" w:hAnsi="Times New Roman" w:cs="Times New Roman" w:eastAsia="Times New Roman" w:hint="default"/>
        </w:rPr>
        <w:t>6</w:t>
      </w:r>
      <w:r>
        <w:rPr/>
        <w:t>、持有待售资产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7524"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10"/>
              <w:jc w:val="right"/>
              <w:rPr>
                <w:rFonts w:ascii="宋体" w:hAnsi="宋体" w:cs="宋体" w:eastAsia="宋体" w:hint="default"/>
                <w:sz w:val="18"/>
                <w:szCs w:val="18"/>
              </w:rPr>
            </w:pPr>
            <w:r>
              <w:rPr>
                <w:rFonts w:ascii="宋体" w:hAnsi="宋体" w:cs="宋体" w:eastAsia="宋体" w:hint="default"/>
                <w:sz w:val="18"/>
                <w:szCs w:val="18"/>
              </w:rPr>
              <w:t>预计处置时间</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持有待售权益性投资</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9,588,282.06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9,588,282.06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96"/>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9,588,282.06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9,588,282.06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Heading5"/>
        <w:spacing w:line="338" w:lineRule="auto" w:before="51"/>
        <w:ind w:left="154" w:right="1118"/>
        <w:jc w:val="left"/>
        <w:rPr>
          <w:b w:val="0"/>
          <w:bCs w:val="0"/>
        </w:rPr>
      </w:pPr>
      <w:r>
        <w:rPr>
          <w:rFonts w:ascii="宋体" w:hAnsi="宋体" w:cs="宋体" w:eastAsia="宋体" w:hint="default"/>
          <w:b w:val="0"/>
          <w:bCs w:val="0"/>
        </w:rPr>
        <w:t>其他说明： </w:t>
      </w:r>
      <w:r>
        <w:rPr/>
        <w:t>划分为持有待售的资产说明：子公司北京中电兴发科技有限公司已与大连九成测绘信息有限公司签订协议，约定将北京中</w:t>
      </w:r>
      <w:r>
        <w:rPr>
          <w:w w:val="99"/>
        </w:rPr>
        <w:t> </w:t>
      </w:r>
      <w:r>
        <w:rPr>
          <w:w w:val="95"/>
        </w:rPr>
        <w:t>电兴发科技有限公司持有的庄河市智慧城市科技发展有限公司股权按账面价值转让给大连九成测绘信息有限公司</w:t>
      </w:r>
      <w:r>
        <w:rPr>
          <w:rFonts w:ascii="Times New Roman" w:hAnsi="Times New Roman" w:cs="Times New Roman" w:eastAsia="Times New Roman" w:hint="default"/>
          <w:w w:val="95"/>
        </w:rPr>
        <w:t>,</w:t>
      </w:r>
      <w:r>
        <w:rPr>
          <w:w w:val="95"/>
        </w:rPr>
        <w:t>款项预计</w:t>
      </w:r>
      <w:r>
        <w:rPr>
          <w:b w:val="0"/>
          <w:bCs w:val="0"/>
        </w:rPr>
      </w:r>
    </w:p>
    <w:p>
      <w:pPr>
        <w:pStyle w:val="Heading5"/>
        <w:spacing w:line="230" w:lineRule="exact"/>
        <w:ind w:left="154" w:right="0"/>
        <w:jc w:val="left"/>
        <w:rPr>
          <w:b w:val="0"/>
          <w:bCs w:val="0"/>
        </w:rPr>
      </w:pPr>
      <w:r>
        <w:rPr/>
        <w:t>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月底前一次性收回。</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right="0"/>
        <w:jc w:val="left"/>
        <w:rPr>
          <w:b w:val="0"/>
          <w:bCs w:val="0"/>
        </w:rPr>
      </w:pPr>
      <w:bookmarkStart w:name="7、其他流动资产" w:id="245"/>
      <w:bookmarkEnd w:id="245"/>
      <w:r>
        <w:rPr>
          <w:b w:val="0"/>
          <w:bCs w:val="0"/>
        </w:rPr>
      </w:r>
      <w:r>
        <w:rPr>
          <w:rFonts w:ascii="Times New Roman" w:hAnsi="Times New Roman" w:cs="Times New Roman" w:eastAsia="Times New Roman" w:hint="default"/>
        </w:rPr>
        <w:t>7</w:t>
      </w:r>
      <w:r>
        <w:rPr/>
        <w:t>、其他流动资产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7524"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79,094,212.06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30,131,437.67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预缴税款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1,422,720.95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1,145,983.39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待摊费用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149,804.59</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80,666,737.60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32,277,421.06</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8、可供出售金融资产" w:id="246"/>
      <w:bookmarkEnd w:id="246"/>
      <w:r>
        <w:rPr>
          <w:b w:val="0"/>
          <w:bCs w:val="0"/>
        </w:rPr>
      </w:r>
      <w:r>
        <w:rPr>
          <w:rFonts w:ascii="Times New Roman" w:hAnsi="Times New Roman" w:cs="Times New Roman" w:eastAsia="Times New Roman" w:hint="default"/>
        </w:rPr>
        <w:t>8</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可供出售金融资产情况" w:id="247"/>
      <w:bookmarkEnd w:id="247"/>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7524"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001"/>
        <w:gridCol w:w="1195"/>
        <w:gridCol w:w="1196"/>
        <w:gridCol w:w="1196"/>
        <w:gridCol w:w="1248"/>
        <w:gridCol w:w="1367"/>
        <w:gridCol w:w="1367"/>
      </w:tblGrid>
      <w:tr>
        <w:trPr>
          <w:trHeight w:val="206" w:hRule="exact"/>
        </w:trPr>
        <w:tc>
          <w:tcPr>
            <w:tcW w:w="20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20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001"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20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w:t>
            </w: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w:t>
            </w: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2）期末按公允价值计量的可供出售金融资产" w:id="248"/>
      <w:bookmarkEnd w:id="248"/>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7524"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25"/>
        <w:gridCol w:w="1903"/>
        <w:gridCol w:w="1903"/>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25"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0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期末按成本计量的可供出售金融资产" w:id="249"/>
      <w:bookmarkEnd w:id="249"/>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7524"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1"/>
              <w:jc w:val="center"/>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芜湖扬子 农村商业 银行股份 有限公司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72" w:right="0"/>
              <w:jc w:val="left"/>
              <w:rPr>
                <w:rFonts w:ascii="Times New Roman" w:hAnsi="Times New Roman" w:cs="Times New Roman" w:eastAsia="Times New Roman" w:hint="default"/>
                <w:sz w:val="18"/>
                <w:szCs w:val="18"/>
              </w:rPr>
            </w:pPr>
            <w:r>
              <w:rPr>
                <w:rFonts w:ascii="Times New Roman"/>
                <w:sz w:val="18"/>
              </w:rPr>
              <w:t>0.15%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146,000.00</w:t>
            </w: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芜湖市中 小企业融 资担保有 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72" w:right="0"/>
              <w:jc w:val="left"/>
              <w:rPr>
                <w:rFonts w:ascii="Times New Roman" w:hAnsi="Times New Roman" w:cs="Times New Roman" w:eastAsia="Times New Roman" w:hint="default"/>
                <w:sz w:val="18"/>
                <w:szCs w:val="18"/>
              </w:rPr>
            </w:pPr>
            <w:r>
              <w:rPr>
                <w:rFonts w:ascii="Times New Roman"/>
                <w:sz w:val="18"/>
              </w:rPr>
              <w:t>1.00%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1"/>
              <w:ind w:left="36" w:right="0"/>
              <w:jc w:val="center"/>
              <w:rPr>
                <w:rFonts w:ascii="Times New Roman" w:hAnsi="Times New Roman" w:cs="Times New Roman" w:eastAsia="Times New Roman" w:hint="default"/>
                <w:sz w:val="18"/>
                <w:szCs w:val="18"/>
              </w:rPr>
            </w:pPr>
            <w:r>
              <w:rPr>
                <w:rFonts w:ascii="Times New Roman"/>
                <w:sz w:val="18"/>
              </w:rPr>
              <w:t>6,000,000.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7" w:right="0"/>
              <w:jc w:val="center"/>
              <w:rPr>
                <w:rFonts w:ascii="Times New Roman" w:hAnsi="Times New Roman" w:cs="Times New Roman" w:eastAsia="Times New Roman" w:hint="default"/>
                <w:sz w:val="18"/>
                <w:szCs w:val="18"/>
              </w:rPr>
            </w:pPr>
            <w:r>
              <w:rPr>
                <w:rFonts w:ascii="Times New Roman"/>
                <w:sz w:val="18"/>
              </w:rPr>
              <w:t>6,000,000.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69" w:right="0"/>
              <w:jc w:val="left"/>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146,000.00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362"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报告期内可供出售金融资产减值的变动情况" w:id="250"/>
      <w:bookmarkEnd w:id="250"/>
      <w:r>
        <w:rPr>
          <w:b w:val="0"/>
          <w:bCs w:val="0"/>
        </w:rPr>
      </w: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7524"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25"/>
        <w:gridCol w:w="1903"/>
        <w:gridCol w:w="1903"/>
      </w:tblGrid>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25"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0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5）可供出售权益工具期末公允价值严重下跌或非暂时性下跌但未计提减值准备的相关说" w:id="251"/>
      <w:bookmarkEnd w:id="251"/>
      <w:r>
        <w:rPr>
          <w:b w:val="0"/>
          <w:bCs w:val="0"/>
        </w:rPr>
      </w: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7524"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08" w:right="48"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9、长期应收款" w:id="252"/>
      <w:bookmarkEnd w:id="252"/>
      <w:r>
        <w:rPr>
          <w:b w:val="0"/>
          <w:bCs w:val="0"/>
        </w:rPr>
      </w:r>
      <w:r>
        <w:rPr>
          <w:rFonts w:ascii="Times New Roman" w:hAnsi="Times New Roman" w:cs="Times New Roman" w:eastAsia="Times New Roman" w:hint="default"/>
        </w:rPr>
        <w:t>9</w:t>
      </w:r>
      <w:r>
        <w:rPr/>
        <w:t>、长期应收款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长期应收款情况" w:id="253"/>
      <w:bookmarkEnd w:id="253"/>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7524"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03"/>
        <w:gridCol w:w="1168"/>
        <w:gridCol w:w="1167"/>
        <w:gridCol w:w="1168"/>
        <w:gridCol w:w="1166"/>
        <w:gridCol w:w="1169"/>
        <w:gridCol w:w="1164"/>
        <w:gridCol w:w="1165"/>
      </w:tblGrid>
      <w:tr>
        <w:trPr>
          <w:trHeight w:val="206" w:hRule="exact"/>
        </w:trPr>
        <w:tc>
          <w:tcPr>
            <w:tcW w:w="1403" w:type="dxa"/>
            <w:tcBorders>
              <w:top w:val="single" w:sz="4" w:space="0" w:color="000000"/>
              <w:left w:val="single" w:sz="4" w:space="0" w:color="000000"/>
              <w:bottom w:val="nil" w:sz="6" w:space="0" w:color="auto"/>
              <w:right w:val="single" w:sz="4" w:space="0" w:color="000000"/>
            </w:tcBorders>
            <w:shd w:val="clear" w:color="auto" w:fill="D2D2D2"/>
          </w:tcPr>
          <w:p>
            <w:pPr/>
          </w:p>
        </w:tc>
        <w:tc>
          <w:tcPr>
            <w:tcW w:w="35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4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2" w:type="dxa"/>
            <w:gridSpan w:val="3"/>
            <w:vMerge/>
            <w:tcBorders>
              <w:left w:val="single" w:sz="4" w:space="0" w:color="000000"/>
              <w:bottom w:val="single" w:sz="4" w:space="0" w:color="000000"/>
              <w:right w:val="single" w:sz="4" w:space="0" w:color="000000"/>
            </w:tcBorders>
            <w:shd w:val="clear" w:color="auto" w:fill="D2D2D2"/>
          </w:tcPr>
          <w:p>
            <w:pPr/>
          </w:p>
        </w:tc>
        <w:tc>
          <w:tcPr>
            <w:tcW w:w="3500" w:type="dxa"/>
            <w:gridSpan w:val="3"/>
            <w:vMerge/>
            <w:tcBorders>
              <w:left w:val="single" w:sz="4" w:space="0" w:color="000000"/>
              <w:bottom w:val="single" w:sz="4" w:space="0" w:color="000000"/>
              <w:right w:val="single" w:sz="4" w:space="0" w:color="000000"/>
            </w:tcBorders>
            <w:shd w:val="clear" w:color="auto" w:fill="D2D2D2"/>
          </w:tcPr>
          <w:p>
            <w:pPr/>
          </w:p>
        </w:tc>
        <w:tc>
          <w:tcPr>
            <w:tcW w:w="11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196" w:hRule="exact"/>
        </w:trPr>
        <w:tc>
          <w:tcPr>
            <w:tcW w:w="1403" w:type="dxa"/>
            <w:vMerge/>
            <w:tcBorders>
              <w:left w:val="single" w:sz="4" w:space="0" w:color="000000"/>
              <w:bottom w:val="nil" w:sz="6" w:space="0" w:color="auto"/>
              <w:right w:val="single" w:sz="4" w:space="0" w:color="000000"/>
            </w:tcBorders>
            <w:shd w:val="clear" w:color="auto" w:fill="D2D2D2"/>
          </w:tcPr>
          <w:p>
            <w:pPr/>
          </w:p>
        </w:tc>
        <w:tc>
          <w:tcPr>
            <w:tcW w:w="11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403"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8"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68"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9" w:type="dxa"/>
            <w:vMerge/>
            <w:tcBorders>
              <w:left w:val="single" w:sz="4" w:space="0" w:color="000000"/>
              <w:bottom w:val="single" w:sz="4" w:space="0" w:color="000000"/>
              <w:right w:val="single" w:sz="4" w:space="0" w:color="000000"/>
            </w:tcBorders>
            <w:shd w:val="clear" w:color="auto" w:fill="D2D2D2"/>
          </w:tcPr>
          <w:p>
            <w:pPr/>
          </w:p>
        </w:tc>
        <w:tc>
          <w:tcPr>
            <w:tcW w:w="1164" w:type="dxa"/>
            <w:vMerge/>
            <w:tcBorders>
              <w:left w:val="single" w:sz="4" w:space="0" w:color="000000"/>
              <w:bottom w:val="single" w:sz="4" w:space="0" w:color="000000"/>
              <w:right w:val="single" w:sz="4" w:space="0" w:color="000000"/>
            </w:tcBorders>
            <w:shd w:val="clear" w:color="auto" w:fill="D2D2D2"/>
          </w:tcPr>
          <w:p>
            <w:pPr/>
          </w:p>
        </w:tc>
        <w:tc>
          <w:tcPr>
            <w:tcW w:w="116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4" w:hRule="exact"/>
        </w:trPr>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08"/>
              <w:jc w:val="left"/>
              <w:rPr>
                <w:rFonts w:ascii="宋体" w:hAnsi="宋体" w:cs="宋体" w:eastAsia="宋体" w:hint="default"/>
                <w:sz w:val="18"/>
                <w:szCs w:val="18"/>
              </w:rPr>
            </w:pPr>
            <w:r>
              <w:rPr>
                <w:rFonts w:ascii="宋体" w:hAnsi="宋体" w:cs="宋体" w:eastAsia="宋体" w:hint="default"/>
                <w:sz w:val="18"/>
                <w:szCs w:val="18"/>
              </w:rPr>
              <w:t>分期收款销售商 品</w:t>
            </w:r>
          </w:p>
        </w:tc>
        <w:tc>
          <w:tcPr>
            <w:tcW w:w="11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171,162,647.6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171,162,647.6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29,793,347.10</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29,793,347.10</w:t>
            </w:r>
          </w:p>
        </w:tc>
        <w:tc>
          <w:tcPr>
            <w:tcW w:w="116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left"/>
              <w:rPr>
                <w:rFonts w:ascii="宋体" w:hAnsi="宋体" w:cs="宋体" w:eastAsia="宋体" w:hint="default"/>
                <w:sz w:val="18"/>
                <w:szCs w:val="18"/>
              </w:rPr>
            </w:pPr>
            <w:r>
              <w:rPr>
                <w:rFonts w:ascii="宋体" w:hAnsi="宋体" w:cs="宋体" w:eastAsia="宋体" w:hint="default"/>
                <w:sz w:val="18"/>
                <w:szCs w:val="18"/>
              </w:rPr>
              <w:t>减：未实现融资 收益</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9" w:right="0"/>
              <w:jc w:val="left"/>
              <w:rPr>
                <w:rFonts w:ascii="Times New Roman" w:hAnsi="Times New Roman" w:cs="Times New Roman" w:eastAsia="Times New Roman" w:hint="default"/>
                <w:sz w:val="18"/>
                <w:szCs w:val="18"/>
              </w:rPr>
            </w:pPr>
            <w:r>
              <w:rPr>
                <w:rFonts w:ascii="Times New Roman"/>
                <w:sz w:val="18"/>
              </w:rPr>
              <w:t>-24,389,629.93</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9" w:right="0"/>
              <w:jc w:val="left"/>
              <w:rPr>
                <w:rFonts w:ascii="Times New Roman" w:hAnsi="Times New Roman" w:cs="Times New Roman" w:eastAsia="Times New Roman" w:hint="default"/>
                <w:sz w:val="18"/>
                <w:szCs w:val="18"/>
              </w:rPr>
            </w:pPr>
            <w:r>
              <w:rPr>
                <w:rFonts w:ascii="Times New Roman"/>
                <w:sz w:val="18"/>
              </w:rPr>
              <w:t>-24,389,629.93</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-3,277,624.78</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-3,277,624.78</w:t>
            </w:r>
          </w:p>
        </w:tc>
        <w:tc>
          <w:tcPr>
            <w:tcW w:w="116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146,773,017.7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146,773,017.7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26,515,722.32</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26,515,722.32</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因金融资产转移而终止确认的长期应收款" w:id="254"/>
      <w:bookmarkEnd w:id="254"/>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3）转移长期应收款且继续涉入形成的资产、负债金额" w:id="255"/>
      <w:bookmarkEnd w:id="255"/>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10、长期股权投资" w:id="256"/>
      <w:bookmarkEnd w:id="256"/>
      <w:r>
        <w:rPr>
          <w:b w:val="0"/>
          <w:bCs w:val="0"/>
        </w:rPr>
      </w:r>
      <w:r>
        <w:rPr>
          <w:rFonts w:ascii="Times New Roman" w:hAnsi="Times New Roman" w:cs="Times New Roman" w:eastAsia="Times New Roman" w:hint="default"/>
        </w:rPr>
        <w:t>10</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7524"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7"/>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安徽美能 储能系统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13,930,80</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6.25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-2,405,75</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1.02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11,525,05</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5.23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惠国征信 服务股份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4,420,941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320,190.5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4,741,132</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芜湖中电 兆威电子 股份有限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4,421,450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1,165,143</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.48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5,586,593</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.55</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22,773,19</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7.89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-920,417.</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21,852,78</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0.85</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22,773,19</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7.89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-920,417.</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21,852,78</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0.85</w:t>
            </w:r>
          </w:p>
        </w:tc>
        <w:tc>
          <w:tcPr>
            <w:tcW w:w="7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11、投资性房地产" w:id="257"/>
      <w:bookmarkEnd w:id="257"/>
      <w:r>
        <w:rPr>
          <w:b w:val="0"/>
          <w:bCs w:val="0"/>
        </w:rPr>
      </w:r>
      <w:r>
        <w:rPr>
          <w:rFonts w:ascii="Times New Roman" w:hAnsi="Times New Roman" w:cs="Times New Roman" w:eastAsia="Times New Roman" w:hint="default"/>
        </w:rPr>
        <w:t>11</w:t>
      </w:r>
      <w:r>
        <w:rPr/>
        <w:t>、投资性房地产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采用成本计量模式的投资性房地产" w:id="258"/>
      <w:bookmarkEnd w:id="258"/>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7524"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140,138,056.20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140,138,056.20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32,615,738.65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32,615,738.65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0"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32,615,738.65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32,615,738.65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6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38,656,752.49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38,656,752.49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）重分类减少</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38,656,752.49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38,656,752.49</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134,097,042.36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134,097,042.36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39,032,566.75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39,032,566.75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13,822,753.04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13,822,753.04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5,320,267.81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5,320,267.81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）固定资产转入</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8,502,485.23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8,502,485.23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11,126,746.27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11,126,746.27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）重分类减少</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11,126,746.27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11,126,746.27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41,728,573.52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41,728,573.52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6,567,212.47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6,567,212.47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6,567,212.47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6,567,212.47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85,801,256.37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85,801,256.37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94,538,276.98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94,538,276.98</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采用公允价值计量模式的投资性房地产" w:id="259"/>
      <w:bookmarkEnd w:id="259"/>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3）未办妥产权证书的投资性房地产情况" w:id="260"/>
      <w:bookmarkEnd w:id="260"/>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7524"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pStyle w:val="BodyText"/>
        <w:spacing w:line="240" w:lineRule="auto" w:before="51"/>
        <w:ind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12、固定资产" w:id="261"/>
      <w:bookmarkEnd w:id="261"/>
      <w:r>
        <w:rPr>
          <w:b w:val="0"/>
          <w:bCs w:val="0"/>
        </w:rPr>
      </w:r>
      <w:r>
        <w:rPr>
          <w:rFonts w:ascii="Times New Roman" w:hAnsi="Times New Roman" w:cs="Times New Roman" w:eastAsia="Times New Roman" w:hint="default"/>
        </w:rPr>
        <w:t>12</w:t>
      </w:r>
      <w:r>
        <w:rPr/>
        <w:t>、固定资产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7524"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1"/>
        <w:gridCol w:w="3200"/>
        <w:gridCol w:w="318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581,933,466.35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605,834,082.13</w:t>
            </w:r>
          </w:p>
        </w:tc>
      </w:tr>
      <w:tr>
        <w:trPr>
          <w:trHeight w:val="403"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581,933,466.35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605,834,082.13</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固定资产情况" w:id="262"/>
      <w:bookmarkEnd w:id="262"/>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7524"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137" w:right="47" w:hanging="90"/>
              <w:jc w:val="left"/>
              <w:rPr>
                <w:rFonts w:ascii="宋体" w:hAnsi="宋体" w:cs="宋体" w:eastAsia="宋体" w:hint="default"/>
                <w:sz w:val="18"/>
                <w:szCs w:val="18"/>
              </w:rPr>
            </w:pPr>
            <w:r>
              <w:rPr>
                <w:rFonts w:ascii="宋体" w:hAnsi="宋体" w:cs="宋体" w:eastAsia="宋体" w:hint="default"/>
                <w:sz w:val="18"/>
                <w:szCs w:val="18"/>
              </w:rPr>
              <w:t>六盘水天网工程 租赁部分资产</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554,865,236.61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82,671,377.14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24,897,682.17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32,792,639.31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212,630,018.50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907,856,953.73</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17"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44,474,606.00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4,390,310.80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5,333,017.03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2,973,177.27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23,720,956.01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80,892,067.11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5,817,853.51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697,566.33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2,957,160.09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2,662,887.25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12,135,467.18</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2"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）在建工</w:t>
            </w:r>
            <w:r>
              <w:rPr>
                <w:rFonts w:ascii="宋体" w:hAnsi="宋体" w:cs="宋体" w:eastAsia="宋体" w:hint="default"/>
                <w:sz w:val="18"/>
                <w:szCs w:val="18"/>
              </w:rPr>
              <w:t> 程转入</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2"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）企业合</w:t>
            </w:r>
            <w:r>
              <w:rPr>
                <w:rFonts w:ascii="宋体" w:hAnsi="宋体" w:cs="宋体" w:eastAsia="宋体" w:hint="default"/>
                <w:sz w:val="18"/>
                <w:szCs w:val="18"/>
              </w:rPr>
              <w:t> 并增加</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3,692,744.47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2,375,856.94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310,290.02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6,378,891.43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）重分类</w:t>
            </w:r>
          </w:p>
        </w:tc>
        <w:tc>
          <w:tcPr>
            <w:tcW w:w="1367"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38,656,752.49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38,656,752.49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）存货转入</w:t>
            </w:r>
          </w:p>
        </w:tc>
        <w:tc>
          <w:tcPr>
            <w:tcW w:w="1367"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23,720,956.01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23,720,956.01</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17"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35,429,825.44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3,256,760.96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1,431,316.25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427,833.45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40,545,736.10</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2"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2,814,086.79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3,256,760.96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1,431,316.25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427,833.45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7,929,997.45</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2" w:lineRule="auto" w:before="51"/>
              <w:ind w:left="22" w:right="22"/>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）转入投资性</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房地产</w:t>
            </w:r>
          </w:p>
        </w:tc>
        <w:tc>
          <w:tcPr>
            <w:tcW w:w="1367"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32,615,738.65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32,615,738.65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563,910,017.17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83,804,926.98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28,799,382.95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35,337,983.13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236,350,974.51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948,203,284.74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67"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128,275,902.32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55,571,654.89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20,396,060.30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27,077,560.78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70,701,693.31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302,022,871.60</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17"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41,126,078.16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8,863,704.51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2,934,885.47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2,305,004.99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21,508,875.13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76,738,548.26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29,999,331.89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6,082,709.47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1,423,544.47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2,087,347.85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21,508,875.13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61,101,808.81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）重分类</w:t>
            </w:r>
          </w:p>
        </w:tc>
        <w:tc>
          <w:tcPr>
            <w:tcW w:w="1367"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11,126,746.27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11,126,746.27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w:t>
            </w:r>
          </w:p>
        </w:tc>
        <w:tc>
          <w:tcPr>
            <w:tcW w:w="1367"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2,780,995.04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1,511,341.00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217,657.14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4,509,993.18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8,502,485.23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2,449,565.18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1,215,120.71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324,430.35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12,491,601.47</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2,449,565.18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1,215,120.71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324,430.35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3,989,116.24</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2" w:lineRule="auto" w:before="51"/>
              <w:ind w:left="22" w:right="12"/>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）转入投资性</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房地产</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8,502,485.23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8,502,485.23</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160,899,495.25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61,985,794.22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22,115,825.06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29,058,135.42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92,210,568.44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366,269,818.39</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 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403,010,521.92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21,819,132.76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6,683,557.89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6,279,847.71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144,140,406.07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581,933,466.35</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 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426,589,334.29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27,099,722.25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4,501,621.87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5,715,078.53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141,928,325.19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605,834,082.13</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暂时闲置的固定资产情况" w:id="263"/>
      <w:bookmarkEnd w:id="263"/>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7524"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通过融资租赁租入的固定资产情况" w:id="264"/>
      <w:bookmarkEnd w:id="264"/>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7524"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4）通过经营租赁租出的固定资产" w:id="265"/>
      <w:bookmarkEnd w:id="265"/>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7524"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六盘水租赁资产</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144,140,406.07</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144,140,406.07</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5）未办妥产权证书的固定资产情况" w:id="266"/>
      <w:bookmarkEnd w:id="266"/>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7524"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8,401,273.33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正在办理中</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6）固定资产清理" w:id="267"/>
      <w:bookmarkEnd w:id="267"/>
      <w:r>
        <w:rPr>
          <w:b w:val="0"/>
          <w:bCs w:val="0"/>
        </w:rPr>
      </w:r>
      <w:r>
        <w:rPr/>
        <w:t>（</w:t>
      </w:r>
      <w:r>
        <w:rPr>
          <w:rFonts w:ascii="Times New Roman" w:hAnsi="Times New Roman" w:cs="Times New Roman" w:eastAsia="Times New Roman" w:hint="default"/>
        </w:rPr>
        <w:t>6</w:t>
      </w:r>
      <w:r>
        <w:rPr/>
        <w:t>）固定资产清理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7524"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13、无形资产" w:id="268"/>
      <w:bookmarkEnd w:id="268"/>
      <w:r>
        <w:rPr>
          <w:b w:val="0"/>
          <w:bCs w:val="0"/>
        </w:rPr>
      </w:r>
      <w:r>
        <w:rPr>
          <w:rFonts w:ascii="Times New Roman" w:hAnsi="Times New Roman" w:cs="Times New Roman" w:eastAsia="Times New Roman" w:hint="default"/>
        </w:rPr>
        <w:t>13</w:t>
      </w:r>
      <w:r>
        <w:rPr/>
        <w:t>、无形资产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无形资产情况" w:id="269"/>
      <w:bookmarkEnd w:id="269"/>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7524"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040"/>
        <w:gridCol w:w="1075"/>
        <w:gridCol w:w="1063"/>
        <w:gridCol w:w="1062"/>
        <w:gridCol w:w="1063"/>
        <w:gridCol w:w="1063"/>
        <w:gridCol w:w="1064"/>
        <w:gridCol w:w="1063"/>
        <w:gridCol w:w="1063"/>
      </w:tblGrid>
      <w:tr>
        <w:trPr>
          <w:trHeight w:val="402" w:hRule="exact"/>
        </w:trPr>
        <w:tc>
          <w:tcPr>
            <w:tcW w:w="1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5"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063" w:type="dxa"/>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软件</w:t>
            </w:r>
          </w:p>
        </w:tc>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专有技术</w:t>
            </w:r>
          </w:p>
        </w:tc>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75" w:right="0"/>
              <w:jc w:val="left"/>
              <w:rPr>
                <w:rFonts w:ascii="宋体" w:hAnsi="宋体" w:cs="宋体" w:eastAsia="宋体" w:hint="default"/>
                <w:sz w:val="18"/>
                <w:szCs w:val="18"/>
              </w:rPr>
            </w:pPr>
            <w:r>
              <w:rPr>
                <w:rFonts w:ascii="宋体" w:hAnsi="宋体" w:cs="宋体" w:eastAsia="宋体" w:hint="default"/>
                <w:sz w:val="18"/>
                <w:szCs w:val="18"/>
              </w:rPr>
              <w:t>特许经营权</w:t>
            </w:r>
          </w:p>
        </w:tc>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55" w:right="0"/>
              <w:jc w:val="left"/>
              <w:rPr>
                <w:rFonts w:ascii="宋体" w:hAnsi="宋体" w:cs="宋体" w:eastAsia="宋体" w:hint="default"/>
                <w:sz w:val="18"/>
                <w:szCs w:val="18"/>
              </w:rPr>
            </w:pPr>
            <w:r>
              <w:rPr>
                <w:rFonts w:ascii="宋体" w:hAnsi="宋体" w:cs="宋体" w:eastAsia="宋体" w:hint="default"/>
                <w:sz w:val="18"/>
                <w:szCs w:val="18"/>
              </w:rPr>
              <w:t>著作权</w:t>
            </w:r>
          </w:p>
        </w:tc>
        <w:tc>
          <w:tcPr>
            <w:tcW w:w="1063" w:type="dxa"/>
            <w:tcBorders>
              <w:top w:val="single" w:sz="4" w:space="0" w:color="000000"/>
              <w:left w:val="single" w:sz="13" w:space="0" w:color="E0FFFF"/>
              <w:bottom w:val="single" w:sz="4" w:space="0" w:color="000000"/>
              <w:right w:val="single" w:sz="4" w:space="0" w:color="000000"/>
            </w:tcBorders>
            <w:shd w:val="clear" w:color="auto" w:fill="D2D2D2"/>
          </w:tcPr>
          <w:p>
            <w:pPr>
              <w:pStyle w:val="TableParagraph"/>
              <w:spacing w:line="240" w:lineRule="auto" w:before="51"/>
              <w:ind w:right="12"/>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74"/>
                <w:sz w:val="18"/>
                <w:szCs w:val="18"/>
              </w:rPr>
              <w:t>、</w:t>
            </w:r>
            <w:r>
              <w:rPr>
                <w:rFonts w:ascii="宋体" w:hAnsi="宋体" w:cs="宋体" w:eastAsia="宋体" w:hint="default"/>
                <w:sz w:val="18"/>
                <w:szCs w:val="18"/>
              </w:rPr>
              <w:t>账面原值</w:t>
            </w:r>
          </w:p>
        </w:tc>
        <w:tc>
          <w:tcPr>
            <w:tcW w:w="1075" w:type="dxa"/>
            <w:tcBorders>
              <w:top w:val="single" w:sz="4" w:space="0" w:color="000000"/>
              <w:left w:val="single" w:sz="13" w:space="0" w:color="D2D2D2"/>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61"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 余额</w:t>
            </w:r>
          </w:p>
        </w:tc>
        <w:tc>
          <w:tcPr>
            <w:tcW w:w="10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96,538,931.7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6,573,661.34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92,973,063.7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196,085,656.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86</w:t>
            </w:r>
          </w:p>
        </w:tc>
      </w:tr>
      <w:tr>
        <w:trPr>
          <w:trHeight w:val="714" w:hRule="exact"/>
        </w:trPr>
        <w:tc>
          <w:tcPr>
            <w:tcW w:w="1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61"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 增加金额</w:t>
            </w:r>
          </w:p>
        </w:tc>
        <w:tc>
          <w:tcPr>
            <w:tcW w:w="1075" w:type="dxa"/>
            <w:tcBorders>
              <w:top w:val="single" w:sz="4" w:space="0" w:color="000000"/>
              <w:left w:val="single" w:sz="13" w:space="0" w:color="D2D2D2"/>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3,291,051.87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499,275,100.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28,301,886.8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530,868,038.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76</w:t>
            </w:r>
          </w:p>
        </w:tc>
      </w:tr>
      <w:tr>
        <w:trPr>
          <w:trHeight w:val="714" w:hRule="exact"/>
        </w:trPr>
        <w:tc>
          <w:tcPr>
            <w:tcW w:w="1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购置</w:t>
            </w:r>
          </w:p>
        </w:tc>
        <w:tc>
          <w:tcPr>
            <w:tcW w:w="1075" w:type="dxa"/>
            <w:tcBorders>
              <w:top w:val="single" w:sz="4" w:space="0" w:color="000000"/>
              <w:left w:val="single" w:sz="13" w:space="0" w:color="D2D2D2"/>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3,291,051.87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3,291,051.87</w:t>
            </w:r>
          </w:p>
        </w:tc>
      </w:tr>
      <w:tr>
        <w:trPr>
          <w:trHeight w:val="714" w:hRule="exact"/>
        </w:trPr>
        <w:tc>
          <w:tcPr>
            <w:tcW w:w="1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26" w:firstLine="54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 内部研发</w:t>
            </w:r>
          </w:p>
        </w:tc>
        <w:tc>
          <w:tcPr>
            <w:tcW w:w="1075" w:type="dxa"/>
            <w:tcBorders>
              <w:top w:val="single" w:sz="4" w:space="0" w:color="000000"/>
              <w:left w:val="single" w:sz="13" w:space="0" w:color="D2D2D2"/>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6" w:firstLine="54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 企业合并增 加</w:t>
            </w:r>
          </w:p>
        </w:tc>
        <w:tc>
          <w:tcPr>
            <w:tcW w:w="1075" w:type="dxa"/>
            <w:tcBorders>
              <w:top w:val="single" w:sz="4" w:space="0" w:color="000000"/>
              <w:left w:val="single" w:sz="13" w:space="0" w:color="D2D2D2"/>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4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2" w:lineRule="auto" w:before="51"/>
              <w:ind w:left="11" w:right="2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）股东投 入</w:t>
            </w:r>
          </w:p>
        </w:tc>
        <w:tc>
          <w:tcPr>
            <w:tcW w:w="107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28,301,886.8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28,301,886.8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r>
      <w:tr>
        <w:trPr>
          <w:trHeight w:val="714" w:hRule="exact"/>
        </w:trPr>
        <w:tc>
          <w:tcPr>
            <w:tcW w:w="104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2" w:lineRule="auto" w:before="51"/>
              <w:ind w:left="11" w:right="11"/>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BOT</w:t>
            </w:r>
            <w:r>
              <w:rPr>
                <w:rFonts w:ascii="Times New Roman" w:hAnsi="Times New Roman" w:cs="Times New Roman" w:eastAsia="Times New Roman" w:hint="default"/>
                <w:sz w:val="18"/>
                <w:szCs w:val="18"/>
              </w:rPr>
              <w:t> </w:t>
            </w:r>
            <w:r>
              <w:rPr>
                <w:rFonts w:ascii="宋体" w:hAnsi="宋体" w:cs="宋体" w:eastAsia="宋体" w:hint="default"/>
                <w:sz w:val="18"/>
                <w:szCs w:val="18"/>
              </w:rPr>
              <w:t>业 务增加</w:t>
            </w:r>
          </w:p>
        </w:tc>
        <w:tc>
          <w:tcPr>
            <w:tcW w:w="107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499,275,100.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499,275,100.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1063"/>
        <w:gridCol w:w="1062"/>
        <w:gridCol w:w="1063"/>
        <w:gridCol w:w="1063"/>
        <w:gridCol w:w="1064"/>
        <w:gridCol w:w="1063"/>
        <w:gridCol w:w="1063"/>
      </w:tblGrid>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7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3,342,875.70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3,342,875.70</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3,342,875.70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3,342,875.70</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7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 余额</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93,196,056.0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9,864,713.21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92,973,063.7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499,275,100.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28,301,886.8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723,610,819.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92</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pacing w:val="-74"/>
                <w:sz w:val="18"/>
                <w:szCs w:val="18"/>
              </w:rPr>
              <w:t>、</w:t>
            </w:r>
            <w:r>
              <w:rPr>
                <w:rFonts w:ascii="宋体" w:hAnsi="宋体" w:cs="宋体" w:eastAsia="宋体" w:hint="default"/>
                <w:sz w:val="18"/>
                <w:szCs w:val="18"/>
              </w:rPr>
              <w:t>累计摊销</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7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 余额</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17,500,508.1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3,495,104.51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46,240,259.4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67,235,872.1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7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 增加金额</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1,918,740.27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866,719.30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4,243,216.22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38,273,707.6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3,537,735.84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48,840,119.3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1,918,740.27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866,719.30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4,243,216.22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38,273,707.6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3,537,735.84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48,840,119.3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7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 减少金额</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924,862.36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924,862.36</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924,862.36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924,862.36</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7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 余额</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18,494,386.0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4,361,823.81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50,483,475.7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38,273,707.6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3,537,735.84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115,151,129.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08</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74"/>
                <w:sz w:val="18"/>
                <w:szCs w:val="18"/>
              </w:rPr>
              <w:t>、</w:t>
            </w:r>
            <w:r>
              <w:rPr>
                <w:rFonts w:ascii="宋体" w:hAnsi="宋体" w:cs="宋体" w:eastAsia="宋体" w:hint="default"/>
                <w:sz w:val="18"/>
                <w:szCs w:val="18"/>
              </w:rPr>
              <w:t>减值准备</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7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 余额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25,902,820.0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25,902,820.0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7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 增加金额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7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 减少金额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7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 余额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25,902,820.0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25,902,820.0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z w:val="18"/>
                <w:szCs w:val="18"/>
              </w:rPr>
              <w:t>四</w:t>
            </w:r>
            <w:r>
              <w:rPr>
                <w:rFonts w:ascii="宋体" w:hAnsi="宋体" w:cs="宋体" w:eastAsia="宋体" w:hint="default"/>
                <w:spacing w:val="-74"/>
                <w:sz w:val="18"/>
                <w:szCs w:val="18"/>
              </w:rPr>
              <w:t>、</w:t>
            </w: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1063"/>
        <w:gridCol w:w="1062"/>
        <w:gridCol w:w="1063"/>
        <w:gridCol w:w="1063"/>
        <w:gridCol w:w="1064"/>
        <w:gridCol w:w="1063"/>
        <w:gridCol w:w="1063"/>
      </w:tblGrid>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7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 账面价值</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74,701,670.0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5,502,889.40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16,586,768.0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461,001,392.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24,764,151.0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582,556,870.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84</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7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 账面价值</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79,038,423.6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3,078,556.83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20,829,984.2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102,946,964.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73</w:t>
            </w:r>
          </w:p>
        </w:tc>
      </w:tr>
    </w:tbl>
    <w:p>
      <w:pPr>
        <w:pStyle w:val="BodyText"/>
        <w:spacing w:line="240" w:lineRule="auto" w:before="51"/>
        <w:ind w:right="0"/>
        <w:jc w:val="left"/>
      </w:pPr>
      <w:r>
        <w:rPr/>
        <w:t>本期末通过公司内部研发形成的无形资产占无形资产余额的比例。</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未办妥产权证书的土地使用权情况" w:id="270"/>
      <w:bookmarkEnd w:id="270"/>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7524"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14、商誉" w:id="271"/>
      <w:bookmarkEnd w:id="271"/>
      <w:r>
        <w:rPr>
          <w:b w:val="0"/>
          <w:bCs w:val="0"/>
        </w:rPr>
      </w:r>
      <w:r>
        <w:rPr>
          <w:rFonts w:ascii="Times New Roman" w:hAnsi="Times New Roman" w:cs="Times New Roman" w:eastAsia="Times New Roman" w:hint="default"/>
        </w:rPr>
        <w:t>14</w:t>
      </w:r>
      <w:r>
        <w:rPr/>
        <w:t>、商誉</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商誉账面原值" w:id="272"/>
      <w:bookmarkEnd w:id="272"/>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7524"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1025"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8"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3"/>
              <w:ind w:left="22" w:right="61"/>
              <w:jc w:val="left"/>
              <w:rPr>
                <w:rFonts w:ascii="宋体" w:hAnsi="宋体" w:cs="宋体" w:eastAsia="宋体" w:hint="default"/>
                <w:sz w:val="18"/>
                <w:szCs w:val="18"/>
              </w:rPr>
            </w:pPr>
            <w:r>
              <w:rPr>
                <w:rFonts w:ascii="宋体" w:hAnsi="宋体" w:cs="宋体" w:eastAsia="宋体" w:hint="default"/>
                <w:sz w:val="18"/>
                <w:szCs w:val="18"/>
              </w:rPr>
              <w:t>天津市泰达工程 设计有限公司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78,884,309.82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78,884,309.82</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北京中电兴发科 技有限公司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1,219,495,624.54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1,219,495,624.54</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苏州开关二厂有 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167,044,277.43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167,044,277.43</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苏州天平安装工 程有限公司</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59,523,284.91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59,523,284.91</w:t>
            </w: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1,465,424,211.79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59,523,284.91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1,524,947,496.70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商誉减值准备" w:id="273"/>
      <w:bookmarkEnd w:id="273"/>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7524"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天津市泰达工程 设计有限公司</w:t>
            </w:r>
          </w:p>
        </w:tc>
        <w:tc>
          <w:tcPr>
            <w:tcW w:w="1367"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北京中电兴发科 技有限公司</w:t>
            </w:r>
          </w:p>
        </w:tc>
        <w:tc>
          <w:tcPr>
            <w:tcW w:w="1367"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苏州开关二厂有 限公司</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苏州天平安装工 程有限公司</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商誉所在资产组或资产组组合的相关信息</w:t>
      </w:r>
    </w:p>
    <w:p>
      <w:pPr>
        <w:pStyle w:val="BodyText"/>
        <w:spacing w:line="240" w:lineRule="auto" w:before="116"/>
        <w:ind w:left="514" w:right="0"/>
        <w:jc w:val="left"/>
      </w:pPr>
      <w:r>
        <w:rPr/>
        <w:t>截至 </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w:t>
      </w:r>
      <w:r>
        <w:rPr>
          <w:rFonts w:ascii="Times New Roman" w:hAnsi="Times New Roman" w:cs="Times New Roman" w:eastAsia="Times New Roman" w:hint="default"/>
          <w:spacing w:val="-20"/>
        </w:rPr>
        <w:t> </w:t>
      </w:r>
      <w:r>
        <w:rPr/>
        <w:t>日，资产组构成如下：</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2376"/>
        <w:gridCol w:w="2127"/>
        <w:gridCol w:w="1700"/>
        <w:gridCol w:w="1702"/>
        <w:gridCol w:w="1417"/>
      </w:tblGrid>
      <w:tr>
        <w:trPr>
          <w:trHeight w:val="667" w:hRule="exact"/>
        </w:trPr>
        <w:tc>
          <w:tcPr>
            <w:tcW w:w="23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公司</w:t>
            </w:r>
          </w:p>
        </w:tc>
        <w:tc>
          <w:tcPr>
            <w:tcW w:w="21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604" w:right="0"/>
              <w:jc w:val="left"/>
              <w:rPr>
                <w:rFonts w:ascii="宋体" w:hAnsi="宋体" w:cs="宋体" w:eastAsia="宋体" w:hint="default"/>
                <w:sz w:val="18"/>
                <w:szCs w:val="18"/>
              </w:rPr>
            </w:pPr>
            <w:r>
              <w:rPr>
                <w:rFonts w:ascii="宋体" w:hAnsi="宋体" w:cs="宋体" w:eastAsia="宋体" w:hint="default"/>
                <w:sz w:val="18"/>
                <w:szCs w:val="18"/>
              </w:rPr>
              <w:t>资产组构成</w:t>
            </w:r>
          </w:p>
        </w:tc>
        <w:tc>
          <w:tcPr>
            <w:tcW w:w="17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482" w:right="0"/>
              <w:jc w:val="left"/>
              <w:rPr>
                <w:rFonts w:ascii="宋体" w:hAnsi="宋体" w:cs="宋体" w:eastAsia="宋体" w:hint="default"/>
                <w:sz w:val="18"/>
                <w:szCs w:val="18"/>
              </w:rPr>
            </w:pPr>
            <w:r>
              <w:rPr>
                <w:rFonts w:ascii="宋体" w:hAnsi="宋体" w:cs="宋体" w:eastAsia="宋体" w:hint="default"/>
                <w:sz w:val="18"/>
                <w:szCs w:val="18"/>
              </w:rPr>
              <w:t>整体商誉</w:t>
            </w: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21"/>
              <w:ind w:left="572" w:right="33" w:hanging="540"/>
              <w:jc w:val="left"/>
              <w:rPr>
                <w:rFonts w:ascii="宋体" w:hAnsi="宋体" w:cs="宋体" w:eastAsia="宋体" w:hint="default"/>
                <w:sz w:val="18"/>
                <w:szCs w:val="18"/>
              </w:rPr>
            </w:pPr>
            <w:r>
              <w:rPr>
                <w:rFonts w:ascii="宋体" w:hAnsi="宋体" w:cs="宋体" w:eastAsia="宋体" w:hint="default"/>
                <w:sz w:val="18"/>
                <w:szCs w:val="18"/>
              </w:rPr>
              <w:t>包含商誉的资产组账 面价值</w:t>
            </w:r>
          </w:p>
        </w:tc>
        <w:tc>
          <w:tcPr>
            <w:tcW w:w="1417" w:type="dxa"/>
            <w:tcBorders>
              <w:top w:val="single" w:sz="6" w:space="0" w:color="000000"/>
              <w:left w:val="single" w:sz="6" w:space="0" w:color="000000"/>
              <w:bottom w:val="single" w:sz="12" w:space="0" w:color="000000"/>
              <w:right w:val="nil" w:sz="6" w:space="0" w:color="auto"/>
            </w:tcBorders>
          </w:tcPr>
          <w:p>
            <w:pPr>
              <w:pStyle w:val="TableParagraph"/>
              <w:spacing w:line="316" w:lineRule="auto" w:before="21"/>
              <w:ind w:left="340" w:right="77" w:hanging="270"/>
              <w:jc w:val="left"/>
              <w:rPr>
                <w:rFonts w:ascii="宋体" w:hAnsi="宋体" w:cs="宋体" w:eastAsia="宋体" w:hint="default"/>
                <w:sz w:val="18"/>
                <w:szCs w:val="18"/>
              </w:rPr>
            </w:pPr>
            <w:r>
              <w:rPr>
                <w:rFonts w:ascii="宋体" w:hAnsi="宋体" w:cs="宋体" w:eastAsia="宋体" w:hint="default"/>
                <w:sz w:val="18"/>
                <w:szCs w:val="18"/>
              </w:rPr>
              <w:t>资产组是否与购 买日一致</w:t>
            </w:r>
          </w:p>
        </w:tc>
      </w:tr>
      <w:tr>
        <w:trPr>
          <w:trHeight w:val="664" w:hRule="exact"/>
        </w:trPr>
        <w:tc>
          <w:tcPr>
            <w:tcW w:w="23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北京中电兴发科技有限公司</w:t>
            </w:r>
          </w:p>
        </w:tc>
        <w:tc>
          <w:tcPr>
            <w:tcW w:w="2127"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334" w:right="65" w:hanging="270"/>
              <w:jc w:val="left"/>
              <w:rPr>
                <w:rFonts w:ascii="宋体" w:hAnsi="宋体" w:cs="宋体" w:eastAsia="宋体" w:hint="default"/>
                <w:sz w:val="18"/>
                <w:szCs w:val="18"/>
              </w:rPr>
            </w:pPr>
            <w:r>
              <w:rPr>
                <w:rFonts w:ascii="宋体" w:hAnsi="宋体" w:cs="宋体" w:eastAsia="宋体" w:hint="default"/>
                <w:sz w:val="18"/>
                <w:szCs w:val="18"/>
              </w:rPr>
              <w:t>与购并日经营业务相关的 资产、负债与商誉</w:t>
            </w:r>
          </w:p>
        </w:tc>
        <w:tc>
          <w:tcPr>
            <w:tcW w:w="17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1,219,495,624.54</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pacing w:val="-1"/>
                <w:sz w:val="18"/>
              </w:rPr>
              <w:t>2,401,667,384.00</w:t>
            </w:r>
          </w:p>
        </w:tc>
        <w:tc>
          <w:tcPr>
            <w:tcW w:w="14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一致</w:t>
            </w:r>
          </w:p>
        </w:tc>
      </w:tr>
      <w:tr>
        <w:trPr>
          <w:trHeight w:val="665" w:hRule="exact"/>
        </w:trPr>
        <w:tc>
          <w:tcPr>
            <w:tcW w:w="23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天津市泰达工程设计有限公司</w:t>
            </w:r>
          </w:p>
        </w:tc>
        <w:tc>
          <w:tcPr>
            <w:tcW w:w="2127"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334" w:right="65" w:hanging="270"/>
              <w:jc w:val="left"/>
              <w:rPr>
                <w:rFonts w:ascii="宋体" w:hAnsi="宋体" w:cs="宋体" w:eastAsia="宋体" w:hint="default"/>
                <w:sz w:val="18"/>
                <w:szCs w:val="18"/>
              </w:rPr>
            </w:pPr>
            <w:r>
              <w:rPr>
                <w:rFonts w:ascii="宋体" w:hAnsi="宋体" w:cs="宋体" w:eastAsia="宋体" w:hint="default"/>
                <w:sz w:val="18"/>
                <w:szCs w:val="18"/>
              </w:rPr>
              <w:t>与购并日经营业务相关的 资产、负债与商誉</w:t>
            </w:r>
          </w:p>
        </w:tc>
        <w:tc>
          <w:tcPr>
            <w:tcW w:w="17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119,998,037.39</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233,381,048.80</w:t>
            </w:r>
          </w:p>
        </w:tc>
        <w:tc>
          <w:tcPr>
            <w:tcW w:w="14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一致</w:t>
            </w:r>
          </w:p>
        </w:tc>
      </w:tr>
      <w:tr>
        <w:trPr>
          <w:trHeight w:val="664" w:hRule="exact"/>
        </w:trPr>
        <w:tc>
          <w:tcPr>
            <w:tcW w:w="23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苏州开关二厂有限公司</w:t>
            </w:r>
          </w:p>
        </w:tc>
        <w:tc>
          <w:tcPr>
            <w:tcW w:w="2127"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334" w:right="65" w:hanging="270"/>
              <w:jc w:val="left"/>
              <w:rPr>
                <w:rFonts w:ascii="宋体" w:hAnsi="宋体" w:cs="宋体" w:eastAsia="宋体" w:hint="default"/>
                <w:sz w:val="18"/>
                <w:szCs w:val="18"/>
              </w:rPr>
            </w:pPr>
            <w:r>
              <w:rPr>
                <w:rFonts w:ascii="宋体" w:hAnsi="宋体" w:cs="宋体" w:eastAsia="宋体" w:hint="default"/>
                <w:sz w:val="18"/>
                <w:szCs w:val="18"/>
              </w:rPr>
              <w:t>与购并日经营业务相关的 资产、负债与商誉</w:t>
            </w:r>
          </w:p>
        </w:tc>
        <w:tc>
          <w:tcPr>
            <w:tcW w:w="17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298,331,086.52</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480,937,640.06</w:t>
            </w:r>
          </w:p>
        </w:tc>
        <w:tc>
          <w:tcPr>
            <w:tcW w:w="14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不一致</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p>
        </w:tc>
      </w:tr>
    </w:tbl>
    <w:p>
      <w:pPr>
        <w:spacing w:line="240" w:lineRule="auto" w:before="10"/>
        <w:rPr>
          <w:rFonts w:ascii="宋体" w:hAnsi="宋体" w:cs="宋体" w:eastAsia="宋体" w:hint="default"/>
          <w:sz w:val="15"/>
          <w:szCs w:val="15"/>
        </w:rPr>
      </w:pPr>
    </w:p>
    <w:p>
      <w:pPr>
        <w:pStyle w:val="BodyText"/>
        <w:spacing w:line="309" w:lineRule="auto"/>
        <w:ind w:right="1129" w:firstLine="360"/>
        <w:jc w:val="both"/>
      </w:pPr>
      <w:r>
        <w:rPr/>
        <w:t>注：苏州开关二厂有限公司（以下简称</w:t>
      </w:r>
      <w:r>
        <w:rPr>
          <w:rFonts w:ascii="Times New Roman" w:hAnsi="Times New Roman" w:cs="Times New Roman" w:eastAsia="Times New Roman" w:hint="default"/>
        </w:rPr>
        <w:t>“</w:t>
      </w:r>
      <w:r>
        <w:rPr/>
        <w:t>苏二开</w:t>
      </w:r>
      <w:r>
        <w:rPr>
          <w:rFonts w:ascii="Times New Roman" w:hAnsi="Times New Roman" w:cs="Times New Roman" w:eastAsia="Times New Roman" w:hint="default"/>
        </w:rPr>
        <w:t>”</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月收购了具有相关资质的苏州天平安装工程有限公司（以下 </w:t>
      </w:r>
      <w:r>
        <w:rPr>
          <w:spacing w:val="-2"/>
        </w:rPr>
        <w:t>简称</w:t>
      </w:r>
      <w:r>
        <w:rPr>
          <w:rFonts w:ascii="Times New Roman" w:hAnsi="Times New Roman" w:cs="Times New Roman" w:eastAsia="Times New Roman" w:hint="default"/>
          <w:spacing w:val="-2"/>
        </w:rPr>
        <w:t>“</w:t>
      </w:r>
      <w:r>
        <w:rPr>
          <w:spacing w:val="-2"/>
        </w:rPr>
        <w:t>天平安装</w:t>
      </w:r>
      <w:r>
        <w:rPr>
          <w:rFonts w:ascii="Times New Roman" w:hAnsi="Times New Roman" w:cs="Times New Roman" w:eastAsia="Times New Roman" w:hint="default"/>
          <w:spacing w:val="-2"/>
        </w:rPr>
        <w:t>”</w:t>
      </w:r>
      <w:r>
        <w:rPr>
          <w:spacing w:val="-2"/>
        </w:rPr>
        <w:t>）后，苏二开主要以天平安装名义投标，中标后主要设备仍然由苏二开生产，原苏二开相关的设备安装人员</w:t>
      </w:r>
      <w:r>
        <w:rPr>
          <w:spacing w:val="-44"/>
        </w:rPr>
        <w:t> </w:t>
      </w:r>
      <w:r>
        <w:rPr>
          <w:spacing w:val="-44"/>
        </w:rPr>
      </w:r>
      <w:r>
        <w:rPr>
          <w:spacing w:val="-2"/>
        </w:rPr>
        <w:t>整体进入到天平安装，由天平安装承担安装服务。天平安装承担了原苏二开供电成套设备安装服务的业务，双方产生了协同</w:t>
      </w:r>
      <w:r>
        <w:rPr>
          <w:spacing w:val="-66"/>
        </w:rPr>
        <w:t> </w:t>
      </w:r>
      <w:r>
        <w:rPr>
          <w:spacing w:val="-66"/>
        </w:rPr>
      </w:r>
      <w:r>
        <w:rPr>
          <w:spacing w:val="-2"/>
        </w:rPr>
        <w:t>效应，但在购买日公司无法将商誉分摊至从企业合并的协同效应中受益的相关资产组或资产组组合，因此公司将苏二开和天</w:t>
      </w:r>
      <w:r>
        <w:rPr>
          <w:spacing w:val="-64"/>
        </w:rPr>
        <w:t> </w:t>
      </w:r>
      <w:r>
        <w:rPr>
          <w:spacing w:val="-64"/>
        </w:rPr>
      </w:r>
      <w:r>
        <w:rPr/>
        <w:t>平安装作为与整理商誉相关的具有协同效应的资产组组合进行减值测试。</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pStyle w:val="BodyText"/>
        <w:spacing w:line="316" w:lineRule="auto" w:before="0"/>
        <w:ind w:right="0"/>
        <w:jc w:val="left"/>
      </w:pPr>
      <w:r>
        <w:rPr>
          <w:spacing w:val="-2"/>
        </w:rPr>
        <w:t>说明商誉减值测试过程、关键参数（如预计未来现金流量现值时的预测期增长率、稳定期增长率、利润率、折现率、预测期</w:t>
      </w:r>
      <w:r>
        <w:rPr>
          <w:spacing w:val="-67"/>
        </w:rPr>
        <w:t> </w:t>
      </w:r>
      <w:r>
        <w:rPr>
          <w:spacing w:val="-67"/>
        </w:rPr>
      </w:r>
      <w:r>
        <w:rPr/>
        <w:t>等）及商誉减值损失的确认方法：</w:t>
      </w:r>
    </w:p>
    <w:p>
      <w:pPr>
        <w:pStyle w:val="BodyText"/>
        <w:spacing w:line="240" w:lineRule="auto" w:before="58"/>
        <w:ind w:left="514" w:right="0"/>
        <w:jc w:val="left"/>
      </w:pPr>
      <w:r>
        <w:rPr/>
        <w:t>公司按照资产组的预计未来现金流量及折现率计算现值确定可收回金额进行商誉减值测算：</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2944"/>
        <w:gridCol w:w="1985"/>
        <w:gridCol w:w="1842"/>
        <w:gridCol w:w="1701"/>
      </w:tblGrid>
      <w:tr>
        <w:trPr>
          <w:trHeight w:val="667" w:hRule="exact"/>
        </w:trPr>
        <w:tc>
          <w:tcPr>
            <w:tcW w:w="29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85"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21"/>
              <w:ind w:left="805" w:right="83" w:hanging="721"/>
              <w:jc w:val="left"/>
              <w:rPr>
                <w:rFonts w:ascii="宋体" w:hAnsi="宋体" w:cs="宋体" w:eastAsia="宋体" w:hint="default"/>
                <w:sz w:val="18"/>
                <w:szCs w:val="18"/>
              </w:rPr>
            </w:pPr>
            <w:r>
              <w:rPr>
                <w:rFonts w:ascii="宋体" w:hAnsi="宋体" w:cs="宋体" w:eastAsia="宋体" w:hint="default"/>
                <w:sz w:val="18"/>
                <w:szCs w:val="18"/>
              </w:rPr>
              <w:t>北京中电兴发科技有限 公司</w:t>
            </w:r>
          </w:p>
        </w:tc>
        <w:tc>
          <w:tcPr>
            <w:tcW w:w="1842"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21"/>
              <w:ind w:left="643" w:right="12" w:hanging="630"/>
              <w:jc w:val="left"/>
              <w:rPr>
                <w:rFonts w:ascii="宋体" w:hAnsi="宋体" w:cs="宋体" w:eastAsia="宋体" w:hint="default"/>
                <w:sz w:val="18"/>
                <w:szCs w:val="18"/>
              </w:rPr>
            </w:pPr>
            <w:r>
              <w:rPr>
                <w:rFonts w:ascii="宋体" w:hAnsi="宋体" w:cs="宋体" w:eastAsia="宋体" w:hint="default"/>
                <w:sz w:val="18"/>
                <w:szCs w:val="18"/>
              </w:rPr>
              <w:t>天津市泰达工程设计有 限公司</w:t>
            </w:r>
          </w:p>
        </w:tc>
        <w:tc>
          <w:tcPr>
            <w:tcW w:w="1701" w:type="dxa"/>
            <w:tcBorders>
              <w:top w:val="single" w:sz="6" w:space="0" w:color="000000"/>
              <w:left w:val="single" w:sz="6" w:space="0" w:color="000000"/>
              <w:bottom w:val="single" w:sz="12" w:space="0" w:color="000000"/>
              <w:right w:val="nil" w:sz="6" w:space="0" w:color="auto"/>
            </w:tcBorders>
          </w:tcPr>
          <w:p>
            <w:pPr>
              <w:pStyle w:val="TableParagraph"/>
              <w:spacing w:line="316" w:lineRule="auto" w:before="21"/>
              <w:ind w:left="752" w:right="39" w:hanging="721"/>
              <w:jc w:val="left"/>
              <w:rPr>
                <w:rFonts w:ascii="宋体" w:hAnsi="宋体" w:cs="宋体" w:eastAsia="宋体" w:hint="default"/>
                <w:sz w:val="18"/>
                <w:szCs w:val="18"/>
              </w:rPr>
            </w:pPr>
            <w:r>
              <w:rPr>
                <w:rFonts w:ascii="宋体" w:hAnsi="宋体" w:cs="宋体" w:eastAsia="宋体" w:hint="default"/>
                <w:sz w:val="18"/>
                <w:szCs w:val="18"/>
              </w:rPr>
              <w:t>苏州开关二厂有限公 司</w:t>
            </w:r>
          </w:p>
        </w:tc>
      </w:tr>
      <w:tr>
        <w:trPr>
          <w:trHeight w:val="352" w:hRule="exact"/>
        </w:trPr>
        <w:tc>
          <w:tcPr>
            <w:tcW w:w="29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商誉①</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1,219,495,624.54</w:t>
            </w:r>
          </w:p>
        </w:tc>
        <w:tc>
          <w:tcPr>
            <w:tcW w:w="18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78,884,309.82</w:t>
            </w:r>
          </w:p>
        </w:tc>
        <w:tc>
          <w:tcPr>
            <w:tcW w:w="170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226,567,562.34</w:t>
            </w:r>
          </w:p>
        </w:tc>
      </w:tr>
      <w:tr>
        <w:trPr>
          <w:trHeight w:val="353" w:hRule="exact"/>
        </w:trPr>
        <w:tc>
          <w:tcPr>
            <w:tcW w:w="29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归属于少数股东权益的商誉②</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41,113,727.57</w:t>
            </w:r>
          </w:p>
        </w:tc>
        <w:tc>
          <w:tcPr>
            <w:tcW w:w="170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71,763,524.18</w:t>
            </w:r>
          </w:p>
        </w:tc>
      </w:tr>
      <w:tr>
        <w:trPr>
          <w:trHeight w:val="352" w:hRule="exact"/>
        </w:trPr>
        <w:tc>
          <w:tcPr>
            <w:tcW w:w="29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整体商誉③＝①</w:t>
            </w:r>
            <w:r>
              <w:rPr>
                <w:rFonts w:ascii="Times New Roman" w:hAnsi="Times New Roman" w:cs="Times New Roman" w:eastAsia="Times New Roman" w:hint="default"/>
                <w:sz w:val="18"/>
                <w:szCs w:val="18"/>
              </w:rPr>
              <w:t>+</w:t>
            </w:r>
            <w:r>
              <w:rPr>
                <w:rFonts w:ascii="宋体" w:hAnsi="宋体" w:cs="宋体" w:eastAsia="宋体" w:hint="default"/>
                <w:sz w:val="18"/>
                <w:szCs w:val="18"/>
              </w:rPr>
              <w:t>②</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1,219,495,624.54</w:t>
            </w:r>
          </w:p>
        </w:tc>
        <w:tc>
          <w:tcPr>
            <w:tcW w:w="18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119,998,037.39</w:t>
            </w:r>
          </w:p>
        </w:tc>
        <w:tc>
          <w:tcPr>
            <w:tcW w:w="170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298,331,086.52</w:t>
            </w:r>
          </w:p>
        </w:tc>
      </w:tr>
      <w:tr>
        <w:trPr>
          <w:trHeight w:val="352" w:hRule="exact"/>
        </w:trPr>
        <w:tc>
          <w:tcPr>
            <w:tcW w:w="29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资产组账面价值④</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1,182,171,759.46</w:t>
            </w:r>
          </w:p>
        </w:tc>
        <w:tc>
          <w:tcPr>
            <w:tcW w:w="18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113,383,011.41</w:t>
            </w:r>
          </w:p>
        </w:tc>
        <w:tc>
          <w:tcPr>
            <w:tcW w:w="170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182,606,553.54</w:t>
            </w:r>
          </w:p>
        </w:tc>
      </w:tr>
      <w:tr>
        <w:trPr>
          <w:trHeight w:val="665" w:hRule="exact"/>
        </w:trPr>
        <w:tc>
          <w:tcPr>
            <w:tcW w:w="29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包含整体商誉的资产组账面价值⑤</w:t>
            </w:r>
            <w:r>
              <w:rPr>
                <w:rFonts w:ascii="Times New Roman" w:hAnsi="Times New Roman" w:cs="Times New Roman" w:eastAsia="Times New Roman" w:hint="default"/>
                <w:sz w:val="18"/>
                <w:szCs w:val="18"/>
              </w:rPr>
              <w:t>=</w:t>
            </w:r>
          </w:p>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④</w:t>
            </w:r>
            <w:r>
              <w:rPr>
                <w:rFonts w:ascii="Times New Roman" w:hAnsi="Times New Roman" w:cs="Times New Roman" w:eastAsia="Times New Roman" w:hint="default"/>
                <w:sz w:val="18"/>
                <w:szCs w:val="18"/>
              </w:rPr>
              <w:t>+</w:t>
            </w:r>
            <w:r>
              <w:rPr>
                <w:rFonts w:ascii="宋体" w:hAnsi="宋体" w:cs="宋体" w:eastAsia="宋体" w:hint="default"/>
                <w:sz w:val="18"/>
                <w:szCs w:val="18"/>
              </w:rPr>
              <w:t>③</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2,401,667,384.00</w:t>
            </w:r>
          </w:p>
        </w:tc>
        <w:tc>
          <w:tcPr>
            <w:tcW w:w="18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233,381,048.80</w:t>
            </w:r>
          </w:p>
        </w:tc>
        <w:tc>
          <w:tcPr>
            <w:tcW w:w="170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480,937,640.06</w:t>
            </w:r>
          </w:p>
        </w:tc>
      </w:tr>
      <w:tr>
        <w:trPr>
          <w:trHeight w:val="352" w:hRule="exact"/>
        </w:trPr>
        <w:tc>
          <w:tcPr>
            <w:tcW w:w="29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预计未来现金流量的现值⑥</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2,550,554,200.00</w:t>
            </w:r>
          </w:p>
        </w:tc>
        <w:tc>
          <w:tcPr>
            <w:tcW w:w="18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297,057,200.00</w:t>
            </w:r>
          </w:p>
        </w:tc>
        <w:tc>
          <w:tcPr>
            <w:tcW w:w="170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517,250,000.00</w:t>
            </w:r>
          </w:p>
        </w:tc>
      </w:tr>
      <w:tr>
        <w:trPr>
          <w:trHeight w:val="664" w:hRule="exact"/>
        </w:trPr>
        <w:tc>
          <w:tcPr>
            <w:tcW w:w="29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整体商誉减值损失（⑤大于⑥时）⑦</w:t>
            </w:r>
            <w:r>
              <w:rPr>
                <w:rFonts w:ascii="Times New Roman" w:hAnsi="Times New Roman" w:cs="Times New Roman" w:eastAsia="Times New Roman" w:hint="default"/>
                <w:spacing w:val="-4"/>
                <w:sz w:val="18"/>
                <w:szCs w:val="18"/>
              </w:rPr>
              <w:t>=</w:t>
            </w:r>
          </w:p>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⑤</w:t>
            </w:r>
            <w:r>
              <w:rPr>
                <w:rFonts w:ascii="Times New Roman" w:hAnsi="Times New Roman" w:cs="Times New Roman" w:eastAsia="Times New Roman" w:hint="default"/>
                <w:sz w:val="18"/>
                <w:szCs w:val="18"/>
              </w:rPr>
              <w:t>-</w:t>
            </w:r>
            <w:r>
              <w:rPr>
                <w:rFonts w:ascii="宋体" w:hAnsi="宋体" w:cs="宋体" w:eastAsia="宋体" w:hint="default"/>
                <w:sz w:val="18"/>
                <w:szCs w:val="18"/>
              </w:rPr>
              <w:t>⑥</w:t>
            </w:r>
          </w:p>
        </w:tc>
        <w:tc>
          <w:tcPr>
            <w:tcW w:w="1985" w:type="dxa"/>
            <w:tcBorders>
              <w:top w:val="single" w:sz="12" w:space="0" w:color="000000"/>
              <w:left w:val="single" w:sz="6" w:space="0" w:color="000000"/>
              <w:bottom w:val="single" w:sz="12" w:space="0" w:color="000000"/>
              <w:right w:val="single" w:sz="6" w:space="0" w:color="000000"/>
            </w:tcBorders>
          </w:tcPr>
          <w:p>
            <w:pPr/>
          </w:p>
        </w:tc>
        <w:tc>
          <w:tcPr>
            <w:tcW w:w="1842" w:type="dxa"/>
            <w:tcBorders>
              <w:top w:val="single" w:sz="12" w:space="0" w:color="000000"/>
              <w:left w:val="single" w:sz="6" w:space="0" w:color="000000"/>
              <w:bottom w:val="single" w:sz="12" w:space="0" w:color="000000"/>
              <w:right w:val="single" w:sz="6" w:space="0" w:color="000000"/>
            </w:tcBorders>
          </w:tcPr>
          <w:p>
            <w:pPr/>
          </w:p>
        </w:tc>
        <w:tc>
          <w:tcPr>
            <w:tcW w:w="1701"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29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母公司持股比例⑧</w:t>
            </w:r>
          </w:p>
        </w:tc>
        <w:tc>
          <w:tcPr>
            <w:tcW w:w="1985" w:type="dxa"/>
            <w:tcBorders>
              <w:top w:val="single" w:sz="12" w:space="0" w:color="000000"/>
              <w:left w:val="single" w:sz="6" w:space="0" w:color="000000"/>
              <w:bottom w:val="single" w:sz="12" w:space="0" w:color="000000"/>
              <w:right w:val="single" w:sz="6" w:space="0" w:color="000000"/>
            </w:tcBorders>
          </w:tcPr>
          <w:p>
            <w:pPr/>
          </w:p>
        </w:tc>
        <w:tc>
          <w:tcPr>
            <w:tcW w:w="1842" w:type="dxa"/>
            <w:tcBorders>
              <w:top w:val="single" w:sz="12" w:space="0" w:color="000000"/>
              <w:left w:val="single" w:sz="6" w:space="0" w:color="000000"/>
              <w:bottom w:val="single" w:sz="12" w:space="0" w:color="000000"/>
              <w:right w:val="single" w:sz="6" w:space="0" w:color="000000"/>
            </w:tcBorders>
          </w:tcPr>
          <w:p>
            <w:pPr/>
          </w:p>
        </w:tc>
        <w:tc>
          <w:tcPr>
            <w:tcW w:w="1701" w:type="dxa"/>
            <w:tcBorders>
              <w:top w:val="single" w:sz="12" w:space="0" w:color="000000"/>
              <w:left w:val="single" w:sz="6" w:space="0" w:color="000000"/>
              <w:bottom w:val="single" w:sz="12" w:space="0" w:color="000000"/>
              <w:right w:val="nil" w:sz="6" w:space="0" w:color="auto"/>
            </w:tcBorders>
          </w:tcPr>
          <w:p>
            <w:pPr/>
          </w:p>
        </w:tc>
      </w:tr>
      <w:tr>
        <w:trPr>
          <w:trHeight w:val="664" w:hRule="exact"/>
        </w:trPr>
        <w:tc>
          <w:tcPr>
            <w:tcW w:w="29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归属于母公司的商誉减值损失⑨</w:t>
            </w:r>
            <w:r>
              <w:rPr>
                <w:rFonts w:ascii="Times New Roman" w:hAnsi="Times New Roman" w:cs="Times New Roman" w:eastAsia="Times New Roman" w:hint="default"/>
                <w:sz w:val="18"/>
                <w:szCs w:val="18"/>
              </w:rPr>
              <w:t>=</w:t>
            </w:r>
            <w:r>
              <w:rPr>
                <w:rFonts w:ascii="宋体" w:hAnsi="宋体" w:cs="宋体" w:eastAsia="宋体" w:hint="default"/>
                <w:sz w:val="18"/>
                <w:szCs w:val="18"/>
              </w:rPr>
              <w:t>⑦</w:t>
            </w:r>
            <w:r>
              <w:rPr>
                <w:rFonts w:ascii="Times New Roman" w:hAnsi="Times New Roman" w:cs="Times New Roman" w:eastAsia="Times New Roman" w:hint="default"/>
                <w:sz w:val="18"/>
                <w:szCs w:val="18"/>
              </w:rPr>
              <w:t>*</w:t>
            </w:r>
          </w:p>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⑧</w:t>
            </w:r>
          </w:p>
        </w:tc>
        <w:tc>
          <w:tcPr>
            <w:tcW w:w="1985" w:type="dxa"/>
            <w:tcBorders>
              <w:top w:val="single" w:sz="12" w:space="0" w:color="000000"/>
              <w:left w:val="single" w:sz="6" w:space="0" w:color="000000"/>
              <w:bottom w:val="single" w:sz="12" w:space="0" w:color="000000"/>
              <w:right w:val="single" w:sz="6" w:space="0" w:color="000000"/>
            </w:tcBorders>
          </w:tcPr>
          <w:p>
            <w:pPr/>
          </w:p>
        </w:tc>
        <w:tc>
          <w:tcPr>
            <w:tcW w:w="1842" w:type="dxa"/>
            <w:tcBorders>
              <w:top w:val="single" w:sz="12" w:space="0" w:color="000000"/>
              <w:left w:val="single" w:sz="6" w:space="0" w:color="000000"/>
              <w:bottom w:val="single" w:sz="12" w:space="0" w:color="000000"/>
              <w:right w:val="single" w:sz="6" w:space="0" w:color="000000"/>
            </w:tcBorders>
          </w:tcPr>
          <w:p>
            <w:pPr/>
          </w:p>
        </w:tc>
        <w:tc>
          <w:tcPr>
            <w:tcW w:w="1701"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8"/>
        <w:rPr>
          <w:rFonts w:ascii="宋体" w:hAnsi="宋体" w:cs="宋体" w:eastAsia="宋体" w:hint="default"/>
          <w:sz w:val="6"/>
          <w:szCs w:val="6"/>
        </w:rPr>
      </w:pPr>
    </w:p>
    <w:p>
      <w:pPr>
        <w:pStyle w:val="BodyText"/>
        <w:spacing w:line="240" w:lineRule="auto"/>
        <w:ind w:left="514" w:right="0"/>
        <w:jc w:val="left"/>
      </w:pPr>
      <w:r>
        <w:rPr/>
        <w:t>北京中电兴发科技有限公司预计未来现金流量的主要参数：</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2376"/>
        <w:gridCol w:w="1702"/>
        <w:gridCol w:w="4253"/>
      </w:tblGrid>
      <w:tr>
        <w:trPr>
          <w:trHeight w:val="355" w:hRule="exact"/>
        </w:trPr>
        <w:tc>
          <w:tcPr>
            <w:tcW w:w="23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参数</w:t>
            </w:r>
          </w:p>
        </w:tc>
        <w:tc>
          <w:tcPr>
            <w:tcW w:w="425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9"/>
              <w:jc w:val="center"/>
              <w:rPr>
                <w:rFonts w:ascii="宋体" w:hAnsi="宋体" w:cs="宋体" w:eastAsia="宋体" w:hint="default"/>
                <w:sz w:val="18"/>
                <w:szCs w:val="18"/>
              </w:rPr>
            </w:pPr>
            <w:r>
              <w:rPr>
                <w:rFonts w:ascii="宋体" w:hAnsi="宋体" w:cs="宋体" w:eastAsia="宋体" w:hint="default"/>
                <w:sz w:val="18"/>
                <w:szCs w:val="18"/>
              </w:rPr>
              <w:t>依据</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2376"/>
        <w:gridCol w:w="1702"/>
        <w:gridCol w:w="4253"/>
      </w:tblGrid>
      <w:tr>
        <w:trPr>
          <w:trHeight w:val="355" w:hRule="exact"/>
        </w:trPr>
        <w:tc>
          <w:tcPr>
            <w:tcW w:w="23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预测期增长率</w:t>
            </w: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527"/>
              <w:jc w:val="right"/>
              <w:rPr>
                <w:rFonts w:ascii="Times New Roman" w:hAnsi="Times New Roman" w:cs="Times New Roman" w:eastAsia="Times New Roman" w:hint="default"/>
                <w:sz w:val="18"/>
                <w:szCs w:val="18"/>
              </w:rPr>
            </w:pPr>
            <w:r>
              <w:rPr>
                <w:rFonts w:ascii="Times New Roman"/>
                <w:w w:val="95"/>
                <w:sz w:val="18"/>
              </w:rPr>
              <w:t>5%-32%</w:t>
            </w:r>
            <w:r>
              <w:rPr>
                <w:rFonts w:ascii="Times New Roman"/>
                <w:sz w:val="18"/>
              </w:rPr>
            </w:r>
          </w:p>
        </w:tc>
        <w:tc>
          <w:tcPr>
            <w:tcW w:w="425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参考历史增长率、行业增长率以及未来销售预测</w:t>
            </w:r>
          </w:p>
        </w:tc>
      </w:tr>
      <w:tr>
        <w:trPr>
          <w:trHeight w:val="352" w:hRule="exact"/>
        </w:trPr>
        <w:tc>
          <w:tcPr>
            <w:tcW w:w="23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稳定期增长率</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0%</w:t>
            </w:r>
          </w:p>
        </w:tc>
        <w:tc>
          <w:tcPr>
            <w:tcW w:w="4253"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23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497"/>
              <w:jc w:val="righ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宋体" w:hAnsi="宋体" w:cs="宋体" w:eastAsia="宋体" w:hint="default"/>
                <w:sz w:val="18"/>
                <w:szCs w:val="18"/>
              </w:rPr>
              <w:t>左右</w:t>
            </w:r>
          </w:p>
        </w:tc>
        <w:tc>
          <w:tcPr>
            <w:tcW w:w="425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参考历史毛利率</w:t>
            </w:r>
          </w:p>
        </w:tc>
      </w:tr>
      <w:tr>
        <w:trPr>
          <w:trHeight w:val="352" w:hRule="exact"/>
        </w:trPr>
        <w:tc>
          <w:tcPr>
            <w:tcW w:w="23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折现率</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565"/>
              <w:jc w:val="right"/>
              <w:rPr>
                <w:rFonts w:ascii="Times New Roman" w:hAnsi="Times New Roman" w:cs="Times New Roman" w:eastAsia="Times New Roman" w:hint="default"/>
                <w:sz w:val="18"/>
                <w:szCs w:val="18"/>
              </w:rPr>
            </w:pPr>
            <w:r>
              <w:rPr>
                <w:rFonts w:ascii="Times New Roman"/>
                <w:sz w:val="18"/>
              </w:rPr>
              <w:t>16.34%</w:t>
            </w:r>
          </w:p>
        </w:tc>
        <w:tc>
          <w:tcPr>
            <w:tcW w:w="425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根据资产加权平均资本成本确定</w:t>
            </w:r>
          </w:p>
        </w:tc>
      </w:tr>
      <w:tr>
        <w:trPr>
          <w:trHeight w:val="352" w:hRule="exact"/>
        </w:trPr>
        <w:tc>
          <w:tcPr>
            <w:tcW w:w="23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无风险利率</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3.98%</w:t>
            </w:r>
          </w:p>
        </w:tc>
        <w:tc>
          <w:tcPr>
            <w:tcW w:w="425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选取最新的</w:t>
            </w:r>
            <w:r>
              <w:rPr>
                <w:rFonts w:ascii="Times New Roman" w:hAnsi="Times New Roman" w:cs="Times New Roman" w:eastAsia="Times New Roman" w:hint="default"/>
                <w:sz w:val="18"/>
                <w:szCs w:val="18"/>
              </w:rPr>
              <w:t>10</w:t>
            </w:r>
            <w:r>
              <w:rPr>
                <w:rFonts w:ascii="宋体" w:hAnsi="宋体" w:cs="宋体" w:eastAsia="宋体" w:hint="default"/>
                <w:sz w:val="18"/>
                <w:szCs w:val="18"/>
              </w:rPr>
              <w:t>年期以上长期国债利率的平均值</w:t>
            </w:r>
          </w:p>
        </w:tc>
      </w:tr>
      <w:tr>
        <w:trPr>
          <w:trHeight w:val="353" w:hRule="exact"/>
        </w:trPr>
        <w:tc>
          <w:tcPr>
            <w:tcW w:w="23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系统风险系数</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595"/>
              <w:jc w:val="right"/>
              <w:rPr>
                <w:rFonts w:ascii="Times New Roman" w:hAnsi="Times New Roman" w:cs="Times New Roman" w:eastAsia="Times New Roman" w:hint="default"/>
                <w:sz w:val="18"/>
                <w:szCs w:val="18"/>
              </w:rPr>
            </w:pPr>
            <w:r>
              <w:rPr>
                <w:rFonts w:ascii="Times New Roman"/>
                <w:sz w:val="18"/>
              </w:rPr>
              <w:t>0.9543</w:t>
            </w:r>
          </w:p>
        </w:tc>
        <w:tc>
          <w:tcPr>
            <w:tcW w:w="425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根据历史经验及对市场的预测取值</w:t>
            </w:r>
          </w:p>
        </w:tc>
      </w:tr>
      <w:tr>
        <w:trPr>
          <w:trHeight w:val="352" w:hRule="exact"/>
        </w:trPr>
        <w:tc>
          <w:tcPr>
            <w:tcW w:w="23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市场风险溢价</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7.24%</w:t>
            </w:r>
          </w:p>
        </w:tc>
        <w:tc>
          <w:tcPr>
            <w:tcW w:w="425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根据历史经验及对市场的预测取值</w:t>
            </w:r>
          </w:p>
        </w:tc>
      </w:tr>
      <w:tr>
        <w:trPr>
          <w:trHeight w:val="352" w:hRule="exact"/>
        </w:trPr>
        <w:tc>
          <w:tcPr>
            <w:tcW w:w="23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特定风险调整系数</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3%</w:t>
            </w:r>
          </w:p>
        </w:tc>
        <w:tc>
          <w:tcPr>
            <w:tcW w:w="425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根据历史经验及对市场的预测取值</w:t>
            </w:r>
          </w:p>
        </w:tc>
      </w:tr>
      <w:tr>
        <w:trPr>
          <w:trHeight w:val="353" w:hRule="exact"/>
        </w:trPr>
        <w:tc>
          <w:tcPr>
            <w:tcW w:w="23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预测期</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527"/>
              <w:jc w:val="right"/>
              <w:rPr>
                <w:rFonts w:ascii="宋体" w:hAnsi="宋体" w:cs="宋体" w:eastAsia="宋体" w:hint="default"/>
                <w:sz w:val="18"/>
                <w:szCs w:val="18"/>
              </w:rPr>
            </w:pPr>
            <w:r>
              <w:rPr>
                <w:rFonts w:ascii="宋体" w:hAnsi="宋体" w:cs="宋体" w:eastAsia="宋体" w:hint="default"/>
                <w:sz w:val="18"/>
                <w:szCs w:val="18"/>
              </w:rPr>
              <w:t>未来</w:t>
            </w: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4253"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8"/>
        <w:rPr>
          <w:rFonts w:ascii="宋体" w:hAnsi="宋体" w:cs="宋体" w:eastAsia="宋体" w:hint="default"/>
          <w:sz w:val="6"/>
          <w:szCs w:val="6"/>
        </w:rPr>
      </w:pPr>
    </w:p>
    <w:p>
      <w:pPr>
        <w:pStyle w:val="BodyText"/>
        <w:spacing w:line="240" w:lineRule="auto"/>
        <w:ind w:left="514" w:right="0"/>
        <w:jc w:val="left"/>
      </w:pPr>
      <w:r>
        <w:rPr/>
        <w:t>天津市泰达工程设计有限公司预计未来现金流量的主要参数：</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2376"/>
        <w:gridCol w:w="1702"/>
        <w:gridCol w:w="4253"/>
      </w:tblGrid>
      <w:tr>
        <w:trPr>
          <w:trHeight w:val="355" w:hRule="exact"/>
        </w:trPr>
        <w:tc>
          <w:tcPr>
            <w:tcW w:w="23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参数</w:t>
            </w:r>
          </w:p>
        </w:tc>
        <w:tc>
          <w:tcPr>
            <w:tcW w:w="425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9"/>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352" w:hRule="exact"/>
        </w:trPr>
        <w:tc>
          <w:tcPr>
            <w:tcW w:w="23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预测期增长率</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5%-28%</w:t>
            </w:r>
          </w:p>
        </w:tc>
        <w:tc>
          <w:tcPr>
            <w:tcW w:w="425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参考历史增长率、行业增长率以及未来销售预测</w:t>
            </w:r>
          </w:p>
        </w:tc>
      </w:tr>
      <w:tr>
        <w:trPr>
          <w:trHeight w:val="353" w:hRule="exact"/>
        </w:trPr>
        <w:tc>
          <w:tcPr>
            <w:tcW w:w="23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稳定期增长率</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0%</w:t>
            </w:r>
          </w:p>
        </w:tc>
        <w:tc>
          <w:tcPr>
            <w:tcW w:w="4253"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23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37.5%-42.8%</w:t>
            </w:r>
          </w:p>
        </w:tc>
        <w:tc>
          <w:tcPr>
            <w:tcW w:w="425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参考历史毛利率并略有下调</w:t>
            </w:r>
          </w:p>
        </w:tc>
      </w:tr>
      <w:tr>
        <w:trPr>
          <w:trHeight w:val="352" w:hRule="exact"/>
        </w:trPr>
        <w:tc>
          <w:tcPr>
            <w:tcW w:w="23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折现率</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12.72%</w:t>
            </w:r>
          </w:p>
        </w:tc>
        <w:tc>
          <w:tcPr>
            <w:tcW w:w="425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根据资产加权平均资本成本确定</w:t>
            </w:r>
          </w:p>
        </w:tc>
      </w:tr>
      <w:tr>
        <w:trPr>
          <w:trHeight w:val="353" w:hRule="exact"/>
        </w:trPr>
        <w:tc>
          <w:tcPr>
            <w:tcW w:w="23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无风险利率</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3.98%</w:t>
            </w:r>
          </w:p>
        </w:tc>
        <w:tc>
          <w:tcPr>
            <w:tcW w:w="425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选取最新的</w:t>
            </w:r>
            <w:r>
              <w:rPr>
                <w:rFonts w:ascii="Times New Roman" w:hAnsi="Times New Roman" w:cs="Times New Roman" w:eastAsia="Times New Roman" w:hint="default"/>
                <w:sz w:val="18"/>
                <w:szCs w:val="18"/>
              </w:rPr>
              <w:t>10</w:t>
            </w:r>
            <w:r>
              <w:rPr>
                <w:rFonts w:ascii="宋体" w:hAnsi="宋体" w:cs="宋体" w:eastAsia="宋体" w:hint="default"/>
                <w:sz w:val="18"/>
                <w:szCs w:val="18"/>
              </w:rPr>
              <w:t>年期以上长期国债利率的平均值</w:t>
            </w:r>
          </w:p>
        </w:tc>
      </w:tr>
      <w:tr>
        <w:trPr>
          <w:trHeight w:val="352" w:hRule="exact"/>
        </w:trPr>
        <w:tc>
          <w:tcPr>
            <w:tcW w:w="23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系统风险系数</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0.6678</w:t>
            </w:r>
          </w:p>
        </w:tc>
        <w:tc>
          <w:tcPr>
            <w:tcW w:w="425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根据历史经验及对市场的预测取值</w:t>
            </w:r>
          </w:p>
        </w:tc>
      </w:tr>
      <w:tr>
        <w:trPr>
          <w:trHeight w:val="352" w:hRule="exact"/>
        </w:trPr>
        <w:tc>
          <w:tcPr>
            <w:tcW w:w="23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市场风险溢价</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7.24%</w:t>
            </w:r>
          </w:p>
        </w:tc>
        <w:tc>
          <w:tcPr>
            <w:tcW w:w="425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根据历史经验及对市场的预测取值</w:t>
            </w:r>
          </w:p>
        </w:tc>
      </w:tr>
      <w:tr>
        <w:trPr>
          <w:trHeight w:val="353" w:hRule="exact"/>
        </w:trPr>
        <w:tc>
          <w:tcPr>
            <w:tcW w:w="23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特定风险调整系数</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w:t>
            </w:r>
          </w:p>
        </w:tc>
        <w:tc>
          <w:tcPr>
            <w:tcW w:w="425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根据历史经验及对市场的预测取值</w:t>
            </w:r>
          </w:p>
        </w:tc>
      </w:tr>
      <w:tr>
        <w:trPr>
          <w:trHeight w:val="352" w:hRule="exact"/>
        </w:trPr>
        <w:tc>
          <w:tcPr>
            <w:tcW w:w="23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预测期</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未来</w:t>
            </w: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4253"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8"/>
        <w:rPr>
          <w:rFonts w:ascii="宋体" w:hAnsi="宋体" w:cs="宋体" w:eastAsia="宋体" w:hint="default"/>
          <w:sz w:val="6"/>
          <w:szCs w:val="6"/>
        </w:rPr>
      </w:pPr>
    </w:p>
    <w:p>
      <w:pPr>
        <w:pStyle w:val="BodyText"/>
        <w:spacing w:line="240" w:lineRule="auto"/>
        <w:ind w:left="514" w:right="0"/>
        <w:jc w:val="left"/>
      </w:pPr>
      <w:r>
        <w:rPr/>
        <w:t>苏州开关二厂有限公司预计未来现金流量的主要参数：</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2376"/>
        <w:gridCol w:w="1702"/>
        <w:gridCol w:w="4253"/>
      </w:tblGrid>
      <w:tr>
        <w:trPr>
          <w:trHeight w:val="355" w:hRule="exact"/>
        </w:trPr>
        <w:tc>
          <w:tcPr>
            <w:tcW w:w="23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参数</w:t>
            </w:r>
          </w:p>
        </w:tc>
        <w:tc>
          <w:tcPr>
            <w:tcW w:w="425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9"/>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352" w:hRule="exact"/>
        </w:trPr>
        <w:tc>
          <w:tcPr>
            <w:tcW w:w="23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预测期增长率</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8%-16%</w:t>
            </w:r>
          </w:p>
        </w:tc>
        <w:tc>
          <w:tcPr>
            <w:tcW w:w="425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参考历史增长率、行业增长率以及未来销售预测</w:t>
            </w:r>
          </w:p>
        </w:tc>
      </w:tr>
      <w:tr>
        <w:trPr>
          <w:trHeight w:val="353" w:hRule="exact"/>
        </w:trPr>
        <w:tc>
          <w:tcPr>
            <w:tcW w:w="23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稳定期增长率</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0%</w:t>
            </w:r>
          </w:p>
        </w:tc>
        <w:tc>
          <w:tcPr>
            <w:tcW w:w="4253"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23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宋体" w:hAnsi="宋体" w:cs="宋体" w:eastAsia="宋体" w:hint="default"/>
                <w:sz w:val="18"/>
                <w:szCs w:val="18"/>
              </w:rPr>
              <w:t>左右</w:t>
            </w:r>
          </w:p>
        </w:tc>
        <w:tc>
          <w:tcPr>
            <w:tcW w:w="425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参考历史毛利率</w:t>
            </w:r>
          </w:p>
        </w:tc>
      </w:tr>
      <w:tr>
        <w:trPr>
          <w:trHeight w:val="352" w:hRule="exact"/>
        </w:trPr>
        <w:tc>
          <w:tcPr>
            <w:tcW w:w="23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折现率</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13.19%</w:t>
            </w:r>
            <w:r>
              <w:rPr>
                <w:rFonts w:ascii="宋体" w:hAnsi="宋体" w:cs="宋体" w:eastAsia="宋体" w:hint="default"/>
                <w:sz w:val="18"/>
                <w:szCs w:val="18"/>
              </w:rPr>
              <w:t>、</w:t>
            </w:r>
            <w:r>
              <w:rPr>
                <w:rFonts w:ascii="Times New Roman" w:hAnsi="Times New Roman" w:cs="Times New Roman" w:eastAsia="Times New Roman" w:hint="default"/>
                <w:sz w:val="18"/>
                <w:szCs w:val="18"/>
              </w:rPr>
              <w:t>14.95%</w:t>
            </w:r>
          </w:p>
        </w:tc>
        <w:tc>
          <w:tcPr>
            <w:tcW w:w="425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根据资产加权平均资本成本确定</w:t>
            </w:r>
          </w:p>
        </w:tc>
      </w:tr>
      <w:tr>
        <w:trPr>
          <w:trHeight w:val="353" w:hRule="exact"/>
        </w:trPr>
        <w:tc>
          <w:tcPr>
            <w:tcW w:w="23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无风险利率</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3.98%</w:t>
            </w:r>
          </w:p>
        </w:tc>
        <w:tc>
          <w:tcPr>
            <w:tcW w:w="425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选取最新的</w:t>
            </w:r>
            <w:r>
              <w:rPr>
                <w:rFonts w:ascii="Times New Roman" w:hAnsi="Times New Roman" w:cs="Times New Roman" w:eastAsia="Times New Roman" w:hint="default"/>
                <w:sz w:val="18"/>
                <w:szCs w:val="18"/>
              </w:rPr>
              <w:t>10</w:t>
            </w:r>
            <w:r>
              <w:rPr>
                <w:rFonts w:ascii="宋体" w:hAnsi="宋体" w:cs="宋体" w:eastAsia="宋体" w:hint="default"/>
                <w:sz w:val="18"/>
                <w:szCs w:val="18"/>
              </w:rPr>
              <w:t>年期以上长期国债利率的平均值</w:t>
            </w:r>
          </w:p>
        </w:tc>
      </w:tr>
      <w:tr>
        <w:trPr>
          <w:trHeight w:val="352" w:hRule="exact"/>
        </w:trPr>
        <w:tc>
          <w:tcPr>
            <w:tcW w:w="23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系统风险系数</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0.7232</w:t>
            </w:r>
          </w:p>
        </w:tc>
        <w:tc>
          <w:tcPr>
            <w:tcW w:w="425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根据历史经验及对市场的预测取值</w:t>
            </w:r>
          </w:p>
        </w:tc>
      </w:tr>
      <w:tr>
        <w:trPr>
          <w:trHeight w:val="352" w:hRule="exact"/>
        </w:trPr>
        <w:tc>
          <w:tcPr>
            <w:tcW w:w="23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市场风险溢价</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7.24%</w:t>
            </w:r>
          </w:p>
        </w:tc>
        <w:tc>
          <w:tcPr>
            <w:tcW w:w="425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根据历史经验及对市场的预测取值</w:t>
            </w:r>
          </w:p>
        </w:tc>
      </w:tr>
      <w:tr>
        <w:trPr>
          <w:trHeight w:val="353" w:hRule="exact"/>
        </w:trPr>
        <w:tc>
          <w:tcPr>
            <w:tcW w:w="23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特定风险调整系数</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w:t>
            </w:r>
          </w:p>
        </w:tc>
        <w:tc>
          <w:tcPr>
            <w:tcW w:w="425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根据历史经验及对市场的预测取值</w:t>
            </w:r>
          </w:p>
        </w:tc>
      </w:tr>
      <w:tr>
        <w:trPr>
          <w:trHeight w:val="352" w:hRule="exact"/>
        </w:trPr>
        <w:tc>
          <w:tcPr>
            <w:tcW w:w="23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预测期</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未来</w:t>
            </w: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4253"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10"/>
        <w:rPr>
          <w:rFonts w:ascii="宋体" w:hAnsi="宋体" w:cs="宋体" w:eastAsia="宋体" w:hint="default"/>
          <w:sz w:val="15"/>
          <w:szCs w:val="15"/>
        </w:rPr>
      </w:pPr>
    </w:p>
    <w:p>
      <w:pPr>
        <w:pStyle w:val="BodyText"/>
        <w:spacing w:line="316" w:lineRule="auto"/>
        <w:ind w:right="1131" w:firstLine="356"/>
        <w:jc w:val="both"/>
      </w:pPr>
      <w:r>
        <w:rPr>
          <w:spacing w:val="-2"/>
        </w:rPr>
        <w:t>公司期末对与商誉相关的资产组进行了减值测试，在进行减值测试时，将商誉的账面价值分摊至预期从企业合并的协同</w:t>
      </w:r>
      <w:r>
        <w:rPr/>
        <w:t> </w:t>
      </w:r>
      <w:r>
        <w:rPr>
          <w:spacing w:val="-2"/>
        </w:rPr>
        <w:t>效应中受益的资产组或资产组组合。然后将资产组账面价值与其可收回金额进行比较，以确定资产组（包括商誉）是否发生</w:t>
      </w:r>
      <w:r>
        <w:rPr>
          <w:spacing w:val="-66"/>
        </w:rPr>
        <w:t> </w:t>
      </w:r>
      <w:r>
        <w:rPr>
          <w:spacing w:val="-66"/>
        </w:rPr>
      </w:r>
      <w:r>
        <w:rPr>
          <w:spacing w:val="-2"/>
        </w:rPr>
        <w:t>了减值。经测算本期公司对北京中电兴发科技有限公司、天津市泰达工程设计有限公司、苏州开关二厂有限公司及苏州天平</w:t>
      </w:r>
      <w:r>
        <w:rPr>
          <w:spacing w:val="-66"/>
        </w:rPr>
        <w:t> </w:t>
      </w:r>
      <w:r>
        <w:rPr>
          <w:spacing w:val="-66"/>
        </w:rPr>
      </w:r>
      <w:r>
        <w:rPr/>
        <w:t>安装工程有限公司的商誉均未发生减值。</w:t>
      </w:r>
    </w:p>
    <w:p>
      <w:pPr>
        <w:spacing w:line="240" w:lineRule="auto" w:before="0"/>
        <w:rPr>
          <w:rFonts w:ascii="宋体" w:hAnsi="宋体" w:cs="宋体" w:eastAsia="宋体" w:hint="default"/>
          <w:sz w:val="18"/>
          <w:szCs w:val="18"/>
        </w:rPr>
      </w:pPr>
    </w:p>
    <w:p>
      <w:pPr>
        <w:pStyle w:val="BodyText"/>
        <w:spacing w:line="360" w:lineRule="auto" w:before="136"/>
        <w:ind w:right="9132"/>
        <w:jc w:val="left"/>
      </w:pPr>
      <w:r>
        <w:rPr/>
        <w:t>商誉减值测试的影响 其他说明</w:t>
      </w:r>
    </w:p>
    <w:p>
      <w:pPr>
        <w:spacing w:after="0" w:line="36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ind w:right="0" w:firstLine="360"/>
        <w:jc w:val="left"/>
      </w:pPr>
      <w:r>
        <w:rPr>
          <w:spacing w:val="-2"/>
        </w:rPr>
        <w:t>公司在并购北京中电兴发科技有限公司、天津市泰达工程设计有限公司及苏州开关二厂有限公司，被并购方原股东有业</w:t>
      </w:r>
      <w:r>
        <w:rPr/>
        <w:t> 绩承诺，承诺期内相关方均完成了业绩承诺。</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15、长期待摊费用" w:id="274"/>
      <w:bookmarkEnd w:id="274"/>
      <w:r>
        <w:rPr>
          <w:b w:val="0"/>
          <w:bCs w:val="0"/>
        </w:rPr>
      </w:r>
      <w:r>
        <w:rPr>
          <w:rFonts w:ascii="Times New Roman" w:hAnsi="Times New Roman" w:cs="Times New Roman" w:eastAsia="Times New Roman" w:hint="default"/>
        </w:rPr>
        <w:t>15</w:t>
      </w:r>
      <w:r>
        <w:rPr/>
        <w:t>、长期待摊费用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7524"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2,015,076.55</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909,128.22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1,105,948.33</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场地使用费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1,214,423.90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134,936.04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1,079,487.86</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车位费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1,512,000.00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108,000.00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1,404,000.00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装饰装修费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44,900.08</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29,933.28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14,966.80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厨房用具</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110,697.21</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27,674.29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83,022.92</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南楼装修</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640,000.03</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159,999.97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480,000.06</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家具</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279,953.53</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69,988.42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209,965.11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租赁房屋装修</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742,910.45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117,612.57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625,297.88</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资产改良</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144,400.00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2,406.67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141,993.33</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商会会费</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法律顾问费</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80,000.00</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5,817,051.30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1,087,310.45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1,579,679.46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5,324,682.29</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16、递延所得税资产/递延所得税负债" w:id="275"/>
      <w:bookmarkEnd w:id="275"/>
      <w:r>
        <w:rPr>
          <w:b w:val="0"/>
          <w:bCs w:val="0"/>
        </w:rPr>
      </w:r>
      <w:r>
        <w:rPr>
          <w:rFonts w:ascii="Times New Roman" w:hAnsi="Times New Roman" w:cs="Times New Roman" w:eastAsia="Times New Roman" w:hint="default"/>
        </w:rPr>
        <w:t>16</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未经抵销的递延所得税资产" w:id="276"/>
      <w:bookmarkEnd w:id="276"/>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7524"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5"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276,852,129.99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41,678,494.72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237,311,701.64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35,623,236.44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8,321,592.78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1,248,238.84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9,702,468.44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1,455,370.27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174,791,674.62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26,689,131.85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92,108,281.51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13,865,364.63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113,741,844.28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3,942,530.61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27,871,569.02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4,180,735.35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573,707,241.67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73,558,396.02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366,994,020.61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55,124,706.69</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2）未经抵销的递延所得税负债" w:id="277"/>
      <w:bookmarkEnd w:id="277"/>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7524"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3831"/>
        <w:gridCol w:w="3817"/>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5"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66"/>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94,715,086.19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14,207,262.92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104,757,246.31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15,713,586.94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94,715,086.19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14,207,262.92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104,757,246.31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15,713,586.94</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以抵销后净额列示的递延所得税资产或负债" w:id="278"/>
      <w:bookmarkEnd w:id="278"/>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7524"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161"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13"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73,558,396.02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55,124,706.69</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14,207,262.92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15,713,586.94</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未确认递延所得税资产明细" w:id="279"/>
      <w:bookmarkEnd w:id="279"/>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7524"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5）未确认递延所得税资产的可抵扣亏损将于以下年度到期" w:id="280"/>
      <w:bookmarkEnd w:id="280"/>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7524"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备注</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17、其他非流动资产" w:id="281"/>
      <w:bookmarkEnd w:id="281"/>
      <w:r>
        <w:rPr>
          <w:b w:val="0"/>
          <w:bCs w:val="0"/>
        </w:rPr>
      </w:r>
      <w:r>
        <w:rPr>
          <w:rFonts w:ascii="Times New Roman" w:hAnsi="Times New Roman" w:cs="Times New Roman" w:eastAsia="Times New Roman" w:hint="default"/>
        </w:rPr>
        <w:t>17</w:t>
      </w:r>
      <w:r>
        <w:rPr/>
        <w:t>、其他非流动资产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7524"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智慧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APP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一期设计开发预付款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1,520,000.00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1,520,000.00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预付设备款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406,397.12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235,442.42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长期借出款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6,220,000.00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8,146,397.12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1,755,442.42</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18、短期借款" w:id="282"/>
      <w:bookmarkEnd w:id="282"/>
      <w:r>
        <w:rPr>
          <w:b w:val="0"/>
          <w:bCs w:val="0"/>
        </w:rPr>
      </w:r>
      <w:r>
        <w:rPr>
          <w:rFonts w:ascii="Times New Roman" w:hAnsi="Times New Roman" w:cs="Times New Roman" w:eastAsia="Times New Roman" w:hint="default"/>
        </w:rPr>
        <w:t>18</w:t>
      </w:r>
      <w:r>
        <w:rPr/>
        <w:t>、短期借款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短期借款分类" w:id="283"/>
      <w:bookmarkEnd w:id="283"/>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7524"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418,500,000.00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493,500,000.00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480,000,000.00</w:t>
            </w:r>
          </w:p>
        </w:tc>
      </w:tr>
    </w:tbl>
    <w:p>
      <w:pPr>
        <w:pStyle w:val="BodyText"/>
        <w:spacing w:line="240" w:lineRule="auto" w:before="51"/>
        <w:ind w:right="0"/>
        <w:jc w:val="left"/>
      </w:pPr>
      <w:r>
        <w:rPr/>
        <w:t>短期借款分类的说明：</w:t>
      </w:r>
    </w:p>
    <w:p>
      <w:pPr>
        <w:pStyle w:val="BodyText"/>
        <w:spacing w:line="300" w:lineRule="auto" w:before="116"/>
        <w:ind w:right="1250" w:firstLine="360"/>
        <w:jc w:val="left"/>
      </w:pPr>
      <w:r>
        <w:rPr/>
        <w:t>交通银行芜湖分行 </w:t>
      </w:r>
      <w:r>
        <w:rPr>
          <w:rFonts w:ascii="Times New Roman" w:hAnsi="Times New Roman" w:cs="Times New Roman" w:eastAsia="Times New Roman" w:hint="default"/>
        </w:rPr>
        <w:t>3000</w:t>
      </w:r>
      <w:r>
        <w:rPr/>
        <w:t>万和农业银行芜湖经济技术开发区支行</w:t>
      </w:r>
      <w:r>
        <w:rPr>
          <w:spacing w:val="-38"/>
        </w:rPr>
        <w:t> </w:t>
      </w:r>
      <w:r>
        <w:rPr>
          <w:rFonts w:ascii="Times New Roman" w:hAnsi="Times New Roman" w:cs="Times New Roman" w:eastAsia="Times New Roman" w:hint="default"/>
        </w:rPr>
        <w:t>2000</w:t>
      </w:r>
      <w:r>
        <w:rPr/>
        <w:t>万的保证借款由全资子公司安徽森源电器有限公 司为借款提供担保。</w:t>
      </w:r>
    </w:p>
    <w:p>
      <w:pPr>
        <w:pStyle w:val="BodyText"/>
        <w:spacing w:line="300" w:lineRule="auto" w:before="31"/>
        <w:ind w:right="1212" w:firstLine="360"/>
        <w:jc w:val="left"/>
      </w:pPr>
      <w:r>
        <w:rPr/>
        <w:t>子公司安徽鑫龙自动化有限公司的芜湖扬子农村商业银行股份有限公司</w:t>
      </w:r>
      <w:r>
        <w:rPr>
          <w:rFonts w:ascii="Times New Roman" w:hAnsi="Times New Roman" w:cs="Times New Roman" w:eastAsia="Times New Roman" w:hint="default"/>
        </w:rPr>
        <w:t>2500</w:t>
      </w:r>
      <w:r>
        <w:rPr/>
        <w:t>万元保证借款由母公司安徽中电兴发与鑫 龙科技股份有限公司提供担保。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48"/>
        <w:ind w:right="0"/>
        <w:jc w:val="left"/>
        <w:rPr>
          <w:b w:val="0"/>
          <w:bCs w:val="0"/>
        </w:rPr>
      </w:pPr>
      <w:bookmarkStart w:name="（2）已逾期未偿还的短期借款情况" w:id="284"/>
      <w:bookmarkEnd w:id="284"/>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t>本期末已逾期未偿还的短期借款总额为元，其中重要的已逾期未偿还的短期借款情况如下：</w:t>
      </w:r>
    </w:p>
    <w:p>
      <w:pPr>
        <w:pStyle w:val="BodyText"/>
        <w:spacing w:line="240" w:lineRule="auto" w:before="116"/>
        <w:ind w:left="7524"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19、应付票据及应付账款" w:id="285"/>
      <w:bookmarkEnd w:id="285"/>
      <w:r>
        <w:rPr>
          <w:b w:val="0"/>
          <w:bCs w:val="0"/>
        </w:rPr>
      </w:r>
      <w:r>
        <w:rPr>
          <w:rFonts w:ascii="Times New Roman" w:hAnsi="Times New Roman" w:cs="Times New Roman" w:eastAsia="Times New Roman" w:hint="default"/>
        </w:rPr>
        <w:t>19</w:t>
      </w:r>
      <w:r>
        <w:rPr/>
        <w:t>、应付票据及应付账款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7524"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95,297,752.20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85,025,110.82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562,452,888.36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307,887,133.80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657,750,640.56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392,912,244.62</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应付票据分类列示" w:id="286"/>
      <w:bookmarkEnd w:id="286"/>
      <w:r>
        <w:rPr>
          <w:b w:val="0"/>
          <w:bCs w:val="0"/>
        </w:rPr>
      </w:r>
      <w:r>
        <w:rPr/>
        <w:t>（</w:t>
      </w:r>
      <w:r>
        <w:rPr>
          <w:rFonts w:ascii="Times New Roman" w:hAnsi="Times New Roman" w:cs="Times New Roman" w:eastAsia="Times New Roman" w:hint="default"/>
        </w:rPr>
        <w:t>1</w:t>
      </w:r>
      <w:r>
        <w:rPr/>
        <w:t>）应付票据分类列示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7524"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95,297,752.20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85,025,110.82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95,297,752.20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85,025,110.82</w:t>
            </w:r>
          </w:p>
        </w:tc>
      </w:tr>
    </w:tbl>
    <w:p>
      <w:pPr>
        <w:pStyle w:val="BodyText"/>
        <w:spacing w:line="240" w:lineRule="auto" w:before="51"/>
        <w:ind w:right="0"/>
        <w:jc w:val="left"/>
      </w:pPr>
      <w:r>
        <w:rPr/>
        <w:t>本期末已到期未支付的应付票据总额为元。</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应付账款列示" w:id="287"/>
      <w:bookmarkEnd w:id="287"/>
      <w:r>
        <w:rPr>
          <w:b w:val="0"/>
          <w:bCs w:val="0"/>
        </w:rPr>
      </w:r>
      <w:r>
        <w:rPr/>
        <w:t>（</w:t>
      </w:r>
      <w:r>
        <w:rPr>
          <w:rFonts w:ascii="Times New Roman" w:hAnsi="Times New Roman" w:cs="Times New Roman" w:eastAsia="Times New Roman" w:hint="default"/>
        </w:rPr>
        <w:t>2</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7524"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应付材料、劳务款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510,418,826.44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241,993,335.19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应付工程款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6,974,544.14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10,226,489.57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应付设备款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1,049,381.34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1,115,777.89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租赁资产预提的电费和租用网络费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41,202,638.50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53,875,114.23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2,807,497.94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676,416.92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562,452,888.36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307,887,133.80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账龄超过1年的重要应付账款" w:id="288"/>
      <w:bookmarkEnd w:id="288"/>
      <w:r>
        <w:rPr>
          <w:b w:val="0"/>
          <w:bCs w:val="0"/>
        </w:rPr>
      </w:r>
      <w:r>
        <w:rPr/>
        <w:t>（</w:t>
      </w:r>
      <w:r>
        <w:rPr>
          <w:rFonts w:ascii="Times New Roman" w:hAnsi="Times New Roman" w:cs="Times New Roman" w:eastAsia="Times New Roman" w:hint="default"/>
        </w:rPr>
        <w:t>3</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7524"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北京汉邦高科数字技术股份有限公司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8,513,820.00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未竣工结算</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3"/>
              <w:jc w:val="left"/>
              <w:rPr>
                <w:rFonts w:ascii="宋体" w:hAnsi="宋体" w:cs="宋体" w:eastAsia="宋体" w:hint="default"/>
                <w:sz w:val="18"/>
                <w:szCs w:val="18"/>
              </w:rPr>
            </w:pPr>
            <w:r>
              <w:rPr>
                <w:rFonts w:ascii="宋体" w:hAnsi="宋体" w:cs="宋体" w:eastAsia="宋体" w:hint="default"/>
                <w:sz w:val="18"/>
                <w:szCs w:val="18"/>
              </w:rPr>
              <w:t>贵州省广播电视信息网络股份有限公司 六盘水市分公司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8,266,531.85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未竣工结算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深圳桑达电子设备有限公司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5,557,785.00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未竣工结算</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3"/>
              <w:jc w:val="left"/>
              <w:rPr>
                <w:rFonts w:ascii="宋体" w:hAnsi="宋体" w:cs="宋体" w:eastAsia="宋体" w:hint="default"/>
                <w:sz w:val="18"/>
                <w:szCs w:val="18"/>
              </w:rPr>
            </w:pPr>
            <w:r>
              <w:rPr>
                <w:rFonts w:ascii="宋体" w:hAnsi="宋体" w:cs="宋体" w:eastAsia="宋体" w:hint="default"/>
                <w:sz w:val="18"/>
                <w:szCs w:val="18"/>
              </w:rPr>
              <w:t>湖南鸿昌电力工程建设有限责任公司红 河州分公司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4,782,408.00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未竣工结算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27,120,544.85</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0、预收款项" w:id="289"/>
      <w:bookmarkEnd w:id="289"/>
      <w:r>
        <w:rPr>
          <w:b w:val="0"/>
          <w:bCs w:val="0"/>
        </w:rPr>
      </w:r>
      <w:r>
        <w:rPr>
          <w:rFonts w:ascii="Times New Roman" w:hAnsi="Times New Roman" w:cs="Times New Roman" w:eastAsia="Times New Roman" w:hint="default"/>
        </w:rPr>
        <w:t>20</w:t>
      </w:r>
      <w:r>
        <w:rPr/>
        <w:t>、预收款项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预收款项列示" w:id="290"/>
      <w:bookmarkEnd w:id="290"/>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7524"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247,903,169.27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197,397,775.69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247,903,169.27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197,397,775.69</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账龄超过1年的重要预收款项" w:id="291"/>
      <w:bookmarkEnd w:id="291"/>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7524"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平邑县中医医院</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苏州天虹公变</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2,387,913.93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未发货</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南部战区联合参谋部直属工作局</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中建交通建设集团有限公司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1,607,548.45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货未发</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宁夏回族自治区银川市劳动就业服务局</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1,379,800.00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工程尚未结算</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3"/>
              <w:jc w:val="left"/>
              <w:rPr>
                <w:rFonts w:ascii="宋体" w:hAnsi="宋体" w:cs="宋体" w:eastAsia="宋体" w:hint="default"/>
                <w:sz w:val="18"/>
                <w:szCs w:val="18"/>
              </w:rPr>
            </w:pPr>
            <w:r>
              <w:rPr>
                <w:rFonts w:ascii="宋体" w:hAnsi="宋体" w:cs="宋体" w:eastAsia="宋体" w:hint="default"/>
                <w:sz w:val="18"/>
                <w:szCs w:val="18"/>
              </w:rPr>
              <w:t>福建省闽南建筑工程有限公司北京分公 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1,366,023.37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货未发</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济宁圆中园房地产有限公司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1,248,245.79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北京城建集团有限责任公司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1,137,283.93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货未发完</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14,756,815.47</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3）期末建造合同形成的已结算未完工项目情况" w:id="292"/>
      <w:bookmarkEnd w:id="292"/>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7524"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1、应付职工薪酬" w:id="293"/>
      <w:bookmarkEnd w:id="293"/>
      <w:r>
        <w:rPr>
          <w:b w:val="0"/>
          <w:bCs w:val="0"/>
        </w:rPr>
      </w:r>
      <w:r>
        <w:rPr>
          <w:rFonts w:ascii="Times New Roman" w:hAnsi="Times New Roman" w:cs="Times New Roman" w:eastAsia="Times New Roman" w:hint="default"/>
        </w:rPr>
        <w:t>21</w:t>
      </w:r>
      <w:r>
        <w:rPr/>
        <w:t>、应付职工薪酬</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应付职工薪酬列示" w:id="294"/>
      <w:bookmarkEnd w:id="294"/>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7524"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20,443,036.22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232,935,637.18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222,877,508.17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30,501,165.23</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23,515,648.98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22,785,761.45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729,887.53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20,443,036.22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256,451,286.16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245,663,269.62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31,231,052.76</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短期薪酬列示" w:id="295"/>
      <w:bookmarkEnd w:id="295"/>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7524"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19,607,630.56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201,313,279.84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191,197,171.61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29,723,738.79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6,942,501.61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6,942,501.61</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12,002,616.78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12,002,616.78</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10,188,606.76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10,188,606.76</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504,455.47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504,455.47</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840,822.11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840,822.11</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补充医疗保险</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432,411.44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432,411.44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其他保险</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36,321.00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36,321.00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835,405.66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12,677,238.95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12,735,218.17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777,426.44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20,443,036.22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232,935,637.18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222,877,508.17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30,501,165.23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3）设定提存计划列示" w:id="296"/>
      <w:bookmarkEnd w:id="296"/>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7524"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22,858,145.82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22,128,258.29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729,887.53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657,503.16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657,503.16</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23,515,648.98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22,785,761.45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729,887.53</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2、应交税费" w:id="297"/>
      <w:bookmarkEnd w:id="297"/>
      <w:r>
        <w:rPr>
          <w:b w:val="0"/>
          <w:bCs w:val="0"/>
        </w:rPr>
      </w:r>
      <w:r>
        <w:rPr>
          <w:rFonts w:ascii="Times New Roman" w:hAnsi="Times New Roman" w:cs="Times New Roman" w:eastAsia="Times New Roman" w:hint="default"/>
        </w:rPr>
        <w:t>22</w:t>
      </w:r>
      <w:r>
        <w:rPr/>
        <w:t>、应交税费</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7524"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21,829,013.73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24,150,356.49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17,911,552.54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9,272,248.55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439,459.78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146,178.30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1,480,576.86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1,661,350.72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1,940,003.74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1,240,003.31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813,794.62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712,007.43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121,261.82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66,468.14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200,147.79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474,671.61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水利基金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91,575.40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46,361.28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494,827.29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676,219.68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河道维护管理费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10,915.44</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45,333,129.01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38,445,865.51</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3、其他应付款" w:id="298"/>
      <w:bookmarkEnd w:id="298"/>
      <w:r>
        <w:rPr>
          <w:b w:val="0"/>
          <w:bCs w:val="0"/>
        </w:rPr>
      </w:r>
      <w:r>
        <w:rPr>
          <w:rFonts w:ascii="Times New Roman" w:hAnsi="Times New Roman" w:cs="Times New Roman" w:eastAsia="Times New Roman" w:hint="default"/>
        </w:rPr>
        <w:t>23</w:t>
      </w:r>
      <w:r>
        <w:rPr/>
        <w:t>、其他应付款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7524"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757,568.26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652,201.38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56,796,813.16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16,024,207.42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57,554,381.42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16,676,408.80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应付利息" w:id="299"/>
      <w:bookmarkEnd w:id="299"/>
      <w:r>
        <w:rPr>
          <w:b w:val="0"/>
          <w:bCs w:val="0"/>
        </w:rPr>
      </w:r>
      <w:r>
        <w:rPr/>
        <w:t>（</w:t>
      </w:r>
      <w:r>
        <w:rPr>
          <w:rFonts w:ascii="Times New Roman" w:hAnsi="Times New Roman" w:cs="Times New Roman" w:eastAsia="Times New Roman" w:hint="default"/>
        </w:rPr>
        <w:t>1</w:t>
      </w:r>
      <w:r>
        <w:rPr/>
        <w:t>）应付利息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7524"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146,145.55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27,493.05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611,422.71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624,708.33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757,568.26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652,201.38</w:t>
            </w:r>
          </w:p>
        </w:tc>
      </w:tr>
    </w:tbl>
    <w:p>
      <w:pPr>
        <w:pStyle w:val="BodyText"/>
        <w:spacing w:line="240" w:lineRule="auto" w:before="51"/>
        <w:ind w:right="0"/>
        <w:jc w:val="left"/>
      </w:pPr>
      <w:r>
        <w:rPr/>
        <w:t>重要的已逾期未支付的利息情况：</w:t>
      </w:r>
    </w:p>
    <w:p>
      <w:pPr>
        <w:pStyle w:val="BodyText"/>
        <w:spacing w:line="240" w:lineRule="auto" w:before="117"/>
        <w:ind w:left="7524"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应付股利" w:id="300"/>
      <w:bookmarkEnd w:id="300"/>
      <w:r>
        <w:rPr>
          <w:b w:val="0"/>
          <w:bCs w:val="0"/>
        </w:rPr>
      </w:r>
      <w:r>
        <w:rPr/>
        <w:t>（</w:t>
      </w:r>
      <w:r>
        <w:rPr>
          <w:rFonts w:ascii="Times New Roman" w:hAnsi="Times New Roman" w:cs="Times New Roman" w:eastAsia="Times New Roman" w:hint="default"/>
        </w:rPr>
        <w:t>2</w:t>
      </w:r>
      <w:r>
        <w:rPr/>
        <w:t>）应付股利</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7524"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right="0"/>
        <w:jc w:val="left"/>
      </w:pPr>
      <w:r>
        <w:rPr/>
        <w:t>其他说明，包括重要的超过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其他应付款" w:id="301"/>
      <w:bookmarkEnd w:id="301"/>
      <w:r>
        <w:rPr>
          <w:b w:val="0"/>
          <w:bCs w:val="0"/>
        </w:rPr>
      </w:r>
      <w:r>
        <w:rPr/>
        <w:t>（</w:t>
      </w:r>
      <w:r>
        <w:rPr>
          <w:rFonts w:ascii="Times New Roman" w:hAnsi="Times New Roman" w:cs="Times New Roman" w:eastAsia="Times New Roman" w:hint="default"/>
        </w:rPr>
        <w:t>3</w:t>
      </w:r>
      <w:r>
        <w:rPr/>
        <w:t>）其他应付款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1)</w:t>
      </w:r>
      <w:r>
        <w:rPr/>
        <w:t>按款项性质列示其他应付款</w:t>
      </w:r>
    </w:p>
    <w:p>
      <w:pPr>
        <w:pStyle w:val="BodyText"/>
        <w:spacing w:line="240" w:lineRule="auto" w:before="102"/>
        <w:ind w:left="7524"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17,495,569.89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10,749,795.89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12,637,942.47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3,850,812.12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代垫款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12,449,800.51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1,083,708.96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应付股权收购款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3,213,500.29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339,890.45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56,796,813.16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16,024,207.42</w:t>
            </w:r>
          </w:p>
        </w:tc>
      </w:tr>
    </w:tbl>
    <w:p>
      <w:pPr>
        <w:pStyle w:val="BodyText"/>
        <w:spacing w:line="240" w:lineRule="auto" w:before="51"/>
        <w:ind w:right="0"/>
        <w:jc w:val="left"/>
      </w:pPr>
      <w:r>
        <w:rPr>
          <w:rFonts w:ascii="Times New Roman" w:hAnsi="Times New Roman" w:cs="Times New Roman" w:eastAsia="Times New Roman" w:hint="default"/>
        </w:rPr>
        <w:t>2)</w:t>
      </w:r>
      <w:r>
        <w:rPr/>
        <w:t>账龄超过</w:t>
      </w:r>
      <w:r>
        <w:rPr>
          <w:spacing w:val="-46"/>
        </w:rPr>
        <w:t> </w:t>
      </w:r>
      <w:r>
        <w:rPr>
          <w:rFonts w:ascii="Times New Roman" w:hAnsi="Times New Roman" w:cs="Times New Roman" w:eastAsia="Times New Roman" w:hint="default"/>
        </w:rPr>
        <w:t>1 </w:t>
      </w:r>
      <w:r>
        <w:rPr/>
        <w:t>年的重要其他应付款</w:t>
      </w:r>
    </w:p>
    <w:p>
      <w:pPr>
        <w:pStyle w:val="BodyText"/>
        <w:spacing w:line="240" w:lineRule="auto" w:before="103"/>
        <w:ind w:left="7524"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深圳桑达电子设备有限公司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未完工项目履约保证金</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1,320,000.00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4、一年内到期的非流动负债" w:id="302"/>
      <w:bookmarkEnd w:id="302"/>
      <w:r>
        <w:rPr>
          <w:b w:val="0"/>
          <w:bCs w:val="0"/>
        </w:rPr>
      </w:r>
      <w:r>
        <w:rPr>
          <w:rFonts w:ascii="Times New Roman" w:hAnsi="Times New Roman" w:cs="Times New Roman" w:eastAsia="Times New Roman" w:hint="default"/>
        </w:rPr>
        <w:t>24</w:t>
      </w:r>
      <w:r>
        <w:rPr/>
        <w:t>、一年内到期的非流动负债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7524"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一年内到期的长期应付款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19,000,000.00</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5、长期借款" w:id="303"/>
      <w:bookmarkEnd w:id="303"/>
      <w:r>
        <w:rPr>
          <w:b w:val="0"/>
          <w:bCs w:val="0"/>
        </w:rPr>
      </w:r>
      <w:r>
        <w:rPr>
          <w:rFonts w:ascii="Times New Roman" w:hAnsi="Times New Roman" w:cs="Times New Roman" w:eastAsia="Times New Roman" w:hint="default"/>
        </w:rPr>
        <w:t>25</w:t>
      </w:r>
      <w:r>
        <w:rPr/>
        <w:t>、长期借款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长期借款分类" w:id="304"/>
      <w:bookmarkEnd w:id="304"/>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7524"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w:t>
            </w:r>
          </w:p>
        </w:tc>
      </w:tr>
    </w:tbl>
    <w:p>
      <w:pPr>
        <w:pStyle w:val="BodyText"/>
        <w:spacing w:line="360" w:lineRule="auto" w:before="51"/>
        <w:ind w:right="8592"/>
        <w:jc w:val="left"/>
      </w:pPr>
      <w:r>
        <w:rPr/>
        <w:t>长期借款分类的说明： 其他说明，包括利率区间：</w:t>
      </w:r>
    </w:p>
    <w:p>
      <w:pPr>
        <w:spacing w:line="240" w:lineRule="auto" w:before="11"/>
        <w:rPr>
          <w:rFonts w:ascii="宋体" w:hAnsi="宋体" w:cs="宋体" w:eastAsia="宋体" w:hint="default"/>
          <w:sz w:val="19"/>
          <w:szCs w:val="19"/>
        </w:rPr>
      </w:pPr>
    </w:p>
    <w:p>
      <w:pPr>
        <w:pStyle w:val="Heading4"/>
        <w:spacing w:line="240" w:lineRule="auto"/>
        <w:ind w:right="0"/>
        <w:jc w:val="left"/>
        <w:rPr>
          <w:b w:val="0"/>
          <w:bCs w:val="0"/>
        </w:rPr>
      </w:pPr>
      <w:bookmarkStart w:name="26、长期应付款" w:id="305"/>
      <w:bookmarkEnd w:id="305"/>
      <w:r>
        <w:rPr>
          <w:b w:val="0"/>
          <w:bCs w:val="0"/>
        </w:rPr>
      </w:r>
      <w:r>
        <w:rPr>
          <w:rFonts w:ascii="Times New Roman" w:hAnsi="Times New Roman" w:cs="Times New Roman" w:eastAsia="Times New Roman" w:hint="default"/>
        </w:rPr>
        <w:t>26</w:t>
      </w:r>
      <w:r>
        <w:rPr/>
        <w:t>、长期应付款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7524"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37,000,000.00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37,000,000.00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按款项性质列示长期应付款" w:id="306"/>
      <w:bookmarkEnd w:id="306"/>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7524"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长期非金融机构借款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减：一年内到期的长期应付款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37,000,000.00</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专项应付款" w:id="307"/>
      <w:bookmarkEnd w:id="307"/>
      <w:r>
        <w:rPr>
          <w:b w:val="0"/>
          <w:bCs w:val="0"/>
        </w:rPr>
      </w:r>
      <w:r>
        <w:rPr/>
        <w:t>（</w:t>
      </w:r>
      <w:r>
        <w:rPr>
          <w:rFonts w:ascii="Times New Roman" w:hAnsi="Times New Roman" w:cs="Times New Roman" w:eastAsia="Times New Roman" w:hint="default"/>
        </w:rPr>
        <w:t>2</w:t>
      </w:r>
      <w:r>
        <w:rPr/>
        <w:t>）专项应付款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7524" w:right="1130"/>
        <w:jc w:val="right"/>
      </w:pPr>
      <w:r>
        <w:rPr/>
        <w:t>单位：人民币元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52"/>
        <w:ind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27、递延收益" w:id="308"/>
      <w:bookmarkEnd w:id="308"/>
      <w:r>
        <w:rPr>
          <w:b w:val="0"/>
          <w:bCs w:val="0"/>
        </w:rPr>
      </w:r>
      <w:r>
        <w:rPr>
          <w:rFonts w:ascii="Times New Roman" w:hAnsi="Times New Roman" w:cs="Times New Roman" w:eastAsia="Times New Roman" w:hint="default"/>
        </w:rPr>
        <w:t>27</w:t>
      </w:r>
      <w:r>
        <w:rPr/>
        <w:t>、递延收益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7524"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27,871,569.02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1,798,031.64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26,283,537.38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详见下表及说明</w:t>
            </w:r>
          </w:p>
        </w:tc>
      </w:tr>
      <w:tr>
        <w:trPr>
          <w:trHeight w:val="403"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27,871,569.02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1,798,031.64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26,283,537.38</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涉及政府补助的项目：</w:t>
      </w:r>
    </w:p>
    <w:p>
      <w:pPr>
        <w:pStyle w:val="BodyText"/>
        <w:spacing w:line="240" w:lineRule="auto" w:before="116"/>
        <w:ind w:left="7524"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66"/>
              <w:jc w:val="right"/>
              <w:rPr>
                <w:rFonts w:ascii="宋体" w:hAnsi="宋体" w:cs="宋体" w:eastAsia="宋体" w:hint="default"/>
                <w:sz w:val="18"/>
                <w:szCs w:val="18"/>
              </w:rPr>
            </w:pPr>
            <w:r>
              <w:rPr>
                <w:rFonts w:ascii="宋体" w:hAnsi="宋体" w:cs="宋体" w:eastAsia="宋体" w:hint="default"/>
                <w:sz w:val="18"/>
                <w:szCs w:val="18"/>
              </w:rPr>
              <w:t>负债项目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6" w:right="74"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6"/>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96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Times New Roman" w:hAnsi="Times New Roman" w:cs="Times New Roman" w:eastAsia="Times New Roman" w:hint="default"/>
                <w:sz w:val="18"/>
                <w:szCs w:val="18"/>
              </w:rPr>
            </w:pPr>
            <w:r>
              <w:rPr>
                <w:rFonts w:ascii="宋体" w:hAnsi="宋体" w:cs="宋体" w:eastAsia="宋体" w:hint="default"/>
                <w:spacing w:val="-13"/>
                <w:sz w:val="18"/>
                <w:szCs w:val="18"/>
              </w:rPr>
              <w:t>轨道交通（高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3"/>
                <w:sz w:val="18"/>
                <w:szCs w:val="18"/>
              </w:rPr>
              <w:t>铁）信号可靠</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性供电保障 系统关键技 术的开发及 产业化</w:t>
            </w:r>
            <w:r>
              <w:rPr>
                <w:rFonts w:ascii="Times New Roman" w:hAnsi="Times New Roman" w:cs="Times New Roman" w:eastAsia="Times New Roman" w:hint="default"/>
                <w:sz w:val="18"/>
                <w:szCs w:val="18"/>
              </w:rPr>
              <w:t>*1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Times New Roman" w:hAnsi="Times New Roman" w:cs="Times New Roman" w:eastAsia="Times New Roman" w:hint="default"/>
                <w:sz w:val="18"/>
                <w:szCs w:val="18"/>
              </w:rPr>
            </w:pPr>
            <w:r>
              <w:rPr>
                <w:rFonts w:ascii="宋体" w:hAnsi="宋体" w:cs="宋体" w:eastAsia="宋体" w:hint="default"/>
                <w:sz w:val="18"/>
                <w:szCs w:val="18"/>
              </w:rPr>
              <w:t>高效节能数 字式软启动 装置产业化 项目</w:t>
            </w:r>
            <w:r>
              <w:rPr>
                <w:rFonts w:ascii="Times New Roman" w:hAnsi="Times New Roman" w:cs="Times New Roman" w:eastAsia="Times New Roman" w:hint="default"/>
                <w:sz w:val="18"/>
                <w:szCs w:val="18"/>
              </w:rPr>
              <w:t>*2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7,000,000.03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5,999,999.95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Times New Roman" w:hAnsi="Times New Roman" w:cs="Times New Roman" w:eastAsia="Times New Roman" w:hint="default"/>
                <w:sz w:val="18"/>
                <w:szCs w:val="18"/>
              </w:rPr>
            </w:pPr>
            <w:r>
              <w:rPr>
                <w:rFonts w:ascii="宋体" w:hAnsi="宋体" w:cs="宋体" w:eastAsia="宋体" w:hint="default"/>
                <w:sz w:val="18"/>
                <w:szCs w:val="18"/>
              </w:rPr>
              <w:t>重点实验室 建设专项资 金</w:t>
            </w:r>
            <w:r>
              <w:rPr>
                <w:rFonts w:ascii="Times New Roman" w:hAnsi="Times New Roman" w:cs="Times New Roman" w:eastAsia="Times New Roman" w:hint="default"/>
                <w:sz w:val="18"/>
                <w:szCs w:val="18"/>
              </w:rPr>
              <w:t>*3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1,017,330.83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67,909.80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949,421.03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left"/>
              <w:rPr>
                <w:rFonts w:ascii="Times New Roman" w:hAnsi="Times New Roman" w:cs="Times New Roman" w:eastAsia="Times New Roman" w:hint="default"/>
                <w:sz w:val="18"/>
                <w:szCs w:val="18"/>
              </w:rPr>
            </w:pPr>
            <w:r>
              <w:rPr>
                <w:rFonts w:ascii="宋体" w:hAnsi="宋体" w:cs="宋体" w:eastAsia="宋体" w:hint="default"/>
                <w:sz w:val="18"/>
                <w:szCs w:val="18"/>
              </w:rPr>
              <w:t>多层厂房奖 励资金</w:t>
            </w:r>
            <w:r>
              <w:rPr>
                <w:rFonts w:ascii="Times New Roman" w:hAnsi="Times New Roman" w:cs="Times New Roman" w:eastAsia="Times New Roman" w:hint="default"/>
                <w:sz w:val="18"/>
                <w:szCs w:val="18"/>
              </w:rPr>
              <w:t>*4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4,975,387.02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370,836.24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4,604,550.78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129"/>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AXQ4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系列 双电源自动 转换开关项 目</w:t>
            </w:r>
            <w:r>
              <w:rPr>
                <w:rFonts w:ascii="Times New Roman" w:hAnsi="Times New Roman" w:cs="Times New Roman" w:eastAsia="Times New Roman" w:hint="default"/>
                <w:sz w:val="18"/>
                <w:szCs w:val="18"/>
              </w:rPr>
              <w:t>*5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298,157.90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94,765.56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203,392.34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DPX100P</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综</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合保护单元</w:t>
            </w:r>
          </w:p>
          <w:p>
            <w:pPr>
              <w:pStyle w:val="TableParagraph"/>
              <w:spacing w:line="240" w:lineRule="auto" w:before="117"/>
              <w:ind w:left="22" w:right="0"/>
              <w:jc w:val="left"/>
              <w:rPr>
                <w:rFonts w:ascii="Times New Roman" w:hAnsi="Times New Roman" w:cs="Times New Roman" w:eastAsia="Times New Roman" w:hint="default"/>
                <w:sz w:val="18"/>
                <w:szCs w:val="18"/>
              </w:rPr>
            </w:pPr>
            <w:r>
              <w:rPr>
                <w:rFonts w:ascii="Times New Roman"/>
                <w:sz w:val="18"/>
              </w:rPr>
              <w:t>*6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129,411.86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20,168.04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109,243.82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96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98"/>
              <w:jc w:val="both"/>
              <w:rPr>
                <w:rFonts w:ascii="Times New Roman" w:hAnsi="Times New Roman" w:cs="Times New Roman" w:eastAsia="Times New Roman" w:hint="default"/>
                <w:sz w:val="18"/>
                <w:szCs w:val="18"/>
              </w:rPr>
            </w:pPr>
            <w:r>
              <w:rPr>
                <w:rFonts w:ascii="宋体" w:hAnsi="宋体" w:cs="宋体" w:eastAsia="宋体" w:hint="default"/>
                <w:sz w:val="18"/>
                <w:szCs w:val="18"/>
              </w:rPr>
              <w:t>安徽省电器 设备电磁兼 容（</w:t>
            </w:r>
            <w:r>
              <w:rPr>
                <w:rFonts w:ascii="Times New Roman" w:hAnsi="Times New Roman" w:cs="Times New Roman" w:eastAsia="Times New Roman" w:hint="default"/>
                <w:sz w:val="18"/>
                <w:szCs w:val="18"/>
              </w:rPr>
              <w:t>EMC</w:t>
            </w:r>
            <w:r>
              <w:rPr>
                <w:rFonts w:ascii="宋体" w:hAnsi="宋体" w:cs="宋体" w:eastAsia="宋体" w:hint="default"/>
                <w:sz w:val="18"/>
                <w:szCs w:val="18"/>
              </w:rPr>
              <w:t>） 省级实验室 绩效考核补 助</w:t>
            </w:r>
            <w:r>
              <w:rPr>
                <w:rFonts w:ascii="Times New Roman" w:hAnsi="Times New Roman" w:cs="Times New Roman" w:eastAsia="Times New Roman" w:hint="default"/>
                <w:sz w:val="18"/>
                <w:szCs w:val="18"/>
              </w:rPr>
              <w:t>*7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749,768.00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14,352.00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735,416.00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29"/>
              <w:jc w:val="right"/>
              <w:rPr>
                <w:rFonts w:ascii="宋体" w:hAnsi="宋体" w:cs="宋体" w:eastAsia="宋体" w:hint="default"/>
                <w:sz w:val="18"/>
                <w:szCs w:val="18"/>
              </w:rPr>
            </w:pPr>
            <w:r>
              <w:rPr>
                <w:rFonts w:ascii="宋体" w:hAnsi="宋体" w:cs="宋体" w:eastAsia="宋体" w:hint="default"/>
                <w:sz w:val="18"/>
                <w:szCs w:val="18"/>
              </w:rPr>
              <w:t>中低压电能</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650,919.62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69,999.96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580,919.66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129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9"/>
              <w:jc w:val="both"/>
              <w:rPr>
                <w:rFonts w:ascii="Times New Roman" w:hAnsi="Times New Roman" w:cs="Times New Roman" w:eastAsia="Times New Roman" w:hint="default"/>
                <w:sz w:val="18"/>
                <w:szCs w:val="18"/>
              </w:rPr>
            </w:pPr>
            <w:r>
              <w:rPr>
                <w:rFonts w:ascii="宋体" w:hAnsi="宋体" w:cs="宋体" w:eastAsia="宋体" w:hint="default"/>
                <w:sz w:val="18"/>
                <w:szCs w:val="18"/>
              </w:rPr>
              <w:t>质量综合治 理装置产业 化关键技术 研究</w:t>
            </w:r>
            <w:r>
              <w:rPr>
                <w:rFonts w:ascii="Times New Roman" w:hAnsi="Times New Roman" w:cs="Times New Roman" w:eastAsia="Times New Roman" w:hint="default"/>
                <w:sz w:val="18"/>
                <w:szCs w:val="18"/>
              </w:rPr>
              <w:t>*8</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Times New Roman" w:hAnsi="Times New Roman" w:cs="Times New Roman" w:eastAsia="Times New Roman" w:hint="default"/>
                <w:sz w:val="18"/>
                <w:szCs w:val="18"/>
              </w:rPr>
            </w:pPr>
            <w:r>
              <w:rPr>
                <w:rFonts w:ascii="宋体" w:hAnsi="宋体" w:cs="宋体" w:eastAsia="宋体" w:hint="default"/>
                <w:sz w:val="18"/>
                <w:szCs w:val="18"/>
              </w:rPr>
              <w:t>自主创新能 力建设补助 项目</w:t>
            </w:r>
            <w:r>
              <w:rPr>
                <w:rFonts w:ascii="Times New Roman" w:hAnsi="Times New Roman" w:cs="Times New Roman" w:eastAsia="Times New Roman" w:hint="default"/>
                <w:sz w:val="18"/>
                <w:szCs w:val="18"/>
              </w:rPr>
              <w:t>*9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285,000.00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8"/>
              <w:jc w:val="both"/>
              <w:rPr>
                <w:rFonts w:ascii="Times New Roman" w:hAnsi="Times New Roman" w:cs="Times New Roman" w:eastAsia="Times New Roman" w:hint="default"/>
                <w:sz w:val="18"/>
                <w:szCs w:val="18"/>
              </w:rPr>
            </w:pPr>
            <w:r>
              <w:rPr>
                <w:rFonts w:ascii="宋体" w:hAnsi="宋体" w:cs="宋体" w:eastAsia="宋体" w:hint="default"/>
                <w:sz w:val="18"/>
                <w:szCs w:val="18"/>
              </w:rPr>
              <w:t>国家重点新 产品研发后 补助项目</w:t>
            </w:r>
            <w:r>
              <w:rPr>
                <w:rFonts w:ascii="Times New Roman" w:hAnsi="Times New Roman" w:cs="Times New Roman" w:eastAsia="Times New Roman" w:hint="default"/>
                <w:sz w:val="18"/>
                <w:szCs w:val="18"/>
              </w:rPr>
              <w:t>*10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47"/>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年省高 技术产业化 专项省统筹 投资计划</w:t>
            </w:r>
            <w:r>
              <w:rPr>
                <w:rFonts w:ascii="Times New Roman" w:hAnsi="Times New Roman" w:cs="Times New Roman" w:eastAsia="Times New Roman" w:hint="default"/>
                <w:sz w:val="18"/>
                <w:szCs w:val="18"/>
              </w:rPr>
              <w:t>*11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630,000.00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90,000.00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540,000.00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Times New Roman" w:hAnsi="Times New Roman" w:cs="Times New Roman" w:eastAsia="Times New Roman" w:hint="default"/>
                <w:sz w:val="18"/>
                <w:szCs w:val="18"/>
              </w:rPr>
            </w:pPr>
            <w:r>
              <w:rPr>
                <w:rFonts w:ascii="宋体" w:hAnsi="宋体" w:cs="宋体" w:eastAsia="宋体" w:hint="default"/>
                <w:sz w:val="18"/>
                <w:szCs w:val="18"/>
              </w:rPr>
              <w:t>智能型高分 断低压断路 器生产线建 设项目</w:t>
            </w:r>
            <w:r>
              <w:rPr>
                <w:rFonts w:ascii="Times New Roman" w:hAnsi="Times New Roman" w:cs="Times New Roman" w:eastAsia="Times New Roman" w:hint="default"/>
                <w:sz w:val="18"/>
                <w:szCs w:val="18"/>
              </w:rPr>
              <w:t>*12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519,166.76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69,999.96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449,166.80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Times New Roman" w:hAnsi="Times New Roman" w:cs="Times New Roman" w:eastAsia="Times New Roman" w:hint="default"/>
                <w:sz w:val="18"/>
                <w:szCs w:val="18"/>
              </w:rPr>
            </w:pPr>
            <w:r>
              <w:rPr>
                <w:rFonts w:ascii="宋体" w:hAnsi="宋体" w:cs="宋体" w:eastAsia="宋体" w:hint="default"/>
                <w:sz w:val="18"/>
                <w:szCs w:val="18"/>
              </w:rPr>
              <w:t>户用光伏发 电智能控制 模块集成技 术</w:t>
            </w:r>
            <w:r>
              <w:rPr>
                <w:rFonts w:ascii="Times New Roman" w:hAnsi="Times New Roman" w:cs="Times New Roman" w:eastAsia="Times New Roman" w:hint="default"/>
                <w:sz w:val="18"/>
                <w:szCs w:val="18"/>
              </w:rPr>
              <w:t>*13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820,000.00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820,000.00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8"/>
              <w:jc w:val="both"/>
              <w:rPr>
                <w:rFonts w:ascii="Times New Roman" w:hAnsi="Times New Roman" w:cs="Times New Roman" w:eastAsia="Times New Roman" w:hint="default"/>
                <w:sz w:val="18"/>
                <w:szCs w:val="18"/>
              </w:rPr>
            </w:pPr>
            <w:r>
              <w:rPr>
                <w:rFonts w:ascii="宋体" w:hAnsi="宋体" w:cs="宋体" w:eastAsia="宋体" w:hint="default"/>
                <w:sz w:val="18"/>
                <w:szCs w:val="18"/>
              </w:rPr>
              <w:t>智能化电力 供配电微机 综合保护装 置生产线</w:t>
            </w:r>
            <w:r>
              <w:rPr>
                <w:rFonts w:ascii="Times New Roman" w:hAnsi="Times New Roman" w:cs="Times New Roman" w:eastAsia="Times New Roman" w:hint="default"/>
                <w:sz w:val="18"/>
                <w:szCs w:val="18"/>
              </w:rPr>
              <w:t>*14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450,000.00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450,000.00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left"/>
              <w:rPr>
                <w:rFonts w:ascii="Times New Roman" w:hAnsi="Times New Roman" w:cs="Times New Roman" w:eastAsia="Times New Roman" w:hint="default"/>
                <w:sz w:val="18"/>
                <w:szCs w:val="18"/>
              </w:rPr>
            </w:pPr>
            <w:r>
              <w:rPr>
                <w:rFonts w:ascii="宋体" w:hAnsi="宋体" w:cs="宋体" w:eastAsia="宋体" w:hint="default"/>
                <w:sz w:val="18"/>
                <w:szCs w:val="18"/>
              </w:rPr>
              <w:t>企业发展专 项资金</w:t>
            </w:r>
            <w:r>
              <w:rPr>
                <w:rFonts w:ascii="Times New Roman" w:hAnsi="Times New Roman" w:cs="Times New Roman" w:eastAsia="Times New Roman" w:hint="default"/>
                <w:sz w:val="18"/>
                <w:szCs w:val="18"/>
              </w:rPr>
              <w:t>*15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省创新型省 份建设资金</w:t>
            </w:r>
          </w:p>
          <w:p>
            <w:pPr>
              <w:pStyle w:val="TableParagraph"/>
              <w:spacing w:line="240" w:lineRule="auto" w:before="60"/>
              <w:ind w:left="22" w:right="0"/>
              <w:jc w:val="left"/>
              <w:rPr>
                <w:rFonts w:ascii="Times New Roman" w:hAnsi="Times New Roman" w:cs="Times New Roman" w:eastAsia="Times New Roman" w:hint="default"/>
                <w:sz w:val="18"/>
                <w:szCs w:val="18"/>
              </w:rPr>
            </w:pPr>
            <w:r>
              <w:rPr>
                <w:rFonts w:ascii="Times New Roman"/>
                <w:sz w:val="18"/>
              </w:rPr>
              <w:t>*16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2,773,000.00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2,773,000.00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Times New Roman" w:hAnsi="Times New Roman" w:cs="Times New Roman" w:eastAsia="Times New Roman" w:hint="default"/>
                <w:sz w:val="18"/>
                <w:szCs w:val="18"/>
              </w:rPr>
            </w:pPr>
            <w:r>
              <w:rPr>
                <w:rFonts w:ascii="宋体" w:hAnsi="宋体" w:cs="宋体" w:eastAsia="宋体" w:hint="default"/>
                <w:sz w:val="18"/>
                <w:szCs w:val="18"/>
              </w:rPr>
              <w:t>安徽省科技 攻关计划项 </w:t>
            </w:r>
            <w:r>
              <w:rPr>
                <w:rFonts w:ascii="宋体" w:hAnsi="宋体" w:cs="宋体" w:eastAsia="宋体" w:hint="default"/>
                <w:spacing w:val="-13"/>
                <w:sz w:val="18"/>
                <w:szCs w:val="18"/>
              </w:rPr>
              <w:t>目（省创新项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目）</w:t>
            </w:r>
            <w:r>
              <w:rPr>
                <w:rFonts w:ascii="Times New Roman" w:hAnsi="Times New Roman" w:cs="Times New Roman" w:eastAsia="Times New Roman" w:hint="default"/>
                <w:sz w:val="18"/>
                <w:szCs w:val="18"/>
              </w:rPr>
              <w:t>*17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53,427.00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53,427.00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Times New Roman" w:hAnsi="Times New Roman" w:cs="Times New Roman" w:eastAsia="Times New Roman" w:hint="default"/>
                <w:sz w:val="18"/>
                <w:szCs w:val="18"/>
              </w:rPr>
            </w:pPr>
            <w:r>
              <w:rPr>
                <w:rFonts w:ascii="宋体" w:hAnsi="宋体" w:cs="宋体" w:eastAsia="宋体" w:hint="default"/>
                <w:sz w:val="18"/>
                <w:szCs w:val="18"/>
              </w:rPr>
              <w:t>智能型双向 一体化直流 充电机的研 发</w:t>
            </w:r>
            <w:r>
              <w:rPr>
                <w:rFonts w:ascii="Times New Roman" w:hAnsi="Times New Roman" w:cs="Times New Roman" w:eastAsia="Times New Roman" w:hint="default"/>
                <w:sz w:val="18"/>
                <w:szCs w:val="18"/>
              </w:rPr>
              <w:t>*18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420,000.00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420,000.00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67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基于能源物 联网微网监</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210,000.00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98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9"/>
              <w:jc w:val="both"/>
              <w:rPr>
                <w:rFonts w:ascii="Times New Roman" w:hAnsi="Times New Roman" w:cs="Times New Roman" w:eastAsia="Times New Roman" w:hint="default"/>
                <w:sz w:val="18"/>
                <w:szCs w:val="18"/>
              </w:rPr>
            </w:pPr>
            <w:r>
              <w:rPr>
                <w:rFonts w:ascii="宋体" w:hAnsi="宋体" w:cs="宋体" w:eastAsia="宋体" w:hint="default"/>
                <w:sz w:val="18"/>
                <w:szCs w:val="18"/>
              </w:rPr>
              <w:t>控智能远程 运维系统平 台</w:t>
            </w:r>
            <w:r>
              <w:rPr>
                <w:rFonts w:ascii="Times New Roman" w:hAnsi="Times New Roman" w:cs="Times New Roman" w:eastAsia="Times New Roman" w:hint="default"/>
                <w:sz w:val="18"/>
                <w:szCs w:val="18"/>
              </w:rPr>
              <w:t>*19</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27,871,569.0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210,000.00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1,798,031.64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26,283,537.3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pStyle w:val="BodyText"/>
        <w:spacing w:line="300" w:lineRule="auto" w:before="116"/>
        <w:ind w:right="1131" w:firstLine="363"/>
        <w:jc w:val="both"/>
      </w:pPr>
      <w:r>
        <w:rPr>
          <w:rFonts w:ascii="Times New Roman" w:hAnsi="Times New Roman" w:cs="Times New Roman" w:eastAsia="Times New Roman" w:hint="default"/>
        </w:rPr>
        <w:t>1.</w:t>
      </w:r>
      <w:r>
        <w:rPr/>
        <w:t>根据安徽省财政厅颁布的皖创新办【</w:t>
      </w:r>
      <w:r>
        <w:rPr>
          <w:rFonts w:ascii="Times New Roman" w:hAnsi="Times New Roman" w:cs="Times New Roman" w:eastAsia="Times New Roman" w:hint="default"/>
        </w:rPr>
        <w:t>2013</w:t>
      </w:r>
      <w:r>
        <w:rPr/>
        <w:t>】</w:t>
      </w:r>
      <w:r>
        <w:rPr>
          <w:rFonts w:ascii="Times New Roman" w:hAnsi="Times New Roman" w:cs="Times New Roman" w:eastAsia="Times New Roman" w:hint="default"/>
        </w:rPr>
        <w:t>5 </w:t>
      </w:r>
      <w:r>
        <w:rPr/>
        <w:t>号文件《关于下达</w:t>
      </w:r>
      <w:r>
        <w:rPr>
          <w:spacing w:val="33"/>
        </w:rPr>
        <w:t> </w:t>
      </w:r>
      <w:r>
        <w:rPr>
          <w:rFonts w:ascii="Times New Roman" w:hAnsi="Times New Roman" w:cs="Times New Roman" w:eastAsia="Times New Roman" w:hint="default"/>
        </w:rPr>
        <w:t>2013</w:t>
      </w:r>
      <w:r>
        <w:rPr/>
        <w:t>年国家技术创新工程试点省和合芜蚌自主创新 综合试验区专项资金项目计划的通知》，公司于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9</w:t>
      </w:r>
      <w:r>
        <w:rPr/>
        <w:t>月收到政府补助</w:t>
      </w:r>
      <w:r>
        <w:rPr>
          <w:spacing w:val="29"/>
        </w:rPr>
        <w:t> </w:t>
      </w:r>
      <w:r>
        <w:rPr>
          <w:rFonts w:ascii="Times New Roman" w:hAnsi="Times New Roman" w:cs="Times New Roman" w:eastAsia="Times New Roman" w:hint="default"/>
        </w:rPr>
        <w:t>5,000,000.00</w:t>
      </w:r>
      <w:r>
        <w:rPr/>
        <w:t>元，待项目完工后按照资产的使用年</w:t>
      </w:r>
      <w:r>
        <w:rPr>
          <w:spacing w:val="-79"/>
        </w:rPr>
        <w:t> </w:t>
      </w:r>
      <w:r>
        <w:rPr>
          <w:spacing w:val="-79"/>
        </w:rPr>
      </w:r>
      <w:r>
        <w:rPr/>
        <w:t>限分期转入政府补助。</w:t>
      </w:r>
    </w:p>
    <w:p>
      <w:pPr>
        <w:pStyle w:val="BodyText"/>
        <w:spacing w:line="300" w:lineRule="auto" w:before="31"/>
        <w:ind w:right="1130" w:firstLine="363"/>
        <w:jc w:val="both"/>
      </w:pPr>
      <w:r>
        <w:rPr>
          <w:rFonts w:ascii="Times New Roman" w:hAnsi="Times New Roman" w:cs="Times New Roman" w:eastAsia="Times New Roman" w:hint="default"/>
        </w:rPr>
        <w:t>2.</w:t>
      </w:r>
      <w:r>
        <w:rPr/>
        <w:t>根据国家发展和改革委员会办公厅颁布的发改办环资【</w:t>
      </w:r>
      <w:r>
        <w:rPr>
          <w:rFonts w:ascii="Times New Roman" w:hAnsi="Times New Roman" w:cs="Times New Roman" w:eastAsia="Times New Roman" w:hint="default"/>
        </w:rPr>
        <w:t>2013</w:t>
      </w:r>
      <w:r>
        <w:rPr/>
        <w:t>】</w:t>
      </w:r>
      <w:r>
        <w:rPr>
          <w:rFonts w:ascii="Times New Roman" w:hAnsi="Times New Roman" w:cs="Times New Roman" w:eastAsia="Times New Roman" w:hint="default"/>
        </w:rPr>
        <w:t>103</w:t>
      </w:r>
      <w:r>
        <w:rPr/>
        <w:t>号文件《关于</w:t>
      </w:r>
      <w:r>
        <w:rPr>
          <w:rFonts w:ascii="Times New Roman" w:hAnsi="Times New Roman" w:cs="Times New Roman" w:eastAsia="Times New Roman" w:hint="default"/>
        </w:rPr>
        <w:t>2013</w:t>
      </w:r>
      <w:r>
        <w:rPr/>
        <w:t>年第四批资源节约和环境保护项 </w:t>
      </w:r>
      <w:r>
        <w:rPr>
          <w:spacing w:val="-2"/>
        </w:rPr>
        <w:t>目的复函》，公司于</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10</w:t>
      </w:r>
      <w:r>
        <w:rPr>
          <w:spacing w:val="-2"/>
        </w:rPr>
        <w:t>月收到政府补助</w:t>
      </w:r>
      <w:r>
        <w:rPr/>
        <w:t> </w:t>
      </w:r>
      <w:r>
        <w:rPr>
          <w:rFonts w:ascii="Times New Roman" w:hAnsi="Times New Roman" w:cs="Times New Roman" w:eastAsia="Times New Roman" w:hint="default"/>
          <w:spacing w:val="-1"/>
        </w:rPr>
        <w:t>9,000,000.00</w:t>
      </w:r>
      <w:r>
        <w:rPr>
          <w:spacing w:val="-1"/>
        </w:rPr>
        <w:t>元，</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10</w:t>
      </w:r>
      <w:r>
        <w:rPr>
          <w:spacing w:val="-1"/>
        </w:rPr>
        <w:t>月收到政府补助</w:t>
      </w:r>
      <w:r>
        <w:rPr>
          <w:rFonts w:ascii="Times New Roman" w:hAnsi="Times New Roman" w:cs="Times New Roman" w:eastAsia="Times New Roman" w:hint="default"/>
          <w:spacing w:val="-1"/>
        </w:rPr>
        <w:t>1,000,000.00</w:t>
      </w:r>
      <w:r>
        <w:rPr>
          <w:spacing w:val="-1"/>
        </w:rPr>
        <w:t>元，本期完工并投入运</w:t>
      </w:r>
      <w:r>
        <w:rPr>
          <w:spacing w:val="-83"/>
        </w:rPr>
        <w:t> </w:t>
      </w:r>
      <w:r>
        <w:rPr>
          <w:spacing w:val="-83"/>
        </w:rPr>
      </w:r>
      <w:r>
        <w:rPr/>
        <w:t>行，本期摊销转入其他收益</w:t>
      </w:r>
      <w:r>
        <w:rPr>
          <w:rFonts w:ascii="Times New Roman" w:hAnsi="Times New Roman" w:cs="Times New Roman" w:eastAsia="Times New Roman" w:hint="default"/>
        </w:rPr>
        <w:t>1,000,000.08</w:t>
      </w:r>
      <w:r>
        <w:rPr/>
        <w:t>元。</w:t>
      </w:r>
    </w:p>
    <w:p>
      <w:pPr>
        <w:pStyle w:val="BodyText"/>
        <w:spacing w:line="300" w:lineRule="auto" w:before="13"/>
        <w:ind w:right="1130" w:firstLine="363"/>
        <w:jc w:val="both"/>
      </w:pPr>
      <w:r>
        <w:rPr>
          <w:rFonts w:ascii="Times New Roman" w:hAnsi="Times New Roman" w:cs="Times New Roman" w:eastAsia="Times New Roman" w:hint="default"/>
        </w:rPr>
        <w:t>3. </w:t>
      </w:r>
      <w:r>
        <w:rPr>
          <w:spacing w:val="-5"/>
        </w:rPr>
        <w:t>根据安徽省财政厅颁布的财教【</w:t>
      </w:r>
      <w:r>
        <w:rPr>
          <w:rFonts w:ascii="Times New Roman" w:hAnsi="Times New Roman" w:cs="Times New Roman" w:eastAsia="Times New Roman" w:hint="default"/>
          <w:spacing w:val="-5"/>
        </w:rPr>
        <w:t>2013</w:t>
      </w:r>
      <w:r>
        <w:rPr>
          <w:spacing w:val="-5"/>
        </w:rPr>
        <w:t>】</w:t>
      </w:r>
      <w:r>
        <w:rPr>
          <w:rFonts w:ascii="Times New Roman" w:hAnsi="Times New Roman" w:cs="Times New Roman" w:eastAsia="Times New Roman" w:hint="default"/>
          <w:spacing w:val="-5"/>
        </w:rPr>
        <w:t>1197 </w:t>
      </w:r>
      <w:r>
        <w:rPr>
          <w:spacing w:val="-7"/>
        </w:rPr>
        <w:t>号文件《关于下达</w:t>
      </w:r>
      <w:r>
        <w:rPr>
          <w:spacing w:val="-24"/>
        </w:rPr>
        <w:t> </w:t>
      </w:r>
      <w:r>
        <w:rPr>
          <w:rFonts w:ascii="Times New Roman" w:hAnsi="Times New Roman" w:cs="Times New Roman" w:eastAsia="Times New Roman" w:hint="default"/>
          <w:spacing w:val="-4"/>
        </w:rPr>
        <w:t>2013</w:t>
      </w:r>
      <w:r>
        <w:rPr>
          <w:spacing w:val="-4"/>
        </w:rPr>
        <w:t>年重点实验室建设专项资金的通知》，公司于</w:t>
      </w:r>
      <w:r>
        <w:rPr>
          <w:rFonts w:ascii="Times New Roman" w:hAnsi="Times New Roman" w:cs="Times New Roman" w:eastAsia="Times New Roman" w:hint="default"/>
          <w:spacing w:val="-4"/>
        </w:rPr>
        <w:t>2013</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12</w:t>
      </w:r>
      <w:r>
        <w:rPr/>
        <w:t>月收到政府补助</w:t>
      </w:r>
      <w:r>
        <w:rPr>
          <w:spacing w:val="37"/>
        </w:rPr>
        <w:t> </w:t>
      </w:r>
      <w:r>
        <w:rPr>
          <w:rFonts w:ascii="Times New Roman" w:hAnsi="Times New Roman" w:cs="Times New Roman" w:eastAsia="Times New Roman" w:hint="default"/>
          <w:spacing w:val="-2"/>
        </w:rPr>
        <w:t>300,000.00</w:t>
      </w:r>
      <w:r>
        <w:rPr>
          <w:spacing w:val="-2"/>
        </w:rPr>
        <w:t>元，</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21</w:t>
      </w:r>
      <w:r>
        <w:rPr>
          <w:spacing w:val="-2"/>
        </w:rPr>
        <w:t>日收到政府补助</w:t>
      </w:r>
      <w:r>
        <w:rPr>
          <w:rFonts w:ascii="Times New Roman" w:hAnsi="Times New Roman" w:cs="Times New Roman" w:eastAsia="Times New Roman" w:hint="default"/>
          <w:spacing w:val="-2"/>
        </w:rPr>
        <w:t>300,000.00</w:t>
      </w:r>
      <w:r>
        <w:rPr>
          <w:spacing w:val="-2"/>
        </w:rPr>
        <w:t>元，</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11</w:t>
      </w:r>
      <w:r>
        <w:rPr>
          <w:spacing w:val="-2"/>
        </w:rPr>
        <w:t>日收到补助</w:t>
      </w:r>
      <w:r>
        <w:rPr>
          <w:rFonts w:ascii="Times New Roman" w:hAnsi="Times New Roman" w:cs="Times New Roman" w:eastAsia="Times New Roman" w:hint="default"/>
          <w:spacing w:val="-2"/>
        </w:rPr>
        <w:t>570,000.00</w:t>
      </w:r>
      <w:r>
        <w:rPr>
          <w:spacing w:val="-2"/>
        </w:rPr>
        <w:t>元。该实</w:t>
      </w:r>
      <w:r>
        <w:rPr>
          <w:spacing w:val="-80"/>
        </w:rPr>
        <w:t> </w:t>
      </w:r>
      <w:r>
        <w:rPr>
          <w:spacing w:val="-80"/>
        </w:rPr>
      </w:r>
      <w:r>
        <w:rPr/>
        <w:t>验室已于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月投入使用，按照此资产的预计剩余可使用年限，本期转入其他收益</w:t>
      </w:r>
      <w:r>
        <w:rPr>
          <w:rFonts w:ascii="Times New Roman" w:hAnsi="Times New Roman" w:cs="Times New Roman" w:eastAsia="Times New Roman" w:hint="default"/>
        </w:rPr>
        <w:t>67,909.80</w:t>
      </w:r>
      <w:r>
        <w:rPr/>
        <w:t>元。</w:t>
      </w:r>
    </w:p>
    <w:p>
      <w:pPr>
        <w:pStyle w:val="BodyText"/>
        <w:spacing w:line="300" w:lineRule="auto" w:before="13"/>
        <w:ind w:right="1028" w:firstLine="363"/>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1"/>
        </w:rPr>
        <w:t> </w:t>
      </w:r>
      <w:r>
        <w:rPr>
          <w:spacing w:val="-4"/>
        </w:rPr>
        <w:t>根据安徽省芜湖市人民政府颁布的芜政【</w:t>
      </w:r>
      <w:r>
        <w:rPr>
          <w:rFonts w:ascii="Times New Roman" w:hAnsi="Times New Roman" w:cs="Times New Roman" w:eastAsia="Times New Roman" w:hint="default"/>
          <w:spacing w:val="-4"/>
        </w:rPr>
        <w:t>2011</w:t>
      </w:r>
      <w:r>
        <w:rPr>
          <w:spacing w:val="-4"/>
        </w:rPr>
        <w:t>】</w:t>
      </w:r>
      <w:r>
        <w:rPr>
          <w:rFonts w:ascii="Times New Roman" w:hAnsi="Times New Roman" w:cs="Times New Roman" w:eastAsia="Times New Roman" w:hint="default"/>
          <w:spacing w:val="-4"/>
        </w:rPr>
        <w:t>59</w:t>
      </w:r>
      <w:r>
        <w:rPr>
          <w:spacing w:val="-4"/>
        </w:rPr>
        <w:t>号文件《关于加快承接产业转移促进工业发展的若干政策的通知》，</w:t>
      </w:r>
      <w:r>
        <w:rPr/>
        <w:t> 公司于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月收到多层厂房建设奖励资金</w:t>
      </w:r>
      <w:r>
        <w:rPr>
          <w:rFonts w:ascii="Times New Roman" w:hAnsi="Times New Roman" w:cs="Times New Roman" w:eastAsia="Times New Roman" w:hint="default"/>
        </w:rPr>
        <w:t>6,489,635.00</w:t>
      </w:r>
      <w:r>
        <w:rPr/>
        <w:t>元，该多层厂房已于 </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月投入使用，按照此资产的预计剩</w:t>
      </w:r>
      <w:r>
        <w:rPr>
          <w:spacing w:val="-48"/>
        </w:rPr>
        <w:t> </w:t>
      </w:r>
      <w:r>
        <w:rPr>
          <w:spacing w:val="-48"/>
        </w:rPr>
      </w:r>
      <w:r>
        <w:rPr/>
        <w:t>余可使用年限，本期转入其他收益</w:t>
      </w:r>
      <w:r>
        <w:rPr>
          <w:rFonts w:ascii="Times New Roman" w:hAnsi="Times New Roman" w:cs="Times New Roman" w:eastAsia="Times New Roman" w:hint="default"/>
        </w:rPr>
        <w:t>370,836.24</w:t>
      </w:r>
      <w:r>
        <w:rPr/>
        <w:t>元。</w:t>
      </w:r>
    </w:p>
    <w:p>
      <w:pPr>
        <w:pStyle w:val="BodyText"/>
        <w:spacing w:line="300" w:lineRule="auto" w:before="13"/>
        <w:ind w:right="1132" w:firstLine="363"/>
        <w:jc w:val="both"/>
      </w:pPr>
      <w:r>
        <w:rPr>
          <w:rFonts w:ascii="Times New Roman" w:hAnsi="Times New Roman" w:cs="Times New Roman" w:eastAsia="Times New Roman" w:hint="default"/>
        </w:rPr>
        <w:t>5</w:t>
      </w:r>
      <w:r>
        <w:rPr/>
        <w:t>．根据公司与芜湖市科学技术局签订的项目任务合同书，公司作为</w:t>
      </w:r>
      <w:r>
        <w:rPr>
          <w:rFonts w:ascii="Times New Roman" w:hAnsi="Times New Roman" w:cs="Times New Roman" w:eastAsia="Times New Roman" w:hint="default"/>
        </w:rPr>
        <w:t>AXQ4</w:t>
      </w:r>
      <w:r>
        <w:rPr/>
        <w:t>系列双电源自动转换开关项目的承担单位， 公司于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6</w:t>
      </w:r>
      <w:r>
        <w:rPr/>
        <w:t>月收到的政府补助</w:t>
      </w:r>
      <w:r>
        <w:rPr>
          <w:rFonts w:ascii="Times New Roman" w:hAnsi="Times New Roman" w:cs="Times New Roman" w:eastAsia="Times New Roman" w:hint="default"/>
        </w:rPr>
        <w:t>140,000.00</w:t>
      </w:r>
      <w:r>
        <w:rPr/>
        <w:t>元于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9</w:t>
      </w:r>
      <w:r>
        <w:rPr/>
        <w:t>号收到政府补助</w:t>
      </w:r>
      <w:r>
        <w:rPr>
          <w:rFonts w:ascii="Times New Roman" w:hAnsi="Times New Roman" w:cs="Times New Roman" w:eastAsia="Times New Roman" w:hint="default"/>
        </w:rPr>
        <w:t>300,000.00</w:t>
      </w:r>
      <w:r>
        <w:rPr/>
        <w:t>元，于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26</w:t>
      </w:r>
      <w:r>
        <w:rPr/>
        <w:t>日收到政府补助</w:t>
      </w:r>
      <w:r>
        <w:rPr>
          <w:spacing w:val="-8"/>
        </w:rPr>
        <w:t> </w:t>
      </w:r>
      <w:r>
        <w:rPr>
          <w:spacing w:val="-8"/>
        </w:rPr>
      </w:r>
      <w:r>
        <w:rPr>
          <w:rFonts w:ascii="Times New Roman" w:hAnsi="Times New Roman" w:cs="Times New Roman" w:eastAsia="Times New Roman" w:hint="default"/>
        </w:rPr>
        <w:t>60,000.00</w:t>
      </w:r>
      <w:r>
        <w:rPr/>
        <w:t>元，该项目设备已于</w:t>
      </w:r>
      <w:r>
        <w:rPr>
          <w:spacing w:val="33"/>
        </w:rPr>
        <w:t> </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12</w:t>
      </w:r>
      <w:r>
        <w:rPr>
          <w:spacing w:val="3"/>
        </w:rPr>
        <w:t>月全部投入使用，按照该批资产的加权平均剩余可使用年限，本期转入其他收益</w:t>
      </w:r>
    </w:p>
    <w:p>
      <w:pPr>
        <w:pStyle w:val="BodyText"/>
        <w:spacing w:line="240" w:lineRule="auto" w:before="13"/>
        <w:ind w:right="0"/>
        <w:jc w:val="left"/>
      </w:pPr>
      <w:r>
        <w:rPr>
          <w:rFonts w:ascii="Times New Roman" w:hAnsi="Times New Roman" w:cs="Times New Roman" w:eastAsia="Times New Roman" w:hint="default"/>
        </w:rPr>
        <w:t>94,765.56</w:t>
      </w:r>
      <w:r>
        <w:rPr/>
        <w:t>元。</w:t>
      </w:r>
    </w:p>
    <w:p>
      <w:pPr>
        <w:pStyle w:val="BodyText"/>
        <w:spacing w:line="300" w:lineRule="auto" w:before="63"/>
        <w:ind w:right="1130" w:firstLine="363"/>
        <w:jc w:val="both"/>
      </w:pPr>
      <w:r>
        <w:rPr>
          <w:rFonts w:ascii="Times New Roman" w:hAnsi="Times New Roman" w:cs="Times New Roman" w:eastAsia="Times New Roman" w:hint="default"/>
        </w:rPr>
        <w:t>6.</w:t>
      </w:r>
      <w:r>
        <w:rPr>
          <w:rFonts w:ascii="Times New Roman" w:hAnsi="Times New Roman" w:cs="Times New Roman" w:eastAsia="Times New Roman" w:hint="default"/>
          <w:spacing w:val="6"/>
        </w:rPr>
        <w:t> </w:t>
      </w:r>
      <w:r>
        <w:rPr/>
        <w:t>根据公司与芜湖市科技局签订的安徽省重点新产品计划绩效合同书，公司于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月收到政府</w:t>
      </w:r>
      <w:r>
        <w:rPr>
          <w:rFonts w:ascii="Times New Roman" w:hAnsi="Times New Roman" w:cs="Times New Roman" w:eastAsia="Times New Roman" w:hint="default"/>
        </w:rPr>
        <w:t>2014</w:t>
      </w:r>
      <w:r>
        <w:rPr/>
        <w:t>年重点新产品补 助资金（</w:t>
      </w:r>
      <w:r>
        <w:rPr>
          <w:spacing w:val="-9"/>
        </w:rPr>
        <w:t> </w:t>
      </w:r>
      <w:r>
        <w:rPr>
          <w:rFonts w:ascii="Times New Roman" w:hAnsi="Times New Roman" w:cs="Times New Roman" w:eastAsia="Times New Roman" w:hint="default"/>
        </w:rPr>
        <w:t>DPX100P</w:t>
      </w:r>
      <w:r>
        <w:rPr/>
        <w:t>综合保护单元项目）</w:t>
      </w:r>
      <w:r>
        <w:rPr>
          <w:rFonts w:ascii="Times New Roman" w:hAnsi="Times New Roman" w:cs="Times New Roman" w:eastAsia="Times New Roman" w:hint="default"/>
        </w:rPr>
        <w:t>200,000.00</w:t>
      </w:r>
      <w:r>
        <w:rPr/>
        <w:t>元用于购置设备，相关设备已于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月投入使用，按照该类设备的预</w:t>
      </w:r>
      <w:r>
        <w:rPr>
          <w:w w:val="99"/>
        </w:rPr>
        <w:t> </w:t>
      </w:r>
      <w:r>
        <w:rPr/>
        <w:t>计剩余可使用年限，本期转入其他收益</w:t>
      </w:r>
      <w:r>
        <w:rPr>
          <w:rFonts w:ascii="Times New Roman" w:hAnsi="Times New Roman" w:cs="Times New Roman" w:eastAsia="Times New Roman" w:hint="default"/>
        </w:rPr>
        <w:t>20,168.04</w:t>
      </w:r>
      <w:r>
        <w:rPr/>
        <w:t>元。</w:t>
      </w:r>
    </w:p>
    <w:p>
      <w:pPr>
        <w:pStyle w:val="BodyText"/>
        <w:spacing w:line="300" w:lineRule="auto" w:before="13"/>
        <w:ind w:right="0" w:firstLine="363"/>
        <w:jc w:val="left"/>
      </w:pPr>
      <w:r>
        <w:rPr>
          <w:rFonts w:ascii="Times New Roman" w:hAnsi="Times New Roman" w:cs="Times New Roman" w:eastAsia="Times New Roman" w:hint="default"/>
        </w:rPr>
        <w:t>7. </w:t>
      </w:r>
      <w:r>
        <w:rPr>
          <w:spacing w:val="-3"/>
        </w:rPr>
        <w:t>根据公司与芜湖市科技局签订的安徽省重点实验室绩效合同，公司于</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7</w:t>
      </w:r>
      <w:r>
        <w:rPr>
          <w:spacing w:val="-3"/>
        </w:rPr>
        <w:t>月收到安徽省电器设备电磁兼容（</w:t>
      </w:r>
      <w:r>
        <w:rPr>
          <w:rFonts w:ascii="Times New Roman" w:hAnsi="Times New Roman" w:cs="Times New Roman" w:eastAsia="Times New Roman" w:hint="default"/>
          <w:spacing w:val="-3"/>
        </w:rPr>
        <w:t>EMC</w:t>
      </w:r>
      <w:r>
        <w:rPr>
          <w:spacing w:val="-3"/>
        </w:rPr>
        <w:t>）</w:t>
      </w:r>
      <w:r>
        <w:rPr/>
        <w:t> </w:t>
      </w:r>
      <w:r>
        <w:rPr>
          <w:spacing w:val="-2"/>
        </w:rPr>
        <w:t>省级实验室绩效考核补助资金</w:t>
      </w:r>
      <w:r>
        <w:rPr>
          <w:rFonts w:ascii="Times New Roman" w:hAnsi="Times New Roman" w:cs="Times New Roman" w:eastAsia="Times New Roman" w:hint="default"/>
          <w:spacing w:val="-2"/>
        </w:rPr>
        <w:t>800,000.00</w:t>
      </w:r>
      <w:r>
        <w:rPr>
          <w:spacing w:val="-2"/>
        </w:rPr>
        <w:t>元用于购置设备，相关设备已于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5</w:t>
      </w:r>
      <w:r>
        <w:rPr>
          <w:spacing w:val="-2"/>
        </w:rPr>
        <w:t>月投入运行，按照该类设备的预计剩余可使</w:t>
      </w:r>
      <w:r>
        <w:rPr>
          <w:spacing w:val="-50"/>
        </w:rPr>
        <w:t> </w:t>
      </w:r>
      <w:r>
        <w:rPr>
          <w:spacing w:val="-50"/>
        </w:rPr>
      </w:r>
      <w:r>
        <w:rPr/>
        <w:t>用年限，本期转入其他收益</w:t>
      </w:r>
      <w:r>
        <w:rPr>
          <w:rFonts w:ascii="Times New Roman" w:hAnsi="Times New Roman" w:cs="Times New Roman" w:eastAsia="Times New Roman" w:hint="default"/>
        </w:rPr>
        <w:t>14,352.00</w:t>
      </w:r>
      <w:r>
        <w:rPr/>
        <w:t>元。</w:t>
      </w:r>
    </w:p>
    <w:p>
      <w:pPr>
        <w:pStyle w:val="BodyText"/>
        <w:spacing w:line="300" w:lineRule="auto" w:before="13"/>
        <w:ind w:right="1129" w:firstLine="363"/>
        <w:jc w:val="both"/>
      </w:pP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根据公司与芜湖市科技局签订的芜湖市科技计划项目合同书，公司于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月收到补助</w:t>
      </w:r>
      <w:r>
        <w:rPr>
          <w:rFonts w:ascii="Times New Roman" w:hAnsi="Times New Roman" w:cs="Times New Roman" w:eastAsia="Times New Roman" w:hint="default"/>
        </w:rPr>
        <w:t>700,000.00</w:t>
      </w:r>
      <w:r>
        <w:rPr/>
        <w:t>元，其中含佑赛 公司</w:t>
      </w:r>
      <w:r>
        <w:rPr>
          <w:rFonts w:ascii="Times New Roman" w:hAnsi="Times New Roman" w:cs="Times New Roman" w:eastAsia="Times New Roman" w:hint="default"/>
        </w:rPr>
        <w:t>30%</w:t>
      </w:r>
      <w:r>
        <w:rPr/>
        <w:t>即</w:t>
      </w:r>
      <w:r>
        <w:rPr>
          <w:rFonts w:ascii="Times New Roman" w:hAnsi="Times New Roman" w:cs="Times New Roman" w:eastAsia="Times New Roman" w:hint="default"/>
        </w:rPr>
        <w:t>210,000.00</w:t>
      </w:r>
      <w:r>
        <w:rPr/>
        <w:t>元，已于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月转给佑赛公司。于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21</w:t>
      </w:r>
      <w:r>
        <w:rPr/>
        <w:t>日收到补贴</w:t>
      </w:r>
      <w:r>
        <w:rPr>
          <w:rFonts w:ascii="Times New Roman" w:hAnsi="Times New Roman" w:cs="Times New Roman" w:eastAsia="Times New Roman" w:hint="default"/>
        </w:rPr>
        <w:t>210,000.00</w:t>
      </w:r>
      <w:r>
        <w:rPr/>
        <w:t>元，相关设备已于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rFonts w:ascii="Times New Roman" w:hAnsi="Times New Roman" w:cs="Times New Roman" w:eastAsia="Times New Roman" w:hint="default"/>
          <w:spacing w:val="18"/>
        </w:rPr>
        <w:t> </w:t>
      </w:r>
      <w:r>
        <w:rPr/>
        <w:t>月投入使用，按照该类设备的预计剩余可使用年限，本期转入其他收益</w:t>
      </w:r>
      <w:r>
        <w:rPr>
          <w:rFonts w:ascii="Times New Roman" w:hAnsi="Times New Roman" w:cs="Times New Roman" w:eastAsia="Times New Roman" w:hint="default"/>
        </w:rPr>
        <w:t>69,999.96</w:t>
      </w:r>
      <w:r>
        <w:rPr/>
        <w:t>元。</w:t>
      </w:r>
    </w:p>
    <w:p>
      <w:pPr>
        <w:pStyle w:val="BodyText"/>
        <w:spacing w:line="300" w:lineRule="auto" w:before="13"/>
        <w:ind w:right="1132" w:firstLine="363"/>
        <w:jc w:val="both"/>
      </w:pPr>
      <w:r>
        <w:rPr>
          <w:rFonts w:ascii="Times New Roman" w:hAnsi="Times New Roman" w:cs="Times New Roman" w:eastAsia="Times New Roman" w:hint="default"/>
        </w:rPr>
        <w:t>9</w:t>
      </w:r>
      <w:r>
        <w:rPr/>
        <w:t>．根据安徽省支持自主创新能力建设实施细则，公司于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月收到自主创新能力建设补助项目</w:t>
      </w:r>
      <w:r>
        <w:rPr>
          <w:rFonts w:ascii="Times New Roman" w:hAnsi="Times New Roman" w:cs="Times New Roman" w:eastAsia="Times New Roman" w:hint="default"/>
        </w:rPr>
        <w:t>(AXQ3</w:t>
      </w:r>
      <w:r>
        <w:rPr/>
        <w:t>自动转换开 关</w:t>
      </w:r>
      <w:r>
        <w:rPr>
          <w:rFonts w:ascii="Times New Roman" w:hAnsi="Times New Roman" w:cs="Times New Roman" w:eastAsia="Times New Roman" w:hint="default"/>
        </w:rPr>
        <w:t>)</w:t>
      </w:r>
      <w:r>
        <w:rPr/>
        <w:t>项目补助资金</w:t>
      </w:r>
      <w:r>
        <w:rPr>
          <w:rFonts w:ascii="Times New Roman" w:hAnsi="Times New Roman" w:cs="Times New Roman" w:eastAsia="Times New Roman" w:hint="default"/>
        </w:rPr>
        <w:t>285,000.00</w:t>
      </w:r>
      <w:r>
        <w:rPr/>
        <w:t>元，待项目完工后按照资产的使用年限分期转入政府补助。</w:t>
      </w:r>
    </w:p>
    <w:p>
      <w:pPr>
        <w:pStyle w:val="BodyText"/>
        <w:spacing w:line="240" w:lineRule="auto" w:before="13"/>
        <w:ind w:left="517" w:right="0"/>
        <w:jc w:val="left"/>
      </w:pPr>
      <w:r>
        <w:rPr>
          <w:rFonts w:ascii="Times New Roman" w:hAnsi="Times New Roman" w:cs="Times New Roman" w:eastAsia="Times New Roman" w:hint="default"/>
          <w:spacing w:val="4"/>
        </w:rPr>
        <w:t>10</w:t>
      </w:r>
      <w:r>
        <w:rPr>
          <w:spacing w:val="4"/>
        </w:rPr>
        <w:t>．根据安徽省国家重点新产品研发后补助实施细则，公司于</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12</w:t>
      </w:r>
      <w:r>
        <w:rPr>
          <w:spacing w:val="4"/>
        </w:rPr>
        <w:t>月收到国家重点新产品研发后补助项目资金</w:t>
      </w:r>
    </w:p>
    <w:p>
      <w:pPr>
        <w:pStyle w:val="BodyText"/>
        <w:spacing w:line="240" w:lineRule="auto" w:before="63"/>
        <w:ind w:right="0"/>
        <w:jc w:val="left"/>
      </w:pPr>
      <w:r>
        <w:rPr>
          <w:rFonts w:ascii="Times New Roman" w:hAnsi="Times New Roman" w:cs="Times New Roman" w:eastAsia="Times New Roman" w:hint="default"/>
        </w:rPr>
        <w:t>1,000,000.00</w:t>
      </w:r>
      <w:r>
        <w:rPr/>
        <w:t>元，待项目完工后按照资产的使用年限分期转入政府补助。</w:t>
      </w:r>
    </w:p>
    <w:p>
      <w:pPr>
        <w:pStyle w:val="BodyText"/>
        <w:spacing w:line="300" w:lineRule="auto" w:before="63"/>
        <w:ind w:right="1130" w:firstLine="363"/>
        <w:jc w:val="both"/>
      </w:pPr>
      <w:r>
        <w:rPr>
          <w:rFonts w:ascii="Times New Roman" w:hAnsi="Times New Roman" w:cs="Times New Roman" w:eastAsia="Times New Roman" w:hint="default"/>
        </w:rPr>
        <w:t>11.</w:t>
      </w:r>
      <w:r>
        <w:rPr>
          <w:rFonts w:ascii="Times New Roman" w:hAnsi="Times New Roman" w:cs="Times New Roman" w:eastAsia="Times New Roman" w:hint="default"/>
          <w:spacing w:val="26"/>
        </w:rPr>
        <w:t> </w:t>
      </w:r>
      <w:r>
        <w:rPr/>
        <w:t>根据安徽省发展和改革委员会文件皖发改投资【</w:t>
      </w:r>
      <w:r>
        <w:rPr>
          <w:rFonts w:ascii="Times New Roman" w:hAnsi="Times New Roman" w:cs="Times New Roman" w:eastAsia="Times New Roman" w:hint="default"/>
        </w:rPr>
        <w:t>2014</w:t>
      </w:r>
      <w:r>
        <w:rPr/>
        <w:t>】</w:t>
      </w:r>
      <w:r>
        <w:rPr>
          <w:rFonts w:ascii="Times New Roman" w:hAnsi="Times New Roman" w:cs="Times New Roman" w:eastAsia="Times New Roman" w:hint="default"/>
        </w:rPr>
        <w:t>316</w:t>
      </w:r>
      <w:r>
        <w:rPr/>
        <w:t>号《</w:t>
      </w:r>
      <w:r>
        <w:rPr>
          <w:rFonts w:ascii="Times New Roman" w:hAnsi="Times New Roman" w:cs="Times New Roman" w:eastAsia="Times New Roman" w:hint="default"/>
        </w:rPr>
        <w:t>2014</w:t>
      </w:r>
      <w:r>
        <w:rPr/>
        <w:t>年省高技术产业化专项省统筹投资计划》，公 </w:t>
      </w:r>
      <w:r>
        <w:rPr>
          <w:spacing w:val="-2"/>
        </w:rPr>
        <w:t>司于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23</w:t>
      </w:r>
      <w:r>
        <w:rPr>
          <w:spacing w:val="-2"/>
        </w:rPr>
        <w:t>日收到智能化电力供配电微机综合保护配置生产线项目专项后补助</w:t>
      </w:r>
      <w:r>
        <w:rPr>
          <w:rFonts w:ascii="Times New Roman" w:hAnsi="Times New Roman" w:cs="Times New Roman" w:eastAsia="Times New Roman" w:hint="default"/>
          <w:spacing w:val="-2"/>
        </w:rPr>
        <w:t>900,000.00</w:t>
      </w:r>
      <w:r>
        <w:rPr>
          <w:spacing w:val="-2"/>
        </w:rPr>
        <w:t>元，该项目已于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11</w:t>
      </w:r>
      <w:r>
        <w:rPr>
          <w:spacing w:val="-2"/>
        </w:rPr>
        <w:t>月投</w:t>
      </w:r>
      <w:r>
        <w:rPr>
          <w:spacing w:val="-42"/>
        </w:rPr>
        <w:t> </w:t>
      </w:r>
      <w:r>
        <w:rPr/>
        <w:t>入使用，本期转入其他收益</w:t>
      </w:r>
      <w:r>
        <w:rPr>
          <w:rFonts w:ascii="Times New Roman" w:hAnsi="Times New Roman" w:cs="Times New Roman" w:eastAsia="Times New Roman" w:hint="default"/>
        </w:rPr>
        <w:t>90,000.00</w:t>
      </w:r>
      <w:r>
        <w:rPr/>
        <w:t>元。</w:t>
      </w:r>
    </w:p>
    <w:p>
      <w:pPr>
        <w:pStyle w:val="BodyText"/>
        <w:spacing w:line="300" w:lineRule="auto" w:before="13"/>
        <w:ind w:right="1132" w:firstLine="363"/>
        <w:jc w:val="both"/>
      </w:pPr>
      <w:r>
        <w:rPr>
          <w:rFonts w:ascii="Times New Roman" w:hAnsi="Times New Roman" w:cs="Times New Roman" w:eastAsia="Times New Roman" w:hint="default"/>
        </w:rPr>
        <w:t>12.</w:t>
      </w:r>
      <w:r>
        <w:rPr>
          <w:rFonts w:ascii="Times New Roman" w:hAnsi="Times New Roman" w:cs="Times New Roman" w:eastAsia="Times New Roman" w:hint="default"/>
          <w:spacing w:val="43"/>
        </w:rPr>
        <w:t> </w:t>
      </w:r>
      <w:r>
        <w:rPr/>
        <w:t>根据安徽省财政厅经济和信息化委员会文件财企【</w:t>
      </w:r>
      <w:r>
        <w:rPr>
          <w:rFonts w:ascii="Times New Roman" w:hAnsi="Times New Roman" w:cs="Times New Roman" w:eastAsia="Times New Roman" w:hint="default"/>
        </w:rPr>
        <w:t>2014</w:t>
      </w:r>
      <w:r>
        <w:rPr/>
        <w:t>】</w:t>
      </w:r>
      <w:r>
        <w:rPr>
          <w:rFonts w:ascii="Times New Roman" w:hAnsi="Times New Roman" w:cs="Times New Roman" w:eastAsia="Times New Roman" w:hint="default"/>
        </w:rPr>
        <w:t>2306</w:t>
      </w:r>
      <w:r>
        <w:rPr/>
        <w:t>号</w:t>
      </w:r>
      <w:r>
        <w:rPr>
          <w:rFonts w:ascii="Times New Roman" w:hAnsi="Times New Roman" w:cs="Times New Roman" w:eastAsia="Times New Roman" w:hint="default"/>
        </w:rPr>
        <w:t>,</w:t>
      </w:r>
      <w:r>
        <w:rPr/>
        <w:t>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月收到政府</w:t>
      </w:r>
      <w:r>
        <w:rPr>
          <w:rFonts w:ascii="Times New Roman" w:hAnsi="Times New Roman" w:cs="Times New Roman" w:eastAsia="Times New Roman" w:hint="default"/>
        </w:rPr>
        <w:t>2014</w:t>
      </w:r>
      <w:r>
        <w:rPr/>
        <w:t>年省企业发展专项 资金第二批项目</w:t>
      </w:r>
      <w:r>
        <w:rPr>
          <w:rFonts w:ascii="Times New Roman" w:hAnsi="Times New Roman" w:cs="Times New Roman" w:eastAsia="Times New Roman" w:hint="default"/>
        </w:rPr>
        <w:t>700,000.00</w:t>
      </w:r>
      <w:r>
        <w:rPr/>
        <w:t>元，相关设备已于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月投入使用，本期转入其他收益</w:t>
      </w:r>
      <w:r>
        <w:rPr>
          <w:rFonts w:ascii="Times New Roman" w:hAnsi="Times New Roman" w:cs="Times New Roman" w:eastAsia="Times New Roman" w:hint="default"/>
        </w:rPr>
        <w:t>69,999.96</w:t>
      </w:r>
      <w:r>
        <w:rPr/>
        <w:t>元。</w:t>
      </w:r>
    </w:p>
    <w:p>
      <w:pPr>
        <w:pStyle w:val="BodyText"/>
        <w:spacing w:line="300" w:lineRule="auto" w:before="13"/>
        <w:ind w:right="1129" w:firstLine="363"/>
        <w:jc w:val="both"/>
      </w:pPr>
      <w:r>
        <w:rPr>
          <w:rFonts w:ascii="Times New Roman" w:hAnsi="Times New Roman" w:cs="Times New Roman" w:eastAsia="Times New Roman" w:hint="default"/>
        </w:rPr>
        <w:t>13.</w:t>
      </w:r>
      <w:r>
        <w:rPr>
          <w:rFonts w:ascii="Times New Roman" w:hAnsi="Times New Roman" w:cs="Times New Roman" w:eastAsia="Times New Roman" w:hint="default"/>
          <w:spacing w:val="37"/>
        </w:rPr>
        <w:t> </w:t>
      </w:r>
      <w:r>
        <w:rPr>
          <w:spacing w:val="4"/>
        </w:rPr>
        <w:t>根据公司与中国建筑设计院有限公司签订的户用光伏发电智能控制模块集成技术研发及示范合作协议书（</w:t>
      </w:r>
      <w:r>
        <w:rPr>
          <w:rFonts w:ascii="Times New Roman" w:hAnsi="Times New Roman" w:cs="Times New Roman" w:eastAsia="Times New Roman" w:hint="default"/>
          <w:spacing w:val="4"/>
        </w:rPr>
        <w:t>863</w:t>
      </w:r>
      <w:r>
        <w:rPr>
          <w:spacing w:val="4"/>
        </w:rPr>
        <w:t>计</w:t>
      </w:r>
      <w:r>
        <w:rPr/>
        <w:t> </w:t>
      </w:r>
      <w:r>
        <w:rPr>
          <w:spacing w:val="-3"/>
        </w:rPr>
        <w:t>划），公司于</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12</w:t>
      </w:r>
      <w:r>
        <w:rPr>
          <w:spacing w:val="-3"/>
        </w:rPr>
        <w:t>月收到补助</w:t>
      </w:r>
      <w:r>
        <w:rPr>
          <w:rFonts w:ascii="Times New Roman" w:hAnsi="Times New Roman" w:cs="Times New Roman" w:eastAsia="Times New Roman" w:hint="default"/>
          <w:spacing w:val="-3"/>
        </w:rPr>
        <w:t>426,400.00</w:t>
      </w:r>
      <w:r>
        <w:rPr>
          <w:spacing w:val="-3"/>
        </w:rPr>
        <w:t>元，于</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30</w:t>
      </w:r>
      <w:r>
        <w:rPr>
          <w:spacing w:val="-3"/>
        </w:rPr>
        <w:t>日收到补助</w:t>
      </w:r>
      <w:r>
        <w:rPr>
          <w:rFonts w:ascii="Times New Roman" w:hAnsi="Times New Roman" w:cs="Times New Roman" w:eastAsia="Times New Roman" w:hint="default"/>
          <w:spacing w:val="-3"/>
        </w:rPr>
        <w:t>244,350.00</w:t>
      </w:r>
      <w:r>
        <w:rPr>
          <w:spacing w:val="-3"/>
        </w:rPr>
        <w:t>元，</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17</w:t>
      </w:r>
      <w:r>
        <w:rPr>
          <w:spacing w:val="-3"/>
        </w:rPr>
        <w:t>日收到补助</w:t>
      </w:r>
      <w:r>
        <w:rPr>
          <w:rFonts w:ascii="Times New Roman" w:hAnsi="Times New Roman" w:cs="Times New Roman" w:eastAsia="Times New Roman" w:hint="default"/>
          <w:spacing w:val="-3"/>
        </w:rPr>
        <w:t>14,9250.00</w:t>
      </w:r>
      <w:r>
        <w:rPr>
          <w:rFonts w:ascii="Times New Roman" w:hAnsi="Times New Roman" w:cs="Times New Roman" w:eastAsia="Times New Roman" w:hint="default"/>
          <w:spacing w:val="18"/>
        </w:rPr>
        <w:t> </w:t>
      </w:r>
      <w:r>
        <w:rPr>
          <w:rFonts w:ascii="Times New Roman" w:hAnsi="Times New Roman" w:cs="Times New Roman" w:eastAsia="Times New Roman" w:hint="default"/>
          <w:spacing w:val="18"/>
        </w:rPr>
      </w:r>
      <w:r>
        <w:rPr/>
        <w:t>元，待项目完工后按照资产的使用年限分期转入政府补助。</w:t>
      </w:r>
    </w:p>
    <w:p>
      <w:pPr>
        <w:pStyle w:val="BodyText"/>
        <w:spacing w:line="240" w:lineRule="auto" w:before="31"/>
        <w:ind w:left="517" w:right="0"/>
        <w:jc w:val="left"/>
      </w:pPr>
      <w:r>
        <w:rPr>
          <w:rFonts w:ascii="Times New Roman" w:hAnsi="Times New Roman" w:cs="Times New Roman" w:eastAsia="Times New Roman" w:hint="default"/>
        </w:rPr>
        <w:t>14. </w:t>
      </w:r>
      <w:r>
        <w:rPr>
          <w:rFonts w:ascii="Times New Roman" w:hAnsi="Times New Roman" w:cs="Times New Roman" w:eastAsia="Times New Roman" w:hint="default"/>
          <w:spacing w:val="39"/>
        </w:rPr>
        <w:t> </w:t>
      </w:r>
      <w:r>
        <w:rPr/>
        <w:t>根据芜政【</w:t>
      </w:r>
      <w:r>
        <w:rPr>
          <w:rFonts w:ascii="Times New Roman" w:hAnsi="Times New Roman" w:cs="Times New Roman" w:eastAsia="Times New Roman" w:hint="default"/>
        </w:rPr>
        <w:t>2013</w:t>
      </w:r>
      <w:r>
        <w:rPr/>
        <w:t>】</w:t>
      </w:r>
      <w:r>
        <w:rPr>
          <w:rFonts w:ascii="Times New Roman" w:hAnsi="Times New Roman" w:cs="Times New Roman" w:eastAsia="Times New Roman" w:hint="default"/>
        </w:rPr>
        <w:t>75</w:t>
      </w:r>
      <w:r>
        <w:rPr/>
        <w:t>号文件第</w:t>
      </w:r>
      <w:r>
        <w:rPr>
          <w:rFonts w:ascii="Times New Roman" w:hAnsi="Times New Roman" w:cs="Times New Roman" w:eastAsia="Times New Roman" w:hint="default"/>
        </w:rPr>
        <w:t>11</w:t>
      </w:r>
      <w:r>
        <w:rPr/>
        <w:t>条，公司于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月收到鸠江区财政局科技奖补高新技术企业认定国家重点新产</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ind w:right="0"/>
        <w:jc w:val="left"/>
      </w:pPr>
      <w:r>
        <w:rPr/>
        <w:t>品（智能化电力供配电微机综合保护装置生产线）</w:t>
      </w:r>
      <w:r>
        <w:rPr>
          <w:rFonts w:ascii="Times New Roman" w:hAnsi="Times New Roman" w:cs="Times New Roman" w:eastAsia="Times New Roman" w:hint="default"/>
        </w:rPr>
        <w:t>450,000.00</w:t>
      </w:r>
      <w:r>
        <w:rPr/>
        <w:t>元，待项目完工后按照资产的使用年限分期转入政府补助。</w:t>
      </w:r>
    </w:p>
    <w:p>
      <w:pPr>
        <w:pStyle w:val="BodyText"/>
        <w:spacing w:line="300" w:lineRule="auto" w:before="63"/>
        <w:ind w:right="1131" w:firstLine="363"/>
        <w:jc w:val="both"/>
      </w:pPr>
      <w:r>
        <w:rPr>
          <w:rFonts w:ascii="Times New Roman" w:hAnsi="Times New Roman" w:cs="Times New Roman" w:eastAsia="Times New Roman" w:hint="default"/>
        </w:rPr>
        <w:t>15.</w:t>
      </w:r>
      <w:r>
        <w:rPr>
          <w:rFonts w:ascii="Times New Roman" w:hAnsi="Times New Roman" w:cs="Times New Roman" w:eastAsia="Times New Roman" w:hint="default"/>
          <w:spacing w:val="4"/>
        </w:rPr>
        <w:t> </w:t>
      </w:r>
      <w:r>
        <w:rPr/>
        <w:t>根据芜湖市人民政府办公室文件芜政办【</w:t>
      </w:r>
      <w:r>
        <w:rPr>
          <w:rFonts w:ascii="Times New Roman" w:hAnsi="Times New Roman" w:cs="Times New Roman" w:eastAsia="Times New Roman" w:hint="default"/>
        </w:rPr>
        <w:t>2015</w:t>
      </w:r>
      <w:r>
        <w:rPr/>
        <w:t>】</w:t>
      </w:r>
      <w:r>
        <w:rPr>
          <w:rFonts w:ascii="Times New Roman" w:hAnsi="Times New Roman" w:cs="Times New Roman" w:eastAsia="Times New Roman" w:hint="default"/>
        </w:rPr>
        <w:t>15</w:t>
      </w:r>
      <w:r>
        <w:rPr/>
        <w:t>号文件，公司于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月收到国家重点新产品研发后补助项目 资金</w:t>
      </w:r>
      <w:r>
        <w:rPr>
          <w:rFonts w:ascii="Times New Roman" w:hAnsi="Times New Roman" w:cs="Times New Roman" w:eastAsia="Times New Roman" w:hint="default"/>
        </w:rPr>
        <w:t>1,100,000.00</w:t>
      </w:r>
      <w:r>
        <w:rPr/>
        <w:t>元，待项目完工后按照资产的使用年限分期转入政府补助。</w:t>
      </w:r>
    </w:p>
    <w:p>
      <w:pPr>
        <w:pStyle w:val="BodyText"/>
        <w:spacing w:line="300" w:lineRule="auto" w:before="13"/>
        <w:ind w:right="1131" w:firstLine="363"/>
        <w:jc w:val="both"/>
      </w:pPr>
      <w:r>
        <w:rPr>
          <w:rFonts w:ascii="Times New Roman" w:hAnsi="Times New Roman" w:cs="Times New Roman" w:eastAsia="Times New Roman" w:hint="default"/>
        </w:rPr>
        <w:t>16.</w:t>
      </w:r>
      <w:r>
        <w:rPr>
          <w:rFonts w:ascii="Times New Roman" w:hAnsi="Times New Roman" w:cs="Times New Roman" w:eastAsia="Times New Roman" w:hint="default"/>
          <w:spacing w:val="29"/>
        </w:rPr>
        <w:t> </w:t>
      </w:r>
      <w:r>
        <w:rPr>
          <w:spacing w:val="-4"/>
        </w:rPr>
        <w:t>根据芜湖市人民政府办公室文件芜政办【</w:t>
      </w:r>
      <w:r>
        <w:rPr>
          <w:rFonts w:ascii="Times New Roman" w:hAnsi="Times New Roman" w:cs="Times New Roman" w:eastAsia="Times New Roman" w:hint="default"/>
          <w:spacing w:val="-4"/>
        </w:rPr>
        <w:t>2015</w:t>
      </w:r>
      <w:r>
        <w:rPr>
          <w:spacing w:val="-4"/>
        </w:rPr>
        <w:t>】</w:t>
      </w:r>
      <w:r>
        <w:rPr>
          <w:rFonts w:ascii="Times New Roman" w:hAnsi="Times New Roman" w:cs="Times New Roman" w:eastAsia="Times New Roman" w:hint="default"/>
          <w:spacing w:val="-4"/>
        </w:rPr>
        <w:t>15</w:t>
      </w:r>
      <w:r>
        <w:rPr>
          <w:spacing w:val="-4"/>
        </w:rPr>
        <w:t>号文件，公司于</w:t>
      </w: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12</w:t>
      </w:r>
      <w:r>
        <w:rPr>
          <w:spacing w:val="-4"/>
        </w:rPr>
        <w:t>月收到省创新型省份建设资金</w:t>
      </w:r>
      <w:r>
        <w:rPr>
          <w:rFonts w:ascii="Times New Roman" w:hAnsi="Times New Roman" w:cs="Times New Roman" w:eastAsia="Times New Roman" w:hint="default"/>
          <w:spacing w:val="-4"/>
        </w:rPr>
        <w:t>1,086,500.00</w:t>
      </w:r>
      <w:r>
        <w:rPr>
          <w:rFonts w:ascii="Times New Roman" w:hAnsi="Times New Roman" w:cs="Times New Roman" w:eastAsia="Times New Roman" w:hint="default"/>
        </w:rPr>
        <w:t> </w:t>
      </w:r>
      <w:r>
        <w:rPr>
          <w:spacing w:val="-2"/>
        </w:rPr>
        <w:t>元，根据安徽省科学技术厅文件科计【</w:t>
      </w:r>
      <w:r>
        <w:rPr>
          <w:rFonts w:ascii="Times New Roman" w:hAnsi="Times New Roman" w:cs="Times New Roman" w:eastAsia="Times New Roman" w:hint="default"/>
          <w:spacing w:val="-2"/>
        </w:rPr>
        <w:t>2015</w:t>
      </w:r>
      <w:r>
        <w:rPr>
          <w:spacing w:val="-2"/>
        </w:rPr>
        <w:t>】</w:t>
      </w:r>
      <w:r>
        <w:rPr>
          <w:rFonts w:ascii="Times New Roman" w:hAnsi="Times New Roman" w:cs="Times New Roman" w:eastAsia="Times New Roman" w:hint="default"/>
          <w:spacing w:val="-2"/>
        </w:rPr>
        <w:t>51</w:t>
      </w:r>
      <w:r>
        <w:rPr>
          <w:spacing w:val="-2"/>
        </w:rPr>
        <w:t>号文件，公司于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月收到国家重点新产品研发后补助资金</w:t>
      </w:r>
      <w:r>
        <w:rPr>
          <w:rFonts w:ascii="Times New Roman" w:hAnsi="Times New Roman" w:cs="Times New Roman" w:eastAsia="Times New Roman" w:hint="default"/>
          <w:spacing w:val="-2"/>
        </w:rPr>
        <w:t>1,000,000.00</w:t>
      </w:r>
      <w:r>
        <w:rPr>
          <w:rFonts w:ascii="Times New Roman" w:hAnsi="Times New Roman" w:cs="Times New Roman" w:eastAsia="Times New Roman" w:hint="default"/>
        </w:rPr>
        <w:t> </w:t>
      </w:r>
      <w:r>
        <w:rPr>
          <w:spacing w:val="-3"/>
        </w:rPr>
        <w:t>元，根据安徽省科学技术厅文件科计【</w:t>
      </w:r>
      <w:r>
        <w:rPr>
          <w:rFonts w:ascii="Times New Roman" w:hAnsi="Times New Roman" w:cs="Times New Roman" w:eastAsia="Times New Roman" w:hint="default"/>
          <w:spacing w:val="-3"/>
        </w:rPr>
        <w:t>2015</w:t>
      </w:r>
      <w:r>
        <w:rPr>
          <w:spacing w:val="-3"/>
        </w:rPr>
        <w:t>】</w:t>
      </w:r>
      <w:r>
        <w:rPr>
          <w:rFonts w:ascii="Times New Roman" w:hAnsi="Times New Roman" w:cs="Times New Roman" w:eastAsia="Times New Roman" w:hint="default"/>
          <w:spacing w:val="-3"/>
        </w:rPr>
        <w:t>51</w:t>
      </w:r>
      <w:r>
        <w:rPr>
          <w:spacing w:val="-3"/>
        </w:rPr>
        <w:t>号文件，公司于</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12</w:t>
      </w:r>
      <w:r>
        <w:rPr>
          <w:spacing w:val="-3"/>
        </w:rPr>
        <w:t>月收到研发购置仪器设备补助</w:t>
      </w:r>
      <w:r>
        <w:rPr>
          <w:rFonts w:ascii="Times New Roman" w:hAnsi="Times New Roman" w:cs="Times New Roman" w:eastAsia="Times New Roman" w:hint="default"/>
          <w:spacing w:val="-3"/>
        </w:rPr>
        <w:t>186,500.00</w:t>
      </w:r>
      <w:r>
        <w:rPr>
          <w:spacing w:val="-3"/>
        </w:rPr>
        <w:t>元，于</w:t>
      </w:r>
      <w:r>
        <w:rPr>
          <w:rFonts w:ascii="Times New Roman" w:hAnsi="Times New Roman" w:cs="Times New Roman" w:eastAsia="Times New Roman" w:hint="default"/>
          <w:spacing w:val="-3"/>
        </w:rPr>
        <w:t>2016</w:t>
      </w:r>
      <w:r>
        <w:rPr>
          <w:rFonts w:ascii="Times New Roman" w:hAnsi="Times New Roman" w:cs="Times New Roman" w:eastAsia="Times New Roman" w:hint="default"/>
          <w:spacing w:val="-17"/>
        </w:rPr>
        <w:t> </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28</w:t>
      </w:r>
      <w:r>
        <w:rPr/>
        <w:t>收到补助</w:t>
      </w:r>
      <w:r>
        <w:rPr>
          <w:rFonts w:ascii="Times New Roman" w:hAnsi="Times New Roman" w:cs="Times New Roman" w:eastAsia="Times New Roman" w:hint="default"/>
        </w:rPr>
        <w:t>500,000.00</w:t>
      </w:r>
      <w:r>
        <w:rPr/>
        <w:t>元，共计</w:t>
      </w:r>
      <w:r>
        <w:rPr>
          <w:rFonts w:ascii="Times New Roman" w:hAnsi="Times New Roman" w:cs="Times New Roman" w:eastAsia="Times New Roman" w:hint="default"/>
        </w:rPr>
        <w:t>2,773,000.00</w:t>
      </w:r>
      <w:r>
        <w:rPr/>
        <w:t>元，待项目完工后按照资产的使用年限分期转入政府补助。</w:t>
      </w:r>
    </w:p>
    <w:p>
      <w:pPr>
        <w:pStyle w:val="BodyText"/>
        <w:spacing w:line="300" w:lineRule="auto" w:before="13"/>
        <w:ind w:right="1130" w:firstLine="363"/>
        <w:jc w:val="both"/>
      </w:pPr>
      <w:r>
        <w:rPr>
          <w:rFonts w:ascii="Times New Roman" w:hAnsi="Times New Roman" w:cs="Times New Roman" w:eastAsia="Times New Roman" w:hint="default"/>
        </w:rPr>
        <w:t>17.</w:t>
      </w:r>
      <w:r>
        <w:rPr>
          <w:rFonts w:ascii="Times New Roman" w:hAnsi="Times New Roman" w:cs="Times New Roman" w:eastAsia="Times New Roman" w:hint="default"/>
          <w:spacing w:val="17"/>
        </w:rPr>
        <w:t> </w:t>
      </w:r>
      <w:r>
        <w:rPr/>
        <w:t>根据公司与芜湖市科技局签订的安徽省科技攻关计划项目合同书，公司作为</w:t>
      </w:r>
      <w:r>
        <w:rPr>
          <w:rFonts w:ascii="Times New Roman" w:hAnsi="Times New Roman" w:cs="Times New Roman" w:eastAsia="Times New Roman" w:hint="default"/>
        </w:rPr>
        <w:t>10KV/5MVar</w:t>
      </w:r>
      <w:r>
        <w:rPr/>
        <w:t>静止同步补偿器开发与研</w:t>
      </w:r>
      <w:r>
        <w:rPr>
          <w:spacing w:val="1"/>
        </w:rPr>
        <w:t> </w:t>
      </w:r>
      <w:r>
        <w:rPr/>
        <w:t>究项目的承担单位，公司于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月收到补助</w:t>
      </w:r>
      <w:r>
        <w:rPr>
          <w:rFonts w:ascii="Times New Roman" w:hAnsi="Times New Roman" w:cs="Times New Roman" w:eastAsia="Times New Roman" w:hint="default"/>
        </w:rPr>
        <w:t>53,427.00</w:t>
      </w:r>
      <w:r>
        <w:rPr/>
        <w:t>元。待项目完工后按资产的使用年限分期转入政府补助。</w:t>
      </w:r>
    </w:p>
    <w:p>
      <w:pPr>
        <w:pStyle w:val="BodyText"/>
        <w:spacing w:line="300" w:lineRule="auto" w:before="13"/>
        <w:ind w:right="1131" w:firstLine="363"/>
        <w:jc w:val="both"/>
      </w:pPr>
      <w:r>
        <w:rPr>
          <w:rFonts w:ascii="Times New Roman" w:hAnsi="Times New Roman" w:cs="Times New Roman" w:eastAsia="Times New Roman" w:hint="default"/>
        </w:rPr>
        <w:t>18.</w:t>
      </w:r>
      <w:r>
        <w:rPr>
          <w:rFonts w:ascii="Times New Roman" w:hAnsi="Times New Roman" w:cs="Times New Roman" w:eastAsia="Times New Roman" w:hint="default"/>
          <w:spacing w:val="6"/>
        </w:rPr>
        <w:t> </w:t>
      </w:r>
      <w:r>
        <w:rPr/>
        <w:t>根据公司与芜湖市科技局签订的芜湖市科技计划项目合同书，公司作为智能型双向一体化直流充电机的研发项目的 承担单位，公司于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月收到补助</w:t>
      </w:r>
      <w:r>
        <w:rPr>
          <w:rFonts w:ascii="Times New Roman" w:hAnsi="Times New Roman" w:cs="Times New Roman" w:eastAsia="Times New Roman" w:hint="default"/>
        </w:rPr>
        <w:t>420,000.00</w:t>
      </w:r>
      <w:r>
        <w:rPr/>
        <w:t>元。待项目完工后按资产的使用年限分期转入政府补助。</w:t>
      </w:r>
    </w:p>
    <w:p>
      <w:pPr>
        <w:pStyle w:val="BodyText"/>
        <w:spacing w:line="300" w:lineRule="auto" w:before="13"/>
        <w:ind w:right="1132" w:firstLine="363"/>
        <w:jc w:val="both"/>
      </w:pPr>
      <w:r>
        <w:rPr>
          <w:rFonts w:ascii="Times New Roman" w:hAnsi="Times New Roman" w:cs="Times New Roman" w:eastAsia="Times New Roman" w:hint="default"/>
        </w:rPr>
        <w:t>19.</w:t>
      </w:r>
      <w:r>
        <w:rPr/>
        <w:t>根据公司于芜湖市科技局签订的安徽省科技计划项目任务书，公司作为对于微网上电气设备运行状态的监控、故障 </w:t>
      </w:r>
      <w:r>
        <w:rPr>
          <w:spacing w:val="-2"/>
        </w:rPr>
        <w:t>诊断及远程辅助维修功能研发的承担单位，公司于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8</w:t>
      </w:r>
      <w:r>
        <w:rPr>
          <w:spacing w:val="-2"/>
        </w:rPr>
        <w:t>月收到补助</w:t>
      </w:r>
      <w:r>
        <w:rPr>
          <w:rFonts w:ascii="Times New Roman" w:hAnsi="Times New Roman" w:cs="Times New Roman" w:eastAsia="Times New Roman" w:hint="default"/>
          <w:spacing w:val="-2"/>
        </w:rPr>
        <w:t>210,000.00</w:t>
      </w:r>
      <w:r>
        <w:rPr>
          <w:spacing w:val="-2"/>
        </w:rPr>
        <w:t>元。待项目完成后按资产的使用年限分期转</w:t>
      </w:r>
      <w:r>
        <w:rPr>
          <w:spacing w:val="-51"/>
        </w:rPr>
        <w:t> </w:t>
      </w:r>
      <w:r>
        <w:rPr>
          <w:spacing w:val="-51"/>
        </w:rPr>
      </w:r>
      <w:r>
        <w:rPr/>
        <w:t>入政府补助。</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48"/>
        <w:ind w:right="0"/>
        <w:jc w:val="left"/>
        <w:rPr>
          <w:b w:val="0"/>
          <w:bCs w:val="0"/>
        </w:rPr>
      </w:pPr>
      <w:bookmarkStart w:name="28、其他非流动负债" w:id="309"/>
      <w:bookmarkEnd w:id="309"/>
      <w:r>
        <w:rPr>
          <w:b w:val="0"/>
          <w:bCs w:val="0"/>
        </w:rPr>
      </w:r>
      <w:r>
        <w:rPr>
          <w:rFonts w:ascii="Times New Roman" w:hAnsi="Times New Roman" w:cs="Times New Roman" w:eastAsia="Times New Roman" w:hint="default"/>
        </w:rPr>
        <w:t>28</w:t>
      </w:r>
      <w:r>
        <w:rPr/>
        <w:t>、其他非流动负债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7524"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六盘水市天网工程长期预收款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117,932,619.43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138,129,840.68</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117,932,619.43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138,129,840.68</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9、股本" w:id="310"/>
      <w:bookmarkEnd w:id="310"/>
      <w:r>
        <w:rPr>
          <w:b w:val="0"/>
          <w:bCs w:val="0"/>
        </w:rPr>
      </w:r>
      <w:r>
        <w:rPr>
          <w:rFonts w:ascii="Times New Roman" w:hAnsi="Times New Roman" w:cs="Times New Roman" w:eastAsia="Times New Roman" w:hint="default"/>
        </w:rPr>
        <w:t>29</w:t>
      </w:r>
      <w:r>
        <w:rPr/>
        <w:t>、股本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7524" w:right="113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32" w:right="0"/>
              <w:jc w:val="left"/>
              <w:rPr>
                <w:rFonts w:ascii="Times New Roman" w:hAnsi="Times New Roman" w:cs="Times New Roman" w:eastAsia="Times New Roman" w:hint="default"/>
                <w:sz w:val="18"/>
                <w:szCs w:val="18"/>
              </w:rPr>
            </w:pPr>
            <w:r>
              <w:rPr>
                <w:rFonts w:ascii="Times New Roman"/>
                <w:sz w:val="18"/>
              </w:rPr>
              <w:t>703,960,660.00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9" w:right="0"/>
              <w:jc w:val="left"/>
              <w:rPr>
                <w:rFonts w:ascii="Times New Roman" w:hAnsi="Times New Roman" w:cs="Times New Roman" w:eastAsia="Times New Roman" w:hint="default"/>
                <w:sz w:val="18"/>
                <w:szCs w:val="18"/>
              </w:rPr>
            </w:pPr>
            <w:r>
              <w:rPr>
                <w:rFonts w:ascii="Times New Roman"/>
                <w:sz w:val="18"/>
              </w:rPr>
              <w:t>-12,454,745.00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8" w:right="0"/>
              <w:jc w:val="left"/>
              <w:rPr>
                <w:rFonts w:ascii="Times New Roman" w:hAnsi="Times New Roman" w:cs="Times New Roman" w:eastAsia="Times New Roman" w:hint="default"/>
                <w:sz w:val="18"/>
                <w:szCs w:val="18"/>
              </w:rPr>
            </w:pPr>
            <w:r>
              <w:rPr>
                <w:rFonts w:ascii="Times New Roman"/>
                <w:sz w:val="18"/>
              </w:rPr>
              <w:t>-12,454,745.00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left"/>
              <w:rPr>
                <w:rFonts w:ascii="Times New Roman" w:hAnsi="Times New Roman" w:cs="Times New Roman" w:eastAsia="Times New Roman" w:hint="default"/>
                <w:sz w:val="18"/>
                <w:szCs w:val="18"/>
              </w:rPr>
            </w:pPr>
            <w:r>
              <w:rPr>
                <w:rFonts w:ascii="Times New Roman"/>
                <w:sz w:val="18"/>
              </w:rPr>
              <w:t>691,505,915.00</w:t>
            </w:r>
          </w:p>
        </w:tc>
      </w:tr>
    </w:tbl>
    <w:p>
      <w:pPr>
        <w:pStyle w:val="BodyText"/>
        <w:spacing w:line="240" w:lineRule="auto" w:before="51"/>
        <w:ind w:right="0"/>
        <w:jc w:val="left"/>
      </w:pPr>
      <w:r>
        <w:rPr/>
        <w:t>其他说明：</w:t>
      </w:r>
    </w:p>
    <w:p>
      <w:pPr>
        <w:spacing w:line="240" w:lineRule="auto" w:before="1"/>
        <w:rPr>
          <w:rFonts w:ascii="宋体" w:hAnsi="宋体" w:cs="宋体" w:eastAsia="宋体" w:hint="default"/>
          <w:sz w:val="24"/>
          <w:szCs w:val="24"/>
        </w:rPr>
      </w:pPr>
    </w:p>
    <w:p>
      <w:pPr>
        <w:pStyle w:val="BodyText"/>
        <w:spacing w:line="300" w:lineRule="auto" w:before="0"/>
        <w:ind w:right="1042" w:firstLine="363"/>
        <w:jc w:val="both"/>
      </w:pPr>
      <w:r>
        <w:rPr>
          <w:spacing w:val="-2"/>
        </w:rPr>
        <w:t>根据公司</w:t>
      </w:r>
      <w:r>
        <w:rPr>
          <w:rFonts w:ascii="Times New Roman" w:hAnsi="Times New Roman" w:cs="Times New Roman" w:eastAsia="Times New Roman" w:hint="default"/>
          <w:spacing w:val="-2"/>
        </w:rPr>
        <w:t>2018</w:t>
      </w:r>
      <w:r>
        <w:rPr>
          <w:spacing w:val="-2"/>
        </w:rPr>
        <w:t>年第一次临时股东大会决议，同意公司使用自有资金以集中竞价交易的方式回购公司股份，直接用作注销</w:t>
      </w:r>
      <w:r>
        <w:rPr/>
        <w:t> 并减少注册资本。截至 </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日止，公司以集中竞价方式回购股份数量</w:t>
      </w:r>
      <w:r>
        <w:rPr>
          <w:rFonts w:ascii="Times New Roman" w:hAnsi="Times New Roman" w:cs="Times New Roman" w:eastAsia="Times New Roman" w:hint="default"/>
        </w:rPr>
        <w:t>35,237,040</w:t>
      </w:r>
      <w:r>
        <w:rPr>
          <w:rFonts w:ascii="Times New Roman" w:hAnsi="Times New Roman" w:cs="Times New Roman" w:eastAsia="Times New Roman" w:hint="default"/>
          <w:spacing w:val="4"/>
        </w:rPr>
        <w:t> </w:t>
      </w:r>
      <w:r>
        <w:rPr/>
        <w:t>股，金额</w:t>
      </w:r>
      <w:r>
        <w:rPr>
          <w:rFonts w:ascii="Times New Roman" w:hAnsi="Times New Roman" w:cs="Times New Roman" w:eastAsia="Times New Roman" w:hint="default"/>
        </w:rPr>
        <w:t>240,060,973.58</w:t>
      </w:r>
      <w:r>
        <w:rPr/>
        <w:t>元。</w:t>
      </w:r>
      <w:r>
        <w:rPr>
          <w:spacing w:val="1"/>
        </w:rPr>
        <w:t> </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月，公司将回购的</w:t>
      </w:r>
      <w:r>
        <w:rPr>
          <w:rFonts w:ascii="Times New Roman" w:hAnsi="Times New Roman" w:cs="Times New Roman" w:eastAsia="Times New Roman" w:hint="default"/>
          <w:spacing w:val="-2"/>
        </w:rPr>
        <w:t>12,454,745</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spacing w:val="-2"/>
        </w:rPr>
        <w:t>股予以注销，其中减少股本</w:t>
      </w:r>
      <w:r>
        <w:rPr>
          <w:rFonts w:ascii="Times New Roman" w:hAnsi="Times New Roman" w:cs="Times New Roman" w:eastAsia="Times New Roman" w:hint="default"/>
          <w:spacing w:val="-2"/>
        </w:rPr>
        <w:t>12,454,745.00</w:t>
      </w:r>
      <w:r>
        <w:rPr>
          <w:spacing w:val="-2"/>
        </w:rPr>
        <w:t>元、减少资本公积</w:t>
      </w:r>
      <w:r>
        <w:rPr>
          <w:rFonts w:ascii="Times New Roman" w:hAnsi="Times New Roman" w:cs="Times New Roman" w:eastAsia="Times New Roman" w:hint="default"/>
          <w:spacing w:val="-2"/>
        </w:rPr>
        <w:t>-</w:t>
      </w:r>
      <w:r>
        <w:rPr>
          <w:spacing w:val="-2"/>
        </w:rPr>
        <w:t>股本溢价</w:t>
      </w:r>
      <w:r>
        <w:rPr>
          <w:rFonts w:ascii="Times New Roman" w:hAnsi="Times New Roman" w:cs="Times New Roman" w:eastAsia="Times New Roman" w:hint="default"/>
          <w:spacing w:val="-2"/>
        </w:rPr>
        <w:t>77,572,591.01</w:t>
      </w:r>
      <w:r>
        <w:rPr>
          <w:spacing w:val="-2"/>
        </w:rPr>
        <w:t>元。</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bookmarkStart w:name="30、资本公积" w:id="311"/>
      <w:bookmarkEnd w:id="311"/>
      <w:r>
        <w:rPr>
          <w:b w:val="0"/>
          <w:bCs w:val="0"/>
        </w:rPr>
      </w:r>
      <w:r>
        <w:rPr>
          <w:rFonts w:ascii="Times New Roman" w:hAnsi="Times New Roman" w:cs="Times New Roman" w:eastAsia="Times New Roman" w:hint="default"/>
        </w:rPr>
        <w:t>30</w:t>
      </w:r>
      <w:r>
        <w:rPr/>
        <w:t>、资本公积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7524"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4"/>
              <w:jc w:val="center"/>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623" w:right="0"/>
              <w:jc w:val="left"/>
              <w:rPr>
                <w:rFonts w:ascii="Times New Roman" w:hAnsi="Times New Roman" w:cs="Times New Roman" w:eastAsia="Times New Roman" w:hint="default"/>
                <w:sz w:val="18"/>
                <w:szCs w:val="18"/>
              </w:rPr>
            </w:pPr>
            <w:r>
              <w:rPr>
                <w:rFonts w:ascii="Times New Roman"/>
                <w:sz w:val="18"/>
              </w:rPr>
              <w:t>2,883,486,067.01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46" w:right="0"/>
              <w:jc w:val="left"/>
              <w:rPr>
                <w:rFonts w:ascii="Times New Roman" w:hAnsi="Times New Roman" w:cs="Times New Roman" w:eastAsia="Times New Roman" w:hint="default"/>
                <w:sz w:val="18"/>
                <w:szCs w:val="18"/>
              </w:rPr>
            </w:pPr>
            <w:r>
              <w:rPr>
                <w:rFonts w:ascii="Times New Roman"/>
                <w:sz w:val="18"/>
              </w:rPr>
              <w:t>77,572,591.01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20" w:right="0"/>
              <w:jc w:val="left"/>
              <w:rPr>
                <w:rFonts w:ascii="Times New Roman" w:hAnsi="Times New Roman" w:cs="Times New Roman" w:eastAsia="Times New Roman" w:hint="default"/>
                <w:sz w:val="18"/>
                <w:szCs w:val="18"/>
              </w:rPr>
            </w:pPr>
            <w:r>
              <w:rPr>
                <w:rFonts w:ascii="Times New Roman"/>
                <w:sz w:val="18"/>
              </w:rPr>
              <w:t>2,805,913,476.00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19,224,098.80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19,224,098.80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2,902,710,165.81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77,572,591.01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2,825,137,574.80</w:t>
            </w:r>
          </w:p>
        </w:tc>
      </w:tr>
    </w:tbl>
    <w:p>
      <w:pPr>
        <w:pStyle w:val="BodyText"/>
        <w:spacing w:line="564" w:lineRule="auto" w:before="51"/>
        <w:ind w:left="517" w:right="6249" w:hanging="364"/>
        <w:jc w:val="left"/>
      </w:pPr>
      <w:r>
        <w:rPr/>
        <w:t>其他说明，包括本期增减变动情况、变动原因说明： 本期资本公积变动详见本合并财务报表项目注释</w:t>
      </w:r>
      <w:r>
        <w:rPr>
          <w:rFonts w:ascii="Times New Roman" w:hAnsi="Times New Roman" w:cs="Times New Roman" w:eastAsia="Times New Roman" w:hint="default"/>
        </w:rPr>
        <w:t>29</w:t>
      </w:r>
      <w:r>
        <w:rPr/>
        <w:t>。</w:t>
      </w:r>
    </w:p>
    <w:p>
      <w:pPr>
        <w:spacing w:line="240" w:lineRule="auto" w:before="0"/>
        <w:rPr>
          <w:rFonts w:ascii="宋体" w:hAnsi="宋体" w:cs="宋体" w:eastAsia="宋体" w:hint="default"/>
          <w:sz w:val="18"/>
          <w:szCs w:val="18"/>
        </w:rPr>
      </w:pPr>
    </w:p>
    <w:p>
      <w:pPr>
        <w:pStyle w:val="Heading4"/>
        <w:spacing w:line="240" w:lineRule="auto" w:before="146"/>
        <w:ind w:right="0"/>
        <w:jc w:val="left"/>
        <w:rPr>
          <w:b w:val="0"/>
          <w:bCs w:val="0"/>
        </w:rPr>
      </w:pPr>
      <w:bookmarkStart w:name="31、库存股" w:id="312"/>
      <w:bookmarkEnd w:id="312"/>
      <w:r>
        <w:rPr>
          <w:b w:val="0"/>
          <w:bCs w:val="0"/>
        </w:rPr>
      </w:r>
      <w:r>
        <w:rPr>
          <w:rFonts w:ascii="Times New Roman" w:hAnsi="Times New Roman" w:cs="Times New Roman" w:eastAsia="Times New Roman" w:hint="default"/>
        </w:rPr>
        <w:t>31</w:t>
      </w:r>
      <w:r>
        <w:rPr/>
        <w:t>、库存股</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7524"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减少注册资本回购</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240,060,973.58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90,027,336.01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150,033,637.57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240,060,973.58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90,027,336.01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150,033,637.57</w:t>
            </w:r>
          </w:p>
        </w:tc>
      </w:tr>
    </w:tbl>
    <w:p>
      <w:pPr>
        <w:pStyle w:val="BodyText"/>
        <w:spacing w:line="357" w:lineRule="auto" w:before="51"/>
        <w:ind w:right="6612"/>
        <w:jc w:val="left"/>
      </w:pPr>
      <w:r>
        <w:rPr/>
        <w:t>其他说明，包括本期增减变动情况、变动原因说明： 本期库存股变动详见本合并财务报表项目注释</w:t>
      </w:r>
      <w:r>
        <w:rPr>
          <w:rFonts w:ascii="Times New Roman" w:hAnsi="Times New Roman" w:cs="Times New Roman" w:eastAsia="Times New Roman" w:hint="default"/>
        </w:rPr>
        <w:t>29</w:t>
      </w:r>
      <w:r>
        <w:rPr/>
        <w:t>。</w:t>
      </w:r>
    </w:p>
    <w:p>
      <w:pPr>
        <w:spacing w:line="240" w:lineRule="auto" w:before="5"/>
        <w:rPr>
          <w:rFonts w:ascii="宋体" w:hAnsi="宋体" w:cs="宋体" w:eastAsia="宋体" w:hint="default"/>
          <w:sz w:val="18"/>
          <w:szCs w:val="18"/>
        </w:rPr>
      </w:pPr>
    </w:p>
    <w:p>
      <w:pPr>
        <w:pStyle w:val="Heading4"/>
        <w:spacing w:line="240" w:lineRule="auto"/>
        <w:ind w:right="0"/>
        <w:jc w:val="left"/>
        <w:rPr>
          <w:b w:val="0"/>
          <w:bCs w:val="0"/>
        </w:rPr>
      </w:pPr>
      <w:bookmarkStart w:name="32、盈余公积" w:id="313"/>
      <w:bookmarkEnd w:id="313"/>
      <w:r>
        <w:rPr>
          <w:b w:val="0"/>
          <w:bCs w:val="0"/>
        </w:rPr>
      </w:r>
      <w:r>
        <w:rPr>
          <w:rFonts w:ascii="Times New Roman" w:hAnsi="Times New Roman" w:cs="Times New Roman" w:eastAsia="Times New Roman" w:hint="default"/>
        </w:rPr>
        <w:t>32</w:t>
      </w:r>
      <w:r>
        <w:rPr/>
        <w:t>、盈余公积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7524"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48,480,839.94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4,035,411.75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52,516,251.69</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48,480,839.94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4,035,411.75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52,516,251.69</w:t>
            </w:r>
          </w:p>
        </w:tc>
      </w:tr>
    </w:tbl>
    <w:p>
      <w:pPr>
        <w:pStyle w:val="BodyText"/>
        <w:spacing w:line="240" w:lineRule="auto" w:before="51"/>
        <w:ind w:right="0"/>
        <w:jc w:val="left"/>
      </w:pPr>
      <w:r>
        <w:rPr/>
        <w:t>盈余公积说明，包括本期增减变动情况、变动原因说明：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3、未分配利润" w:id="314"/>
      <w:bookmarkEnd w:id="314"/>
      <w:r>
        <w:rPr>
          <w:b w:val="0"/>
          <w:bCs w:val="0"/>
        </w:rPr>
      </w:r>
      <w:r>
        <w:rPr>
          <w:rFonts w:ascii="Times New Roman" w:hAnsi="Times New Roman" w:cs="Times New Roman" w:eastAsia="Times New Roman" w:hint="default"/>
        </w:rPr>
        <w:t>33</w:t>
      </w:r>
      <w:r>
        <w:rPr/>
        <w:t>、未分配利润</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7524"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647,085,150.91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504,823,850.00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647,085,150.91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504,823,850.00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174,762,669.00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172,215,037.92</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4,035,411.75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1,795,310.61</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35,195,021.56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28,158,426.40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782,617,386.60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647,085,150.91</w:t>
            </w:r>
          </w:p>
        </w:tc>
      </w:tr>
    </w:tbl>
    <w:p>
      <w:pPr>
        <w:pStyle w:val="BodyText"/>
        <w:spacing w:line="240" w:lineRule="auto" w:before="51"/>
        <w:ind w:right="0"/>
        <w:jc w:val="left"/>
      </w:pPr>
      <w:r>
        <w:rPr/>
        <w:t>调整期初未分配利润明细：</w:t>
      </w:r>
    </w:p>
    <w:p>
      <w:pPr>
        <w:pStyle w:val="BodyText"/>
        <w:spacing w:line="240" w:lineRule="auto" w:before="117"/>
        <w:ind w:right="0"/>
        <w:jc w:val="left"/>
      </w:pPr>
      <w:r>
        <w:rPr>
          <w:rFonts w:ascii="Times New Roman" w:hAnsi="Times New Roman" w:cs="Times New Roman" w:eastAsia="Times New Roman" w:hint="default"/>
        </w:rPr>
        <w:t>1)</w:t>
      </w:r>
      <w:r>
        <w:rPr/>
        <w:t>、由于《企业会计准则》及其相关新规定进行追溯调整，影响期初未分配利润元。</w:t>
      </w:r>
    </w:p>
    <w:p>
      <w:pPr>
        <w:pStyle w:val="BodyText"/>
        <w:spacing w:line="240" w:lineRule="auto" w:before="102"/>
        <w:ind w:right="0"/>
        <w:jc w:val="left"/>
      </w:pPr>
      <w:r>
        <w:rPr>
          <w:rFonts w:ascii="Times New Roman" w:hAnsi="Times New Roman" w:cs="Times New Roman" w:eastAsia="Times New Roman" w:hint="default"/>
        </w:rPr>
        <w:t>2)</w:t>
      </w:r>
      <w:r>
        <w:rPr/>
        <w:t>、由于会计政策变更，影响期初未分配利润元。</w:t>
      </w:r>
    </w:p>
    <w:p>
      <w:pPr>
        <w:pStyle w:val="BodyText"/>
        <w:spacing w:line="240" w:lineRule="auto" w:before="102"/>
        <w:ind w:right="0"/>
        <w:jc w:val="left"/>
      </w:pPr>
      <w:r>
        <w:rPr>
          <w:rFonts w:ascii="Times New Roman" w:hAnsi="Times New Roman" w:cs="Times New Roman" w:eastAsia="Times New Roman" w:hint="default"/>
        </w:rPr>
        <w:t>3)</w:t>
      </w:r>
      <w:r>
        <w:rPr/>
        <w:t>、由于重大会计差错更正，影响期初未分配利润元。</w:t>
      </w:r>
    </w:p>
    <w:p>
      <w:pPr>
        <w:pStyle w:val="BodyText"/>
        <w:spacing w:line="240" w:lineRule="auto" w:before="103"/>
        <w:ind w:right="0"/>
        <w:jc w:val="left"/>
      </w:pPr>
      <w:r>
        <w:rPr>
          <w:rFonts w:ascii="Times New Roman" w:hAnsi="Times New Roman" w:cs="Times New Roman" w:eastAsia="Times New Roman" w:hint="default"/>
        </w:rPr>
        <w:t>4)</w:t>
      </w:r>
      <w:r>
        <w:rPr/>
        <w:t>、由于同一控制导致的合并范围变更，影响期初未分配利润元。</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ind w:right="0"/>
        <w:jc w:val="left"/>
      </w:pPr>
      <w:r>
        <w:rPr>
          <w:rFonts w:ascii="Times New Roman" w:hAnsi="Times New Roman" w:cs="Times New Roman" w:eastAsia="Times New Roman" w:hint="default"/>
        </w:rPr>
        <w:t>5)</w:t>
      </w:r>
      <w:r>
        <w:rPr/>
        <w:t>、其他调整合计影响期初未分配利润元。</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4、营业收入和营业成本" w:id="315"/>
      <w:bookmarkEnd w:id="315"/>
      <w:r>
        <w:rPr>
          <w:b w:val="0"/>
          <w:bCs w:val="0"/>
        </w:rPr>
      </w:r>
      <w:r>
        <w:rPr>
          <w:rFonts w:ascii="Times New Roman" w:hAnsi="Times New Roman" w:cs="Times New Roman" w:eastAsia="Times New Roman" w:hint="default"/>
        </w:rPr>
        <w:t>34</w:t>
      </w:r>
      <w:r>
        <w:rPr/>
        <w:t>、营业收入和营业成本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7524"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2,436,953,989.59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1,701,465,302.55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2,005,124,566.49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1,436,725,075.43</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19,004,531.72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12,366,327.79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20,445,517.48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10,236,409.11</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2,455,958,521.31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1,713,831,630.34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2,025,570,083.97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1,446,961,484.54</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5、税金及附加" w:id="316"/>
      <w:bookmarkEnd w:id="316"/>
      <w:r>
        <w:rPr>
          <w:b w:val="0"/>
          <w:bCs w:val="0"/>
        </w:rPr>
      </w:r>
      <w:r>
        <w:rPr>
          <w:rFonts w:ascii="Times New Roman" w:hAnsi="Times New Roman" w:cs="Times New Roman" w:eastAsia="Times New Roman" w:hint="default"/>
        </w:rPr>
        <w:t>35</w:t>
      </w:r>
      <w:r>
        <w:rPr/>
        <w:t>、税金及附加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7524"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4,843,778.91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5,321,140.41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2,084,310.96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2,282,297.25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5,240,656.18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5,295,350.78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7,516,845.52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9,473,252.22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13,825.00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8,275.00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1,025,566.38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2,268,492.74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1,388,715.40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1,521,216.53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335,066.74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1,177,117.16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22,448,765.09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27,347,142.09</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6、销售费用" w:id="317"/>
      <w:bookmarkEnd w:id="317"/>
      <w:r>
        <w:rPr>
          <w:b w:val="0"/>
          <w:bCs w:val="0"/>
        </w:rPr>
      </w:r>
      <w:r>
        <w:rPr>
          <w:rFonts w:ascii="Times New Roman" w:hAnsi="Times New Roman" w:cs="Times New Roman" w:eastAsia="Times New Roman" w:hint="default"/>
        </w:rPr>
        <w:t>36</w:t>
      </w:r>
      <w:r>
        <w:rPr/>
        <w:t>、销售费用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7524"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87,571,179.72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22,023,937.39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5,731,803.66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4,047,453.17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8,726,408.74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6,429,649.99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运输及劳务费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74,044,251.28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51,627,494.69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招标业务费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19,876,433.43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12,616,803.53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4,319,838.15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1,860,198.81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8,651,167.02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7,623,663.71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208,921,082.00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106,229,201.29</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7、管理费用" w:id="318"/>
      <w:bookmarkEnd w:id="318"/>
      <w:r>
        <w:rPr>
          <w:b w:val="0"/>
          <w:bCs w:val="0"/>
        </w:rPr>
      </w:r>
      <w:r>
        <w:rPr>
          <w:rFonts w:ascii="Times New Roman" w:hAnsi="Times New Roman" w:cs="Times New Roman" w:eastAsia="Times New Roman" w:hint="default"/>
        </w:rPr>
        <w:t>37</w:t>
      </w:r>
      <w:r>
        <w:rPr/>
        <w:t>、管理费用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7524"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77,532,077.82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45,899,551.83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办公、汽车费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12,877,702.15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9,742,819.68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24,697,533.03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25,753,265.34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政府性基金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1,415,143.70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1,050,274.01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中介服务费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7,916,720.15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5,221,337.81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9,014,352.42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7,494,590.45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133,453,529.27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95,161,839.12</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8、研发费用" w:id="319"/>
      <w:bookmarkEnd w:id="319"/>
      <w:r>
        <w:rPr>
          <w:b w:val="0"/>
          <w:bCs w:val="0"/>
        </w:rPr>
      </w:r>
      <w:r>
        <w:rPr>
          <w:rFonts w:ascii="Times New Roman" w:hAnsi="Times New Roman" w:cs="Times New Roman" w:eastAsia="Times New Roman" w:hint="default"/>
        </w:rPr>
        <w:t>38</w:t>
      </w:r>
      <w:r>
        <w:rPr/>
        <w:t>、研发费用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7524"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32,288,247.09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23,984,381.36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1,552,425.63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1,770,387.99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物料消耗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73,950,145.19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64,145,452.15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论证、评审、验收费用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2,977,269.69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1,642,432.75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设计费、新工艺规程制定费、翻译费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11,698,007.32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15,143,526.32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1,113,724.40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3,607,630.70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123,579,819.32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110,293,811.27</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9、财务费用" w:id="320"/>
      <w:bookmarkEnd w:id="320"/>
      <w:r>
        <w:rPr>
          <w:b w:val="0"/>
          <w:bCs w:val="0"/>
        </w:rPr>
      </w:r>
      <w:r>
        <w:rPr>
          <w:rFonts w:ascii="Times New Roman" w:hAnsi="Times New Roman" w:cs="Times New Roman" w:eastAsia="Times New Roman" w:hint="default"/>
        </w:rPr>
        <w:t>39</w:t>
      </w:r>
      <w:r>
        <w:rPr/>
        <w:t>、财务费用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7524"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31,515,939.26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16,559,753.33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18,811,962.49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11,482,908.84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356,492.49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24,496.27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-25,260.04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-6,455,897.12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13,035,209.22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-1,354,556.36</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0、资产减值损失" w:id="321"/>
      <w:bookmarkEnd w:id="321"/>
      <w:r>
        <w:rPr>
          <w:b w:val="0"/>
          <w:bCs w:val="0"/>
        </w:rPr>
      </w:r>
      <w:r>
        <w:rPr>
          <w:rFonts w:ascii="Times New Roman" w:hAnsi="Times New Roman" w:cs="Times New Roman" w:eastAsia="Times New Roman" w:hint="default"/>
        </w:rPr>
        <w:t>40</w:t>
      </w:r>
      <w:r>
        <w:rPr/>
        <w:t>、资产减值损失</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7524"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36,444,541.72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13,773,734.94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7,218,025.99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20,132,326.11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43,662,567.71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33,906,061.05</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1、其他收益" w:id="322"/>
      <w:bookmarkEnd w:id="322"/>
      <w:r>
        <w:rPr>
          <w:b w:val="0"/>
          <w:bCs w:val="0"/>
        </w:rPr>
      </w:r>
      <w:r>
        <w:rPr>
          <w:rFonts w:ascii="Times New Roman" w:hAnsi="Times New Roman" w:cs="Times New Roman" w:eastAsia="Times New Roman" w:hint="default"/>
        </w:rPr>
        <w:t>41</w:t>
      </w:r>
      <w:r>
        <w:rPr/>
        <w:t>、其他收益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7524"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高效节能数字式软启动装置产业化项目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重点实验室建设专项资金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67,909.80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67,909.79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多层厂房奖励资金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370,836.24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370,836.24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重点实验室专项资金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94,765.56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94,765.56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DPX100P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综合保护单元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20,168.04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20,168.04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省级实验室绩效考核补助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14,352.00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14,352.00</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中低压电能质量综合治理装置产业化关 键技术研究</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69,999.96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72,413.75</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年省高技术产业化专项省统筹投资 计划</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90,000.00</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智能型高分断低压断路器生产线建设项 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69,999.96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69,999.96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出口增量补助</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土地使用税奖励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8,313,100.00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8,313,100.00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创新团队扶持</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专利奖励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655,000.00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高端人才奖励</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稳岗补助</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257,546.00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名牌产品奖励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创新技术联盟奖励</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工业精品奖励</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党费返还款</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3,469.00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研发补贴</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房租返还</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59,891.89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年科技创新项目资助资金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新三板挂牌企业奖励款</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产业创新团队奖励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年创新驱动助力补助</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68"/>
              <w:jc w:val="left"/>
              <w:rPr>
                <w:rFonts w:ascii="宋体" w:hAnsi="宋体" w:cs="宋体" w:eastAsia="宋体" w:hint="default"/>
                <w:sz w:val="18"/>
                <w:szCs w:val="18"/>
              </w:rPr>
            </w:pPr>
            <w:r>
              <w:rPr>
                <w:rFonts w:ascii="宋体" w:hAnsi="宋体" w:cs="宋体" w:eastAsia="宋体" w:hint="default"/>
                <w:sz w:val="18"/>
                <w:szCs w:val="18"/>
              </w:rPr>
              <w:t>收</w:t>
            </w:r>
            <w:r>
              <w:rPr>
                <w:rFonts w:ascii="Times New Roman" w:hAnsi="Times New Roman" w:cs="Times New Roman" w:eastAsia="Times New Roman" w:hint="default"/>
                <w:sz w:val="18"/>
                <w:szCs w:val="18"/>
              </w:rPr>
              <w:t>"</w:t>
            </w:r>
            <w:r>
              <w:rPr>
                <w:rFonts w:ascii="宋体" w:hAnsi="宋体" w:cs="宋体" w:eastAsia="宋体" w:hint="default"/>
                <w:sz w:val="18"/>
                <w:szCs w:val="18"/>
              </w:rPr>
              <w:t>省特殊人才计划</w:t>
            </w:r>
            <w:r>
              <w:rPr>
                <w:rFonts w:ascii="Times New Roman" w:hAnsi="Times New Roman" w:cs="Times New Roman" w:eastAsia="Times New Roman" w:hint="default"/>
                <w:sz w:val="18"/>
                <w:szCs w:val="18"/>
              </w:rPr>
              <w:t>-</w:t>
            </w:r>
            <w:r>
              <w:rPr>
                <w:rFonts w:ascii="宋体" w:hAnsi="宋体" w:cs="宋体" w:eastAsia="宋体" w:hint="default"/>
                <w:sz w:val="18"/>
                <w:szCs w:val="18"/>
              </w:rPr>
              <w:t>创新人才</w:t>
            </w:r>
            <w:r>
              <w:rPr>
                <w:rFonts w:ascii="Times New Roman" w:hAnsi="Times New Roman" w:cs="Times New Roman" w:eastAsia="Times New Roman" w:hint="default"/>
                <w:sz w:val="18"/>
                <w:szCs w:val="18"/>
              </w:rPr>
              <w:t>"</w:t>
            </w:r>
            <w:r>
              <w:rPr>
                <w:rFonts w:ascii="宋体" w:hAnsi="宋体" w:cs="宋体" w:eastAsia="宋体" w:hint="default"/>
                <w:sz w:val="18"/>
                <w:szCs w:val="18"/>
              </w:rPr>
              <w:t>市配套奖 补</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实施股权奖励、股权出售、股票期权等 激励政策补助</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安徽省著名商标奖励</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专精特新和成长型小微企业一次性奖补</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收市社保中心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年鸠江区稳岗补贴</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4,826.00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收促进外贸稳定增长补助款</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新能源汽车补贴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53,080.00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鼓励市场开拓</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软件增值税退税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1,357,683.15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643,937.90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收芜湖市科技局专利成果转换项目资金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创新人才补贴款</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年度专利资助费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残疾人就业增值税退税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3,994,880.00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3,606,880.00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高新技术产品奖励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稳岗补助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198,914.15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29,586.02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残疾人超比例补贴</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21,840.00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小巨人</w:t>
            </w:r>
            <w:r>
              <w:rPr>
                <w:rFonts w:ascii="Times New Roman" w:hAnsi="Times New Roman" w:cs="Times New Roman" w:eastAsia="Times New Roman" w:hint="default"/>
                <w:sz w:val="18"/>
                <w:szCs w:val="18"/>
              </w:rPr>
              <w:t>"</w:t>
            </w:r>
            <w:r>
              <w:rPr>
                <w:rFonts w:ascii="宋体" w:hAnsi="宋体" w:cs="宋体" w:eastAsia="宋体" w:hint="default"/>
                <w:sz w:val="18"/>
                <w:szCs w:val="18"/>
              </w:rPr>
              <w:t>委托贷款转补助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1,153,409.71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新录用人员技能培训补贴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26,400.00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鸠江区财政局国家标准奖励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枫桥街道</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年上半年全区专利资助金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枫桥街道优秀内资企业奖励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枫桥街道优秀社会公益贡献单位奖励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市科技计划奖励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省科技创新若干政策资金补助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高新技术企业奖励金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1,000,500.00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市科技创新政策奖补资金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411,900.00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租房补助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84,823.96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23,010.58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19,702,822.61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19,316,532.78</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0"/>
        <w:jc w:val="left"/>
        <w:rPr>
          <w:b w:val="0"/>
          <w:bCs w:val="0"/>
        </w:rPr>
      </w:pPr>
      <w:bookmarkStart w:name="42、投资收益" w:id="323"/>
      <w:bookmarkEnd w:id="323"/>
      <w:r>
        <w:rPr>
          <w:b w:val="0"/>
          <w:bCs w:val="0"/>
        </w:rPr>
      </w:r>
      <w:r>
        <w:rPr>
          <w:rFonts w:ascii="Times New Roman" w:hAnsi="Times New Roman" w:cs="Times New Roman" w:eastAsia="Times New Roman" w:hint="default"/>
        </w:rPr>
        <w:t>42</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7524"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-920,417.04</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-5,116,998.22</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146,000.00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146,000.00</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3,968,385.60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2,254,463.78</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3,193,968.56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-2,716,534.44</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3、公允价值变动收益" w:id="324"/>
      <w:bookmarkEnd w:id="324"/>
      <w:r>
        <w:rPr>
          <w:b w:val="0"/>
          <w:bCs w:val="0"/>
        </w:rPr>
      </w:r>
      <w:r>
        <w:rPr>
          <w:rFonts w:ascii="Times New Roman" w:hAnsi="Times New Roman" w:cs="Times New Roman" w:eastAsia="Times New Roman" w:hint="default"/>
        </w:rPr>
        <w:t>43</w:t>
      </w:r>
      <w:r>
        <w:rPr/>
        <w:t>、公允价值变动收益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7524"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7"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4、资产处置收益" w:id="325"/>
      <w:bookmarkEnd w:id="325"/>
      <w:r>
        <w:rPr>
          <w:b w:val="0"/>
          <w:bCs w:val="0"/>
        </w:rPr>
      </w:r>
      <w:r>
        <w:rPr>
          <w:rFonts w:ascii="Times New Roman" w:hAnsi="Times New Roman" w:cs="Times New Roman" w:eastAsia="Times New Roman" w:hint="default"/>
        </w:rPr>
        <w:t>44</w:t>
      </w:r>
      <w:r>
        <w:rPr/>
        <w:t>、资产处置收益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7524"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固定资产处置利得或损失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-337,634.58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无形资产处置利得或损失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3,191,686.66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2,854,052.08</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5、营业外收入" w:id="326"/>
      <w:bookmarkEnd w:id="326"/>
      <w:r>
        <w:rPr>
          <w:b w:val="0"/>
          <w:bCs w:val="0"/>
        </w:rPr>
      </w:r>
      <w:r>
        <w:rPr>
          <w:rFonts w:ascii="Times New Roman" w:hAnsi="Times New Roman" w:cs="Times New Roman" w:eastAsia="Times New Roman" w:hint="default"/>
        </w:rPr>
        <w:t>45</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7524"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4,210.59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292,134.06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4,210.59</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4,210.59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292,134.06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4,210.59</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630,870.25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5,028,405.54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630,870.25</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635,080.84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5,320,539.60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635,080.84</w:t>
            </w:r>
          </w:p>
        </w:tc>
      </w:tr>
    </w:tbl>
    <w:p>
      <w:pPr>
        <w:pStyle w:val="BodyText"/>
        <w:spacing w:line="240" w:lineRule="auto" w:before="51"/>
        <w:ind w:right="0"/>
        <w:jc w:val="left"/>
      </w:pPr>
      <w:r>
        <w:rPr/>
        <w:t>计入当期损益的政府补助：</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ind w:left="7524"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3"/>
        <w:gridCol w:w="1051"/>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5"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76" w:right="38"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46、营业外支出" w:id="327"/>
      <w:bookmarkEnd w:id="327"/>
      <w:r>
        <w:rPr>
          <w:b w:val="0"/>
          <w:bCs w:val="0"/>
        </w:rPr>
      </w:r>
      <w:r>
        <w:rPr>
          <w:rFonts w:ascii="Times New Roman" w:hAnsi="Times New Roman" w:cs="Times New Roman" w:eastAsia="Times New Roman" w:hint="default"/>
        </w:rPr>
        <w:t>46</w:t>
      </w:r>
      <w:r>
        <w:rPr/>
        <w:t>、营业外支出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7524"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2,076,000.00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2,076,000.00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293,918.54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1,330,363.09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293,918.54</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293,918.54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1,330,363.09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293,918.54</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滞纳金、罚款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7,770.19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501.80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7,770.19</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赔偿金、违约金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49,732.38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857,162.84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49,732.38</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1,772,295.90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5,588.76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1,772,295.90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4,199,717.01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2,193,616.49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4,199,717.01</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47、所得税费用" w:id="328"/>
      <w:bookmarkEnd w:id="328"/>
      <w:r>
        <w:rPr>
          <w:b w:val="0"/>
          <w:bCs w:val="0"/>
        </w:rPr>
      </w:r>
      <w:r>
        <w:rPr>
          <w:rFonts w:ascii="Times New Roman" w:hAnsi="Times New Roman" w:cs="Times New Roman" w:eastAsia="Times New Roman" w:hint="default"/>
        </w:rPr>
        <w:t>47</w:t>
      </w:r>
      <w:r>
        <w:rPr/>
        <w:t>、所得税费用</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所得税费用表" w:id="329"/>
      <w:bookmarkEnd w:id="329"/>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7524"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50,755,909.67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45,031,683.99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-19,909,320.85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-11,609,749.25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30,846,588.82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33,421,934.74</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会计利润与所得税费用调整过程" w:id="330"/>
      <w:bookmarkEnd w:id="330"/>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7524"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219,212,125.44</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32,881,818.82</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-1,329,602.19</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681,387.67</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356,737.67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0"/>
        <w:gridCol w:w="4789"/>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1,632,650.81</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-1,130,097.84</w:t>
            </w:r>
          </w:p>
        </w:tc>
      </w:tr>
      <w:tr>
        <w:trPr>
          <w:trHeight w:val="714"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5,341,310.81</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研发费及残疾人工资加计扣除的影响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-7,587,616.93</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30,846,588.82</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8、现金流量表项目" w:id="331"/>
      <w:bookmarkEnd w:id="331"/>
      <w:r>
        <w:rPr>
          <w:b w:val="0"/>
          <w:bCs w:val="0"/>
        </w:rPr>
      </w:r>
      <w:r>
        <w:rPr>
          <w:rFonts w:ascii="Times New Roman" w:hAnsi="Times New Roman" w:cs="Times New Roman" w:eastAsia="Times New Roman" w:hint="default"/>
        </w:rPr>
        <w:t>48</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收到的其他与经营活动有关的现金" w:id="332"/>
      <w:bookmarkEnd w:id="332"/>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7524"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收回保函保证金等</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9,233,660.30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3,500,967.45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12,677,403.86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13,624,519.49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18,811,962.49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11,482,908.84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其他营业外收入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715,694.21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5,028,405.54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其他往来款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32,903,646.87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41,438,720.86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66,540,448.19</w:t>
            </w:r>
          </w:p>
        </w:tc>
      </w:tr>
    </w:tbl>
    <w:p>
      <w:pPr>
        <w:pStyle w:val="BodyText"/>
        <w:spacing w:line="240" w:lineRule="auto" w:before="51"/>
        <w:ind w:right="0"/>
        <w:jc w:val="left"/>
      </w:pPr>
      <w:r>
        <w:rPr/>
        <w:t>收到的其他与经营活动有关的现金说明：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支付的其他与经营活动有关的现金" w:id="333"/>
      <w:bookmarkEnd w:id="333"/>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7524"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管理费用现金支出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29,706,602.13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21,025,611.95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销售费用现金支出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116,949,635.47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83,271,828.46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研发费用现金支出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15,789,001.41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20,393,589.77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31,868,618.34</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其他支出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9,532,153.18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763,829.68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203,846,010.53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125,454,859.86</w:t>
            </w:r>
          </w:p>
        </w:tc>
      </w:tr>
    </w:tbl>
    <w:p>
      <w:pPr>
        <w:pStyle w:val="BodyText"/>
        <w:spacing w:line="240" w:lineRule="auto" w:before="51"/>
        <w:ind w:right="0"/>
        <w:jc w:val="left"/>
      </w:pPr>
      <w:r>
        <w:rPr/>
        <w:t>支付的其他与经营活动有关的现金说明：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收到的其他与投资活动有关的现金" w:id="334"/>
      <w:bookmarkEnd w:id="334"/>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7524"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ind w:right="0"/>
        <w:jc w:val="left"/>
      </w:pPr>
      <w:r>
        <w:rPr/>
        <w:t>收到的其他与投资活动有关的现金说明：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4）支付的其他与投资活动有关的现金" w:id="335"/>
      <w:bookmarkEnd w:id="335"/>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7524"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8,720,000.00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8,720,000.00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支付的其他与投资活动有关的现金说明：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5）收到的其他与筹资活动有关的现金" w:id="336"/>
      <w:bookmarkEnd w:id="336"/>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7524"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2"/>
        <w:ind w:right="0"/>
        <w:jc w:val="left"/>
      </w:pPr>
      <w:r>
        <w:rPr/>
        <w:t>收到的其他与筹资活动有关的现金说明：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6）支付的其他与筹资活动有关的现金" w:id="337"/>
      <w:bookmarkEnd w:id="337"/>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7524"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股份回购</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240,060,973.58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240,060,973.58</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支付的其他与筹资活动有关的现金说明：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9、现金流量表补充资料" w:id="338"/>
      <w:bookmarkEnd w:id="338"/>
      <w:r>
        <w:rPr>
          <w:b w:val="0"/>
          <w:bCs w:val="0"/>
        </w:rPr>
      </w:r>
      <w:r>
        <w:rPr>
          <w:rFonts w:ascii="Times New Roman" w:hAnsi="Times New Roman" w:cs="Times New Roman" w:eastAsia="Times New Roman" w:hint="default"/>
        </w:rPr>
        <w:t>49</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现金流量表补充资料" w:id="339"/>
      <w:bookmarkEnd w:id="339"/>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7524"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188,365,536.62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193,330,087.68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43,662,567.71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33,906,061.05</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66,422,076.62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64,749,788.78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48,840,119.31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7,476,168.83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1,579,679.46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1,674,023.52</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-2,854,052.08</w:t>
            </w:r>
          </w:p>
        </w:tc>
        <w:tc>
          <w:tcPr>
            <w:tcW w:w="318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group style="position:absolute;margin-left:223.339996pt;margin-top:132.209976pt;width:151.25pt;height:40.9pt;mso-position-horizontal-relative:page;mso-position-vertical-relative:page;z-index:-1195720" coordorigin="4467,2644" coordsize="3025,818">
            <v:group style="position:absolute;left:4478;top:2656;width:2;height:393" coordorigin="4478,2656" coordsize="2,393">
              <v:shape style="position:absolute;left:4478;top:2656;width:2;height:393" coordorigin="4478,2656" coordsize="0,393" path="m4478,2656l4478,3048e" filled="false" stroked="true" strokeweight="1.140pt" strokecolor="#ffffff">
                <v:path arrowok="t"/>
              </v:shape>
            </v:group>
            <v:group style="position:absolute;left:4490;top:2656;width:3002;height:393" coordorigin="4490,2656" coordsize="3002,393">
              <v:shape style="position:absolute;left:4490;top:2656;width:3002;height:393" coordorigin="4490,2656" coordsize="3002,393" path="m4490,3048l7491,3048,7491,2656,4490,2656,4490,3048xe" filled="true" fillcolor="#ffffff" stroked="false">
                <v:path arrowok="t"/>
                <v:fill type="solid"/>
              </v:shape>
            </v:group>
            <v:group style="position:absolute;left:4478;top:3058;width:2;height:393" coordorigin="4478,3058" coordsize="2,393">
              <v:shape style="position:absolute;left:4478;top:3058;width:2;height:393" coordorigin="4478,3058" coordsize="0,393" path="m4478,3058l4478,3450e" filled="false" stroked="true" strokeweight="1.140pt" strokecolor="#ffffff">
                <v:path arrowok="t"/>
              </v:shape>
            </v:group>
            <v:group style="position:absolute;left:4490;top:3058;width:3002;height:393" coordorigin="4490,3058" coordsize="3002,393">
              <v:shape style="position:absolute;left:4490;top:3058;width:3002;height:393" coordorigin="4490,3058" coordsize="3002,393" path="m4490,3450l7491,3450,7491,3058,4490,3058,4490,3450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305"/>
        <w:gridCol w:w="1010"/>
        <w:gridCol w:w="205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289,707.95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1,038,229.03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31,872,431.75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16,584,249.60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19" w:right="0"/>
              <w:jc w:val="left"/>
              <w:rPr>
                <w:rFonts w:ascii="Times New Roman" w:hAnsi="Times New Roman" w:cs="Times New Roman" w:eastAsia="Times New Roman" w:hint="default"/>
                <w:sz w:val="18"/>
                <w:szCs w:val="18"/>
              </w:rPr>
            </w:pPr>
            <w:r>
              <w:rPr>
                <w:rFonts w:ascii="Times New Roman"/>
                <w:sz w:val="18"/>
              </w:rPr>
              <w:t>-3,193,968.56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2,716,534.44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10"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-18,402,996.83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-8,972,237.28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10"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-1,506,324.02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-2,637,511.97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62,679,654.58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-281,925,062.46</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39" w:right="0"/>
              <w:jc w:val="left"/>
              <w:rPr>
                <w:rFonts w:ascii="Times New Roman" w:hAnsi="Times New Roman" w:cs="Times New Roman" w:eastAsia="Times New Roman" w:hint="default"/>
                <w:sz w:val="18"/>
                <w:szCs w:val="18"/>
              </w:rPr>
            </w:pPr>
            <w:r>
              <w:rPr>
                <w:rFonts w:ascii="Times New Roman"/>
                <w:sz w:val="18"/>
              </w:rPr>
              <w:t>-813,369,164.79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210,751,809.64</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05" w:right="0"/>
              <w:jc w:val="left"/>
              <w:rPr>
                <w:rFonts w:ascii="Times New Roman" w:hAnsi="Times New Roman" w:cs="Times New Roman" w:eastAsia="Times New Roman" w:hint="default"/>
                <w:sz w:val="18"/>
                <w:szCs w:val="18"/>
              </w:rPr>
            </w:pPr>
            <w:r>
              <w:rPr>
                <w:rFonts w:ascii="Times New Roman"/>
                <w:sz w:val="18"/>
              </w:rPr>
              <w:t>192,911,883.32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-87,726,321.73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39" w:right="0"/>
              <w:jc w:val="left"/>
              <w:rPr>
                <w:rFonts w:ascii="Times New Roman" w:hAnsi="Times New Roman" w:cs="Times New Roman" w:eastAsia="Times New Roman" w:hint="default"/>
                <w:sz w:val="18"/>
                <w:szCs w:val="18"/>
              </w:rPr>
            </w:pPr>
            <w:r>
              <w:rPr>
                <w:rFonts w:ascii="Times New Roman"/>
                <w:sz w:val="18"/>
              </w:rPr>
              <w:t>-202,702,848.96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150,965,819.13</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756,761,321.50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1,226,342,763.85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764" w:right="0"/>
              <w:jc w:val="left"/>
              <w:rPr>
                <w:rFonts w:ascii="Times New Roman" w:hAnsi="Times New Roman" w:cs="Times New Roman" w:eastAsia="Times New Roman" w:hint="default"/>
                <w:sz w:val="18"/>
                <w:szCs w:val="18"/>
              </w:rPr>
            </w:pPr>
            <w:r>
              <w:rPr>
                <w:rFonts w:ascii="Times New Roman"/>
                <w:sz w:val="18"/>
              </w:rPr>
              <w:t>1,226,342,763.85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765,253,871.64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39" w:right="0"/>
              <w:jc w:val="left"/>
              <w:rPr>
                <w:rFonts w:ascii="Times New Roman" w:hAnsi="Times New Roman" w:cs="Times New Roman" w:eastAsia="Times New Roman" w:hint="default"/>
                <w:sz w:val="18"/>
                <w:szCs w:val="18"/>
              </w:rPr>
            </w:pPr>
            <w:r>
              <w:rPr>
                <w:rFonts w:ascii="Times New Roman"/>
                <w:sz w:val="18"/>
              </w:rPr>
              <w:t>-469,581,442.35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461,088,892.21</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2）本期支付的取得子公司的现金净额" w:id="340"/>
      <w:bookmarkEnd w:id="340"/>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7524"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本期收到的处置子公司的现金净额" w:id="341"/>
      <w:bookmarkEnd w:id="341"/>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7524"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4）现金和现金等价物的构成" w:id="342"/>
      <w:bookmarkEnd w:id="342"/>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7524"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756,761,321.50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1,226,342,763.85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192,781.56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384,198.72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756,568,539.94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1,225,958,565.13</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756,761,321.50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1,226,342,763.85</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50、所有权或使用权受到限制的资产" w:id="343"/>
      <w:bookmarkEnd w:id="343"/>
      <w:r>
        <w:rPr>
          <w:b w:val="0"/>
          <w:bCs w:val="0"/>
        </w:rPr>
      </w:r>
      <w:r>
        <w:rPr>
          <w:rFonts w:ascii="Times New Roman" w:hAnsi="Times New Roman" w:cs="Times New Roman" w:eastAsia="Times New Roman" w:hint="default"/>
        </w:rPr>
        <w:t>50</w:t>
      </w:r>
      <w:r>
        <w:rPr/>
        <w:t>、所有权或使用权受到限制的资产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7524"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29,475,035.35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票据保证金、保函保证金等</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600,000.00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票据质押用于开具承兑汇票</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9,484,883.33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诉讼保全</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2"/>
              <w:ind w:right="13"/>
              <w:jc w:val="right"/>
              <w:rPr>
                <w:rFonts w:ascii="Times New Roman" w:hAnsi="Times New Roman" w:cs="Times New Roman" w:eastAsia="Times New Roman" w:hint="default"/>
                <w:sz w:val="18"/>
                <w:szCs w:val="18"/>
              </w:rPr>
            </w:pPr>
            <w:r>
              <w:rPr>
                <w:rFonts w:ascii="Times New Roman"/>
                <w:spacing w:val="-1"/>
                <w:sz w:val="18"/>
              </w:rPr>
              <w:t>39,559,918.68</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51、外币货币性项目" w:id="344"/>
      <w:bookmarkEnd w:id="344"/>
      <w:r>
        <w:rPr>
          <w:b w:val="0"/>
          <w:bCs w:val="0"/>
        </w:rPr>
      </w:r>
      <w:r>
        <w:rPr>
          <w:rFonts w:ascii="Times New Roman" w:hAnsi="Times New Roman" w:cs="Times New Roman" w:eastAsia="Times New Roman" w:hint="default"/>
        </w:rPr>
        <w:t>51</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外币货币性项目" w:id="345"/>
      <w:bookmarkEnd w:id="345"/>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7524"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13" w:space="0" w:color="D2D2D2"/>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60,862.26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417,709.86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799,000.00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5,483,696.80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84"/>
        <w:gridCol w:w="2305"/>
        <w:gridCol w:w="2391"/>
        <w:gridCol w:w="2389"/>
      </w:tblGrid>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49"/>
              <w:jc w:val="righ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50"/>
              <w:jc w:val="righ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50"/>
              <w:jc w:val="righ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tcPr>
          <w:p>
            <w:pPr/>
          </w:p>
        </w:tc>
        <w:tc>
          <w:tcPr>
            <w:tcW w:w="230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59" w:lineRule="auto"/>
        <w:ind w:right="0"/>
        <w:jc w:val="left"/>
        <w:rPr>
          <w:b w:val="0"/>
          <w:bCs w:val="0"/>
        </w:rPr>
      </w:pPr>
      <w:bookmarkStart w:name="（2）境外经营实体说明，包括对于重要的境外经营实体，应披露其境外主要经营地、记账" w:id="346"/>
      <w:bookmarkEnd w:id="346"/>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52、政府补助" w:id="347"/>
      <w:bookmarkEnd w:id="347"/>
      <w:r>
        <w:rPr>
          <w:b w:val="0"/>
          <w:bCs w:val="0"/>
        </w:rPr>
      </w:r>
      <w:r>
        <w:rPr>
          <w:rFonts w:ascii="Times New Roman" w:hAnsi="Times New Roman" w:cs="Times New Roman" w:eastAsia="Times New Roman" w:hint="default"/>
        </w:rPr>
        <w:t>52</w:t>
      </w:r>
      <w:r>
        <w:rPr/>
        <w:t>、政府补助</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政府补助基本情况" w:id="348"/>
      <w:bookmarkEnd w:id="348"/>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7524"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0"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计入递延收益的政府补助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1,798,031.64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计入其他收益的政府补助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17,819,967.01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17,819,967.01</w:t>
            </w:r>
          </w:p>
        </w:tc>
      </w:tr>
      <w:tr>
        <w:trPr>
          <w:trHeight w:val="40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18,029,967.01</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19,617,998.65</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政府补助退回情况" w:id="349"/>
      <w:bookmarkEnd w:id="349"/>
      <w:r>
        <w:rPr>
          <w:b w:val="0"/>
          <w:bCs w:val="0"/>
        </w:rPr>
      </w:r>
      <w:r>
        <w:rPr/>
        <w:t>（</w:t>
      </w:r>
      <w:r>
        <w:rPr>
          <w:rFonts w:ascii="Times New Roman" w:hAnsi="Times New Roman" w:cs="Times New Roman" w:eastAsia="Times New Roman" w:hint="default"/>
        </w:rPr>
        <w:t>2</w:t>
      </w:r>
      <w:r>
        <w:rPr/>
        <w:t>）政府补助退回情况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before="0"/>
        <w:ind w:right="9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其他说明：</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八、合并范围的变更" w:id="350"/>
      <w:bookmarkEnd w:id="350"/>
      <w:r>
        <w:rPr>
          <w:b w:val="0"/>
          <w:bCs w:val="0"/>
        </w:rPr>
      </w:r>
      <w:r>
        <w:rPr/>
        <w:t>八、合并范围的变更</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非同一控制下企业合并" w:id="351"/>
      <w:bookmarkEnd w:id="351"/>
      <w:r>
        <w:rPr>
          <w:b w:val="0"/>
          <w:bCs w:val="0"/>
        </w:rPr>
      </w:r>
      <w:r>
        <w:rPr>
          <w:rFonts w:ascii="Times New Roman" w:hAnsi="Times New Roman" w:cs="Times New Roman" w:eastAsia="Times New Roman" w:hint="default"/>
        </w:rPr>
        <w:t>1</w:t>
      </w:r>
      <w:r>
        <w:rPr/>
        <w:t>、非同一控制下企业合并</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本期发生的非同一控制下企业合并" w:id="352"/>
      <w:bookmarkEnd w:id="352"/>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7524"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62"/>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4"/>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1611"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319" w:lineRule="auto"/>
              <w:ind w:left="22" w:right="129"/>
              <w:jc w:val="both"/>
              <w:rPr>
                <w:rFonts w:ascii="宋体" w:hAnsi="宋体" w:cs="宋体" w:eastAsia="宋体" w:hint="default"/>
                <w:sz w:val="18"/>
                <w:szCs w:val="18"/>
              </w:rPr>
            </w:pPr>
            <w:r>
              <w:rPr>
                <w:rFonts w:ascii="宋体" w:hAnsi="宋体" w:cs="宋体" w:eastAsia="宋体" w:hint="default"/>
                <w:sz w:val="18"/>
                <w:szCs w:val="18"/>
              </w:rPr>
              <w:t>苏州天平安 装工程有限 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23,000,000.0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76" w:right="0"/>
              <w:jc w:val="left"/>
              <w:rPr>
                <w:rFonts w:ascii="Times New Roman" w:hAnsi="Times New Roman" w:cs="Times New Roman" w:eastAsia="Times New Roman" w:hint="default"/>
                <w:sz w:val="18"/>
                <w:szCs w:val="18"/>
              </w:rPr>
            </w:pPr>
            <w:r>
              <w:rPr>
                <w:rFonts w:ascii="Times New Roman"/>
                <w:sz w:val="18"/>
              </w:rPr>
              <w:t>99.71%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p>
          <w:p>
            <w:pPr>
              <w:pStyle w:val="TableParagraph"/>
              <w:spacing w:line="312" w:lineRule="auto" w:before="62"/>
              <w:ind w:left="22" w:right="23"/>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月下旬 支付了大部 分股权收购 款，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167,072,333.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19,804,985.3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62"/>
      </w:tblGrid>
      <w:tr>
        <w:trPr>
          <w:trHeight w:val="3483" w:hRule="exact"/>
        </w:trPr>
        <w:tc>
          <w:tcPr>
            <w:tcW w:w="106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日办理 了工商变更 登记等相关 </w:t>
            </w:r>
            <w:r>
              <w:rPr>
                <w:rFonts w:ascii="宋体" w:hAnsi="宋体" w:cs="宋体" w:eastAsia="宋体" w:hint="default"/>
                <w:spacing w:val="-13"/>
                <w:sz w:val="18"/>
                <w:szCs w:val="18"/>
              </w:rPr>
              <w:t>手续，公司自</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16" w:lineRule="auto" w:before="1"/>
              <w:ind w:left="22" w:right="38"/>
              <w:jc w:val="both"/>
              <w:rPr>
                <w:rFonts w:ascii="宋体" w:hAnsi="宋体" w:cs="宋体" w:eastAsia="宋体" w:hint="default"/>
                <w:sz w:val="18"/>
                <w:szCs w:val="18"/>
              </w:rPr>
            </w:pPr>
            <w:r>
              <w:rPr>
                <w:rFonts w:ascii="宋体" w:hAnsi="宋体" w:cs="宋体" w:eastAsia="宋体" w:hint="default"/>
                <w:sz w:val="18"/>
                <w:szCs w:val="18"/>
              </w:rPr>
              <w:t>起控制了被 收购方的财 务、经营等 故将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02" w:lineRule="auto"/>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日作为 购并日。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539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6" w:lineRule="auto"/>
              <w:ind w:left="22" w:right="129"/>
              <w:jc w:val="both"/>
              <w:rPr>
                <w:rFonts w:ascii="宋体" w:hAnsi="宋体" w:cs="宋体" w:eastAsia="宋体" w:hint="default"/>
                <w:sz w:val="18"/>
                <w:szCs w:val="18"/>
              </w:rPr>
            </w:pPr>
            <w:r>
              <w:rPr>
                <w:rFonts w:ascii="宋体" w:hAnsi="宋体" w:cs="宋体" w:eastAsia="宋体" w:hint="default"/>
                <w:sz w:val="18"/>
                <w:szCs w:val="18"/>
              </w:rPr>
              <w:t>湖南恒联通 达信息科技 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476" w:right="0"/>
              <w:jc w:val="left"/>
              <w:rPr>
                <w:rFonts w:ascii="Times New Roman" w:hAnsi="Times New Roman" w:cs="Times New Roman" w:eastAsia="Times New Roman" w:hint="default"/>
                <w:sz w:val="18"/>
                <w:szCs w:val="18"/>
              </w:rPr>
            </w:pPr>
            <w:r>
              <w:rPr>
                <w:rFonts w:ascii="Times New Roman"/>
                <w:sz w:val="18"/>
              </w:rPr>
              <w:t>70.00%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p>
          <w:p>
            <w:pPr>
              <w:pStyle w:val="TableParagraph"/>
              <w:spacing w:line="312" w:lineRule="auto" w:before="61"/>
              <w:ind w:left="22" w:right="22"/>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月下旬 支付了大部 分股权收购 款，</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日办 理了工商变 更登记等相 </w:t>
            </w:r>
            <w:r>
              <w:rPr>
                <w:rFonts w:ascii="宋体" w:hAnsi="宋体" w:cs="宋体" w:eastAsia="宋体" w:hint="default"/>
                <w:spacing w:val="-13"/>
                <w:sz w:val="18"/>
                <w:szCs w:val="18"/>
              </w:rPr>
              <w:t>关手续，公司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自</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319" w:lineRule="auto" w:before="3"/>
              <w:ind w:left="22" w:right="23"/>
              <w:jc w:val="left"/>
              <w:rPr>
                <w:rFonts w:ascii="宋体" w:hAnsi="宋体" w:cs="宋体" w:eastAsia="宋体" w:hint="default"/>
                <w:sz w:val="18"/>
                <w:szCs w:val="18"/>
              </w:rPr>
            </w:pPr>
            <w:r>
              <w:rPr>
                <w:rFonts w:ascii="宋体" w:hAnsi="宋体" w:cs="宋体" w:eastAsia="宋体" w:hint="default"/>
                <w:sz w:val="18"/>
                <w:szCs w:val="18"/>
              </w:rPr>
              <w:t>月起控制了 被收购方的 财务、经营 等，故将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p>
          <w:p>
            <w:pPr>
              <w:pStyle w:val="TableParagraph"/>
              <w:spacing w:line="302" w:lineRule="auto"/>
              <w:ind w:left="22" w:right="17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日作为购 并日。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7,407,833.98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479,124.93</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合并成本及商誉" w:id="353"/>
      <w:bookmarkEnd w:id="353"/>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7524"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3191"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511" w:right="0"/>
              <w:jc w:val="left"/>
              <w:rPr>
                <w:rFonts w:ascii="宋体" w:hAnsi="宋体" w:cs="宋体" w:eastAsia="宋体" w:hint="default"/>
                <w:sz w:val="18"/>
                <w:szCs w:val="18"/>
              </w:rPr>
            </w:pPr>
            <w:r>
              <w:rPr>
                <w:rFonts w:ascii="宋体" w:hAnsi="宋体" w:cs="宋体" w:eastAsia="宋体" w:hint="default"/>
                <w:sz w:val="18"/>
                <w:szCs w:val="18"/>
              </w:rPr>
              <w:t>苏州天平安装工程有限公司</w:t>
            </w:r>
          </w:p>
        </w:tc>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29" w:right="0"/>
              <w:jc w:val="left"/>
              <w:rPr>
                <w:rFonts w:ascii="宋体" w:hAnsi="宋体" w:cs="宋体" w:eastAsia="宋体" w:hint="default"/>
                <w:sz w:val="18"/>
                <w:szCs w:val="18"/>
              </w:rPr>
            </w:pPr>
            <w:r>
              <w:rPr>
                <w:rFonts w:ascii="宋体" w:hAnsi="宋体" w:cs="宋体" w:eastAsia="宋体" w:hint="default"/>
                <w:sz w:val="18"/>
                <w:szCs w:val="18"/>
              </w:rPr>
              <w:t>湖南恒联通达信息科技有限公司</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-36,523,284.91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8,238,609.63</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45"/>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 公允价值份额的金额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59,523,284.91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1,761,390.37</w:t>
            </w:r>
          </w:p>
        </w:tc>
      </w:tr>
    </w:tbl>
    <w:p>
      <w:pPr>
        <w:pStyle w:val="BodyText"/>
        <w:spacing w:line="360" w:lineRule="auto" w:before="51"/>
        <w:ind w:right="6072"/>
        <w:jc w:val="left"/>
      </w:pPr>
      <w:r>
        <w:rPr/>
        <w:t>合并成本公允价值的确定方法、或有对价及其变动的说明： 大额商誉形成的主要原因：</w:t>
      </w:r>
    </w:p>
    <w:p>
      <w:pPr>
        <w:pStyle w:val="BodyText"/>
        <w:spacing w:line="240" w:lineRule="auto" w:before="26"/>
        <w:ind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3）被购买方于购买日可辨认资产、负债" w:id="354"/>
      <w:bookmarkEnd w:id="354"/>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7524"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9" w:space="0" w:color="E0FFFF"/>
            </w:tcBorders>
            <w:shd w:val="clear" w:color="auto" w:fill="D2D2D2"/>
          </w:tcPr>
          <w:p>
            <w:pPr/>
          </w:p>
        </w:tc>
        <w:tc>
          <w:tcPr>
            <w:tcW w:w="3828" w:type="dxa"/>
            <w:gridSpan w:val="2"/>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52"/>
              <w:ind w:left="816" w:right="0"/>
              <w:jc w:val="left"/>
              <w:rPr>
                <w:rFonts w:ascii="宋体" w:hAnsi="宋体" w:cs="宋体" w:eastAsia="宋体" w:hint="default"/>
                <w:sz w:val="18"/>
                <w:szCs w:val="18"/>
              </w:rPr>
            </w:pPr>
            <w:r>
              <w:rPr>
                <w:rFonts w:ascii="宋体" w:hAnsi="宋体" w:cs="宋体" w:eastAsia="宋体" w:hint="default"/>
                <w:sz w:val="18"/>
                <w:szCs w:val="18"/>
              </w:rPr>
              <w:t>苏州天平安装工程有限公司</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648" w:right="0"/>
              <w:jc w:val="left"/>
              <w:rPr>
                <w:rFonts w:ascii="宋体" w:hAnsi="宋体" w:cs="宋体" w:eastAsia="宋体" w:hint="default"/>
                <w:sz w:val="18"/>
                <w:szCs w:val="18"/>
              </w:rPr>
            </w:pPr>
            <w:r>
              <w:rPr>
                <w:rFonts w:ascii="宋体" w:hAnsi="宋体" w:cs="宋体" w:eastAsia="宋体" w:hint="default"/>
                <w:sz w:val="18"/>
                <w:szCs w:val="18"/>
              </w:rPr>
              <w:t>湖南恒联通达信息科技有限公司</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10,651,153.60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10,651,153.60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7,002,728.00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7,002,728.00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25,078,891.88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25,078,891.88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3,519,062.71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3,519,062.71</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12,383,987.01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12,383,987.01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3,965,992.56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3,965,992.56</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1,237,455.03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1,237,455.03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631,443.22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631,443.22</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4,182,676.94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4,182,676.94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985,134.98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985,134.98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5,390,753.49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5,390,753.49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379,283.81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379,283.81</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30,692.50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30,692.50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48,236,058.70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48,236,058.70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2,169,999.21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2,169,999.21</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39,595,946.62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39,595,946.62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2,121,679.00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2,121,679.00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1,223,958.88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1,223,958.88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794,740.66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794,740.66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693,133.18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693,133.18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4,806,003.46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4,806,003.46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657,804.18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657,804.18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-36,629,510.49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-36,629,510.49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11,769,442.33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11,769,442.33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-106,225.58</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-106,225.58</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3,530,832.70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3,530,832.70</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-36,523,284.91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-36,523,284.91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8,238,609.63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8,238,609.63</w:t>
            </w:r>
          </w:p>
        </w:tc>
      </w:tr>
    </w:tbl>
    <w:p>
      <w:pPr>
        <w:pStyle w:val="BodyText"/>
        <w:spacing w:line="360" w:lineRule="auto" w:before="51"/>
        <w:ind w:right="7530"/>
        <w:jc w:val="both"/>
      </w:pPr>
      <w:r>
        <w:rPr/>
        <w:t>可辨认资产、负债公允价值的确定方法： 企业合并中承担的被购买方的或有负债： 其他说明：</w:t>
      </w:r>
    </w:p>
    <w:p>
      <w:pPr>
        <w:spacing w:line="240" w:lineRule="auto" w:before="11"/>
        <w:rPr>
          <w:rFonts w:ascii="宋体" w:hAnsi="宋体" w:cs="宋体" w:eastAsia="宋体" w:hint="default"/>
          <w:sz w:val="19"/>
          <w:szCs w:val="19"/>
        </w:rPr>
      </w:pPr>
    </w:p>
    <w:p>
      <w:pPr>
        <w:pStyle w:val="Heading4"/>
        <w:spacing w:line="240" w:lineRule="auto"/>
        <w:ind w:right="0"/>
        <w:jc w:val="both"/>
        <w:rPr>
          <w:b w:val="0"/>
          <w:bCs w:val="0"/>
        </w:rPr>
      </w:pPr>
      <w:bookmarkStart w:name="（4）购买日之前持有的股权按照公允价值重新计量产生的利得或损失" w:id="355"/>
      <w:bookmarkEnd w:id="355"/>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both"/>
      </w:pPr>
      <w:r>
        <w:rPr/>
        <w:t>是否存在通过多次交易分步实现企业合并且在报告期内取得控制权的交易</w:t>
      </w:r>
    </w:p>
    <w:p>
      <w:pPr>
        <w:pStyle w:val="BodyText"/>
        <w:spacing w:line="240" w:lineRule="auto" w:before="116"/>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4"/>
        <w:spacing w:line="240" w:lineRule="auto"/>
        <w:ind w:right="0"/>
        <w:jc w:val="both"/>
        <w:rPr>
          <w:b w:val="0"/>
          <w:bCs w:val="0"/>
        </w:rPr>
      </w:pPr>
      <w:bookmarkStart w:name="（5）购买日或合并当期期末无法合理确定合并对价或被购买方可辨认资产、负债公允价值" w:id="356"/>
      <w:bookmarkEnd w:id="356"/>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both"/>
        <w:rPr>
          <w:b w:val="0"/>
          <w:bCs w:val="0"/>
        </w:rPr>
      </w:pPr>
      <w:bookmarkStart w:name="（6）其他说明" w:id="357"/>
      <w:bookmarkEnd w:id="357"/>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2、同一控制下企业合并" w:id="358"/>
      <w:bookmarkEnd w:id="358"/>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both"/>
        <w:rPr>
          <w:b w:val="0"/>
          <w:bCs w:val="0"/>
        </w:rPr>
      </w:pPr>
      <w:bookmarkStart w:name="（1）本期发生的同一控制下企业合并" w:id="359"/>
      <w:bookmarkEnd w:id="359"/>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7524"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3"/>
        <w:gridCol w:w="1065"/>
        <w:gridCol w:w="1064"/>
        <w:gridCol w:w="1063"/>
        <w:gridCol w:w="1065"/>
        <w:gridCol w:w="1064"/>
        <w:gridCol w:w="1063"/>
      </w:tblGrid>
      <w:tr>
        <w:trPr>
          <w:trHeight w:val="1338"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435" w:right="75"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5" w:right="73"/>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6"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6" w:right="77"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6" w:right="76"/>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6" w:right="77"/>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合并成本" w:id="360"/>
      <w:bookmarkEnd w:id="360"/>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7524" w:right="1130"/>
        <w:jc w:val="right"/>
      </w:pPr>
      <w:r>
        <w:rPr/>
        <w:t>单位： 元</w:t>
      </w:r>
    </w:p>
    <w:p>
      <w:pPr>
        <w:spacing w:line="240" w:lineRule="auto" w:before="8"/>
        <w:rPr>
          <w:rFonts w:ascii="宋体" w:hAnsi="宋体" w:cs="宋体" w:eastAsia="宋体" w:hint="default"/>
          <w:sz w:val="7"/>
          <w:szCs w:val="7"/>
        </w:rPr>
      </w:pPr>
    </w:p>
    <w:p>
      <w:pPr>
        <w:spacing w:line="42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4773;top:14;width:2;height:393" coordorigin="4773,14" coordsize="2,393">
              <v:shape style="position:absolute;left:4773;top:14;width:2;height:393" coordorigin="4773,14" coordsize="0,393" path="m4773,14l4773,407e" filled="false" stroked="true" strokeweight="1.140pt" strokecolor="#d2d2d2">
                <v:path arrowok="t"/>
              </v:shape>
            </v:group>
            <v:group style="position:absolute;left:32;top:14;width:4729;height:393" coordorigin="32,14" coordsize="4729,393">
              <v:shape style="position:absolute;left:32;top:14;width:4729;height:393" coordorigin="32,14" coordsize="4729,393" path="m32,407l4761,407,4761,14,32,14,32,407xe" filled="true" fillcolor="#d2d2d2" stroked="false">
                <v:path arrowok="t"/>
                <v:fill type="solid"/>
              </v:shape>
            </v:group>
            <v:group style="position:absolute;left:4806;top:14;width:2;height:393" coordorigin="4806,14" coordsize="2,393">
              <v:shape style="position:absolute;left:4806;top:14;width:2;height:393" coordorigin="4806,14" coordsize="0,393" path="m4806,14l4806,407e" filled="false" stroked="true" strokeweight="1.140pt" strokecolor="#e0ffff">
                <v:path arrowok="t"/>
              </v:shape>
            </v:group>
            <v:group style="position:absolute;left:9557;top:14;width:2;height:393" coordorigin="9557,14" coordsize="2,393">
              <v:shape style="position:absolute;left:9557;top:14;width:2;height:393" coordorigin="9557,14" coordsize="0,393" path="m9557,14l9557,407e" filled="false" stroked="true" strokeweight="1.140pt" strokecolor="#e0ffff">
                <v:path arrowok="t"/>
              </v:shape>
            </v:group>
            <v:group style="position:absolute;left:4818;top:14;width:4729;height:393" coordorigin="4818,14" coordsize="4729,393">
              <v:shape style="position:absolute;left:4818;top:14;width:4729;height:393" coordorigin="4818,14" coordsize="4729,393" path="m4818,407l9546,407,9546,14,4818,14,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4776;height:2" coordorigin="10,412" coordsize="4776,2">
              <v:shape style="position:absolute;left:10;top:412;width:4776;height:2" coordorigin="10,412" coordsize="4776,0" path="m10,412l4785,412e" filled="false" stroked="true" strokeweight=".48001pt" strokecolor="#000000">
                <v:path arrowok="t"/>
              </v:shape>
            </v:group>
            <v:group style="position:absolute;left:4790;top:5;width:2;height:412" coordorigin="4790,5" coordsize="2,412">
              <v:shape style="position:absolute;left:4790;top:5;width:2;height:412" coordorigin="4790,5" coordsize="0,412" path="m4790,5l4790,416e" filled="false" stroked="true" strokeweight=".47998pt" strokecolor="#000000">
                <v:path arrowok="t"/>
              </v:shape>
            </v:group>
            <v:group style="position:absolute;left:4795;top:412;width:4774;height:2" coordorigin="4795,412" coordsize="4774,2">
              <v:shape style="position:absolute;left:4795;top:412;width:4774;height:2" coordorigin="4795,412" coordsize="4774,0" path="m4795,412l9569,412e" filled="false" stroked="true" strokeweight=".48001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004pt" strokecolor="#000000">
                <v:path arrowok="t"/>
              </v:shape>
              <v:shape style="position:absolute;left:5;top:10;width:4785;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60" w:lineRule="auto" w:before="46"/>
        <w:ind w:right="8592"/>
        <w:jc w:val="left"/>
      </w:pPr>
      <w:r>
        <w:rPr/>
        <w:t>或有对价及其变动的说明： 其他说明：</w:t>
      </w:r>
    </w:p>
    <w:p>
      <w:pPr>
        <w:spacing w:line="240" w:lineRule="auto" w:before="11"/>
        <w:rPr>
          <w:rFonts w:ascii="宋体" w:hAnsi="宋体" w:cs="宋体" w:eastAsia="宋体" w:hint="default"/>
          <w:sz w:val="19"/>
          <w:szCs w:val="19"/>
        </w:rPr>
      </w:pPr>
    </w:p>
    <w:p>
      <w:pPr>
        <w:pStyle w:val="Heading4"/>
        <w:spacing w:line="240" w:lineRule="auto"/>
        <w:ind w:right="0"/>
        <w:jc w:val="left"/>
        <w:rPr>
          <w:b w:val="0"/>
          <w:bCs w:val="0"/>
        </w:rPr>
      </w:pPr>
      <w:bookmarkStart w:name="（3）合并日被合并方资产、负债的账面价值" w:id="361"/>
      <w:bookmarkEnd w:id="361"/>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7524" w:right="1130"/>
        <w:jc w:val="right"/>
      </w:pPr>
      <w:r>
        <w:rPr/>
        <w:t>单位： 元</w:t>
      </w:r>
    </w:p>
    <w:p>
      <w:pPr>
        <w:spacing w:line="240" w:lineRule="auto" w:before="8"/>
        <w:rPr>
          <w:rFonts w:ascii="宋体" w:hAnsi="宋体" w:cs="宋体" w:eastAsia="宋体" w:hint="default"/>
          <w:sz w:val="7"/>
          <w:szCs w:val="7"/>
        </w:rPr>
      </w:pPr>
    </w:p>
    <w:p>
      <w:pPr>
        <w:spacing w:line="824" w:lineRule="exact"/>
        <w:ind w:left="149"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05pt;height:41.25pt;mso-position-horizontal-relative:char;mso-position-vertical-relative:line" coordorigin="0,0" coordsize="9581,825">
            <v:group style="position:absolute;left:21;top:16;width:2;height:392" coordorigin="21,16" coordsize="2,392">
              <v:shape style="position:absolute;left:21;top:16;width:2;height:392" coordorigin="21,16" coordsize="0,392" path="m21,16l21,407e" filled="false" stroked="true" strokeweight="1.140pt" strokecolor="#d2d2d2">
                <v:path arrowok="t"/>
              </v:shape>
            </v:group>
            <v:group style="position:absolute;left:3179;top:16;width:2;height:392" coordorigin="3179,16" coordsize="2,392">
              <v:shape style="position:absolute;left:3179;top:16;width:2;height:392" coordorigin="3179,16" coordsize="0,392" path="m3179,16l3179,407e" filled="false" stroked="true" strokeweight="1.140pt" strokecolor="#d2d2d2">
                <v:path arrowok="t"/>
              </v:shape>
            </v:group>
            <v:group style="position:absolute;left:32;top:16;width:3135;height:392" coordorigin="32,16" coordsize="3135,392">
              <v:shape style="position:absolute;left:32;top:16;width:3135;height:392" coordorigin="32,16" coordsize="3135,392" path="m32,407l3167,407,3167,16,32,16,32,407xe" filled="true" fillcolor="#d2d2d2" stroked="false">
                <v:path arrowok="t"/>
                <v:fill type="solid"/>
              </v:shape>
            </v:group>
            <v:group style="position:absolute;left:3212;top:16;width:2;height:392" coordorigin="3212,16" coordsize="2,392">
              <v:shape style="position:absolute;left:3212;top:16;width:2;height:392" coordorigin="3212,16" coordsize="0,392" path="m3212,16l3212,407e" filled="false" stroked="true" strokeweight="1.2pt" strokecolor="#e0ffff">
                <v:path arrowok="t"/>
              </v:shape>
            </v:group>
            <v:group style="position:absolute;left:9560;top:16;width:2;height:392" coordorigin="9560,16" coordsize="2,392">
              <v:shape style="position:absolute;left:9560;top:16;width:2;height:392" coordorigin="9560,16" coordsize="0,392" path="m9560,16l9560,407e" filled="false" stroked="true" strokeweight="1.140pt" strokecolor="#e0ffff">
                <v:path arrowok="t"/>
              </v:shape>
            </v:group>
            <v:group style="position:absolute;left:3224;top:16;width:6325;height:392" coordorigin="3224,16" coordsize="6325,392">
              <v:shape style="position:absolute;left:3224;top:16;width:6325;height:392" coordorigin="3224,16" coordsize="6325,392" path="m3224,407l9548,407,9548,16,3224,16,3224,407xe" filled="true" fillcolor="#e0ffff" stroked="false">
                <v:path arrowok="t"/>
                <v:fill type="solid"/>
              </v:shape>
            </v:group>
            <v:group style="position:absolute;left:10;top:10;width:3181;height:2" coordorigin="10,10" coordsize="3181,2">
              <v:shape style="position:absolute;left:10;top:10;width:3181;height:2" coordorigin="10,10" coordsize="3181,0" path="m10,10l3190,10e" filled="false" stroked="true" strokeweight=".47998pt" strokecolor="#000000">
                <v:path arrowok="t"/>
              </v:shape>
            </v:group>
            <v:group style="position:absolute;left:3200;top:10;width:6372;height:2" coordorigin="3200,10" coordsize="6372,2">
              <v:shape style="position:absolute;left:3200;top:10;width:6372;height:2" coordorigin="3200,10" coordsize="6372,0" path="m3200,10l9571,10e" filled="false" stroked="true" strokeweight=".47998pt" strokecolor="#000000">
                <v:path arrowok="t"/>
              </v:shape>
            </v:group>
            <v:group style="position:absolute;left:21;top:418;width:2;height:392" coordorigin="21,418" coordsize="2,392">
              <v:shape style="position:absolute;left:21;top:418;width:2;height:392" coordorigin="21,418" coordsize="0,392" path="m21,418l21,809e" filled="false" stroked="true" strokeweight="1.140pt" strokecolor="#d2d2d2">
                <v:path arrowok="t"/>
              </v:shape>
            </v:group>
            <v:group style="position:absolute;left:3179;top:418;width:2;height:392" coordorigin="3179,418" coordsize="2,392">
              <v:shape style="position:absolute;left:3179;top:418;width:2;height:392" coordorigin="3179,418" coordsize="0,392" path="m3179,418l3179,809e" filled="false" stroked="true" strokeweight="1.140pt" strokecolor="#d2d2d2">
                <v:path arrowok="t"/>
              </v:shape>
            </v:group>
            <v:group style="position:absolute;left:32;top:418;width:3135;height:392" coordorigin="32,418" coordsize="3135,392">
              <v:shape style="position:absolute;left:32;top:418;width:3135;height:392" coordorigin="32,418" coordsize="3135,392" path="m32,809l3167,809,3167,418,32,418,32,809xe" filled="true" fillcolor="#d2d2d2" stroked="false">
                <v:path arrowok="t"/>
                <v:fill type="solid"/>
              </v:shape>
            </v:group>
            <v:group style="position:absolute;left:3212;top:418;width:2;height:392" coordorigin="3212,418" coordsize="2,392">
              <v:shape style="position:absolute;left:3212;top:418;width:2;height:392" coordorigin="3212,418" coordsize="0,392" path="m3212,418l3212,809e" filled="false" stroked="true" strokeweight="1.2pt" strokecolor="#d2d2d2">
                <v:path arrowok="t"/>
              </v:shape>
            </v:group>
            <v:group style="position:absolute;left:6369;top:418;width:2;height:392" coordorigin="6369,418" coordsize="2,392">
              <v:shape style="position:absolute;left:6369;top:418;width:2;height:392" coordorigin="6369,418" coordsize="0,392" path="m6369,418l6369,809e" filled="false" stroked="true" strokeweight="1.140pt" strokecolor="#d2d2d2">
                <v:path arrowok="t"/>
              </v:shape>
            </v:group>
            <v:group style="position:absolute;left:3224;top:418;width:3134;height:392" coordorigin="3224,418" coordsize="3134,392">
              <v:shape style="position:absolute;left:3224;top:418;width:3134;height:392" coordorigin="3224,418" coordsize="3134,392" path="m3224,809l6357,809,6357,418,3224,418,3224,809xe" filled="true" fillcolor="#d2d2d2" stroked="false">
                <v:path arrowok="t"/>
                <v:fill type="solid"/>
              </v:shape>
            </v:group>
            <v:group style="position:absolute;left:6402;top:418;width:2;height:392" coordorigin="6402,418" coordsize="2,392">
              <v:shape style="position:absolute;left:6402;top:418;width:2;height:392" coordorigin="6402,418" coordsize="0,392" path="m6402,418l6402,809e" filled="false" stroked="true" strokeweight="1.140pt" strokecolor="#d2d2d2">
                <v:path arrowok="t"/>
              </v:shape>
            </v:group>
            <v:group style="position:absolute;left:9560;top:418;width:2;height:392" coordorigin="9560,418" coordsize="2,392">
              <v:shape style="position:absolute;left:9560;top:418;width:2;height:392" coordorigin="9560,418" coordsize="0,392" path="m9560,418l9560,809e" filled="false" stroked="true" strokeweight="1.140pt" strokecolor="#d2d2d2">
                <v:path arrowok="t"/>
              </v:shape>
            </v:group>
            <v:group style="position:absolute;left:6414;top:418;width:3135;height:392" coordorigin="6414,418" coordsize="3135,392">
              <v:shape style="position:absolute;left:6414;top:418;width:3135;height:392" coordorigin="6414,418" coordsize="3135,392" path="m6414,809l9548,809,9548,418,6414,418,6414,809xe" filled="true" fillcolor="#d2d2d2" stroked="false">
                <v:path arrowok="t"/>
                <v:fill type="solid"/>
              </v:shape>
            </v:group>
            <v:group style="position:absolute;left:10;top:412;width:3181;height:2" coordorigin="10,412" coordsize="3181,2">
              <v:shape style="position:absolute;left:10;top:412;width:3181;height:2" coordorigin="10,412" coordsize="3181,0" path="m10,412l3190,412e" filled="false" stroked="true" strokeweight=".48001pt" strokecolor="#000000">
                <v:path arrowok="t"/>
              </v:shape>
            </v:group>
            <v:group style="position:absolute;left:3200;top:412;width:3182;height:2" coordorigin="3200,412" coordsize="3182,2">
              <v:shape style="position:absolute;left:3200;top:412;width:3182;height:2" coordorigin="3200,412" coordsize="3182,0" path="m3200,412l6381,412e" filled="false" stroked="true" strokeweight=".48001pt" strokecolor="#000000">
                <v:path arrowok="t"/>
              </v:shape>
            </v:group>
            <v:group style="position:absolute;left:6391;top:412;width:3181;height:2" coordorigin="6391,412" coordsize="3181,2">
              <v:shape style="position:absolute;left:6391;top:412;width:3181;height:2" coordorigin="6391,412" coordsize="3181,0" path="m6391,412l9571,412e" filled="false" stroked="true" strokeweight=".48001pt" strokecolor="#000000">
                <v:path arrowok="t"/>
              </v:shape>
            </v:group>
            <v:group style="position:absolute;left:5;top:5;width:2;height:815" coordorigin="5,5" coordsize="2,815">
              <v:shape style="position:absolute;left:5;top:5;width:2;height:815" coordorigin="5,5" coordsize="0,815" path="m5,5l5,820e" filled="false" stroked="true" strokeweight=".48pt" strokecolor="#000000">
                <v:path arrowok="t"/>
              </v:shape>
            </v:group>
            <v:group style="position:absolute;left:10;top:815;width:3181;height:2" coordorigin="10,815" coordsize="3181,2">
              <v:shape style="position:absolute;left:10;top:815;width:3181;height:2" coordorigin="10,815" coordsize="3181,0" path="m10,815l3190,815e" filled="false" stroked="true" strokeweight=".48001pt" strokecolor="#000000">
                <v:path arrowok="t"/>
              </v:shape>
            </v:group>
            <v:group style="position:absolute;left:3195;top:5;width:2;height:815" coordorigin="3195,5" coordsize="2,815">
              <v:shape style="position:absolute;left:3195;top:5;width:2;height:815" coordorigin="3195,5" coordsize="0,815" path="m3195,5l3195,820e" filled="false" stroked="true" strokeweight=".48001pt" strokecolor="#000000">
                <v:path arrowok="t"/>
              </v:shape>
            </v:group>
            <v:group style="position:absolute;left:3200;top:815;width:3182;height:2" coordorigin="3200,815" coordsize="3182,2">
              <v:shape style="position:absolute;left:3200;top:815;width:3182;height:2" coordorigin="3200,815" coordsize="3182,0" path="m3200,815l6381,815e" filled="false" stroked="true" strokeweight=".48001pt" strokecolor="#000000">
                <v:path arrowok="t"/>
              </v:shape>
            </v:group>
            <v:group style="position:absolute;left:6386;top:407;width:2;height:413" coordorigin="6386,407" coordsize="2,413">
              <v:shape style="position:absolute;left:6386;top:407;width:2;height:413" coordorigin="6386,407" coordsize="0,413" path="m6386,407l6386,820e" filled="false" stroked="true" strokeweight=".48001pt" strokecolor="#000000">
                <v:path arrowok="t"/>
              </v:shape>
            </v:group>
            <v:group style="position:absolute;left:6391;top:815;width:3181;height:2" coordorigin="6391,815" coordsize="3181,2">
              <v:shape style="position:absolute;left:6391;top:815;width:3181;height:2" coordorigin="6391,815" coordsize="3181,0" path="m6391,815l9571,815e" filled="false" stroked="true" strokeweight=".48001pt" strokecolor="#000000">
                <v:path arrowok="t"/>
              </v:shape>
            </v:group>
            <v:group style="position:absolute;left:9576;top:5;width:2;height:815" coordorigin="9576,5" coordsize="2,815">
              <v:shape style="position:absolute;left:9576;top:5;width:2;height:815" coordorigin="9576,5" coordsize="0,815" path="m9576,5l9576,820e" filled="false" stroked="true" strokeweight=".48004pt" strokecolor="#000000">
                <v:path arrowok="t"/>
              </v:shape>
              <v:shape style="position:absolute;left:3183;top:412;width:3202;height:403" type="#_x0000_t202" filled="false" stroked="false">
                <v:textbox inset="0,0,0,0">
                  <w:txbxContent>
                    <w:p>
                      <w:pPr>
                        <w:spacing w:before="56"/>
                        <w:ind w:left="13"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5;top:412;width:3180;height:403" type="#_x0000_t202" filled="false" stroked="false">
                <v:textbox inset="0,0,0,0">
                  <w:txbxContent>
                    <w:p>
                      <w:pPr>
                        <w:spacing w:before="56"/>
                        <w:ind w:left="12"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pStyle w:val="BodyText"/>
        <w:spacing w:line="357" w:lineRule="auto" w:before="47"/>
        <w:ind w:right="7512"/>
        <w:jc w:val="left"/>
      </w:pPr>
      <w:r>
        <w:rPr/>
        <w:t>企业合并中承担的被合并方的或有负债： 其他说明：</w:t>
      </w:r>
    </w:p>
    <w:p>
      <w:pPr>
        <w:spacing w:line="240" w:lineRule="auto" w:before="1"/>
        <w:rPr>
          <w:rFonts w:ascii="宋体" w:hAnsi="宋体" w:cs="宋体" w:eastAsia="宋体" w:hint="default"/>
          <w:sz w:val="20"/>
          <w:szCs w:val="20"/>
        </w:rPr>
      </w:pPr>
    </w:p>
    <w:p>
      <w:pPr>
        <w:pStyle w:val="Heading4"/>
        <w:spacing w:line="240" w:lineRule="auto"/>
        <w:ind w:right="0"/>
        <w:jc w:val="left"/>
        <w:rPr>
          <w:b w:val="0"/>
          <w:bCs w:val="0"/>
        </w:rPr>
      </w:pPr>
      <w:bookmarkStart w:name="3、反向购买" w:id="362"/>
      <w:bookmarkEnd w:id="362"/>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8"/>
        <w:rPr>
          <w:rFonts w:ascii="宋体" w:hAnsi="宋体" w:cs="宋体" w:eastAsia="宋体" w:hint="default"/>
          <w:b/>
          <w:bCs/>
          <w:sz w:val="26"/>
          <w:szCs w:val="26"/>
        </w:rPr>
      </w:pPr>
    </w:p>
    <w:p>
      <w:pPr>
        <w:pStyle w:val="BodyText"/>
        <w:spacing w:line="319" w:lineRule="auto" w:before="0"/>
        <w:ind w:right="0"/>
        <w:jc w:val="left"/>
      </w:pPr>
      <w:r>
        <w:rPr>
          <w:spacing w:val="-2"/>
        </w:rPr>
        <w:t>交易基本信息、交易构成反向购买的依据、上市公司保留的资产、负债是否构成业务及其依据、合并成本的确定、按照权益</w:t>
      </w:r>
      <w:r>
        <w:rPr>
          <w:spacing w:val="-66"/>
        </w:rPr>
        <w:t> </w:t>
      </w:r>
      <w:r>
        <w:rPr>
          <w:spacing w:val="-66"/>
        </w:rPr>
      </w:r>
      <w:r>
        <w:rPr/>
        <w:t>性交易处理时调整权益的金额及其计算：</w:t>
      </w:r>
    </w:p>
    <w:p>
      <w:pPr>
        <w:spacing w:line="240" w:lineRule="auto" w:before="3"/>
        <w:rPr>
          <w:rFonts w:ascii="宋体" w:hAnsi="宋体" w:cs="宋体" w:eastAsia="宋体" w:hint="default"/>
          <w:sz w:val="22"/>
          <w:szCs w:val="22"/>
        </w:rPr>
      </w:pPr>
    </w:p>
    <w:p>
      <w:pPr>
        <w:pStyle w:val="Heading4"/>
        <w:spacing w:line="240" w:lineRule="auto"/>
        <w:ind w:right="0"/>
        <w:jc w:val="left"/>
        <w:rPr>
          <w:b w:val="0"/>
          <w:bCs w:val="0"/>
        </w:rPr>
      </w:pPr>
      <w:bookmarkStart w:name="4、处置子公司" w:id="363"/>
      <w:bookmarkEnd w:id="363"/>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是否存在单次处置对子公司投资即丧失控制权的情形</w:t>
      </w:r>
    </w:p>
    <w:p>
      <w:pPr>
        <w:pStyle w:val="BodyText"/>
        <w:spacing w:line="338" w:lineRule="auto" w:before="116"/>
        <w:ind w:right="49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是否存在通过多次交易分步处置对子公司投资且在本期丧失控制权的情形</w:t>
      </w:r>
    </w:p>
    <w:p>
      <w:pPr>
        <w:pStyle w:val="BodyText"/>
        <w:spacing w:line="240" w:lineRule="auto" w:before="4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5、其他原因的合并范围变动" w:id="364"/>
      <w:bookmarkEnd w:id="364"/>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说明其他原因导致的合并范围变动（如，新设子公司、清算子公司等）及其相关情况：</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line="487" w:lineRule="auto" w:before="35"/>
        <w:ind w:left="154" w:right="7692" w:firstLine="0"/>
        <w:jc w:val="left"/>
        <w:rPr>
          <w:rFonts w:ascii="宋体" w:hAnsi="宋体" w:cs="宋体" w:eastAsia="宋体" w:hint="default"/>
          <w:sz w:val="21"/>
          <w:szCs w:val="21"/>
        </w:rPr>
      </w:pPr>
      <w:bookmarkStart w:name="6、其他" w:id="365"/>
      <w:bookmarkEnd w:id="365"/>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九、在其他主体中的权益" w:id="366"/>
      <w:bookmarkEnd w:id="366"/>
      <w:r>
        <w:rPr>
          <w:rFonts w:ascii="宋体" w:hAnsi="宋体" w:cs="宋体" w:eastAsia="宋体" w:hint="default"/>
          <w:b/>
          <w:bCs/>
          <w:spacing w:val="1"/>
          <w:w w:val="99"/>
          <w:sz w:val="21"/>
          <w:szCs w:val="21"/>
        </w:rPr>
      </w:r>
      <w:r>
        <w:rPr>
          <w:rFonts w:ascii="宋体" w:hAnsi="宋体" w:cs="宋体" w:eastAsia="宋体" w:hint="default"/>
          <w:b/>
          <w:bCs/>
          <w:w w:val="95"/>
          <w:sz w:val="24"/>
          <w:szCs w:val="24"/>
        </w:rPr>
        <w:t>九、在其他主体中的权益</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在子公司中的权益" w:id="367"/>
      <w:bookmarkEnd w:id="367"/>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4"/>
        <w:spacing w:line="240" w:lineRule="auto" w:before="83"/>
        <w:ind w:right="0"/>
        <w:jc w:val="left"/>
        <w:rPr>
          <w:b w:val="0"/>
          <w:bCs w:val="0"/>
        </w:rPr>
      </w:pPr>
      <w:bookmarkStart w:name="（1）企业集团的构成" w:id="368"/>
      <w:bookmarkEnd w:id="368"/>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安徽森源电器有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安徽鑫龙电器元 件销售有限公司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安徽鑫龙自动化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安徽鑫龙低压电 器有限公司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安徽鑫龙变压器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77"/>
              <w:jc w:val="left"/>
              <w:rPr>
                <w:rFonts w:ascii="宋体" w:hAnsi="宋体" w:cs="宋体" w:eastAsia="宋体" w:hint="default"/>
                <w:sz w:val="18"/>
                <w:szCs w:val="18"/>
              </w:rPr>
            </w:pPr>
            <w:r>
              <w:rPr>
                <w:rFonts w:ascii="宋体" w:hAnsi="宋体" w:cs="宋体" w:eastAsia="宋体" w:hint="default"/>
                <w:sz w:val="18"/>
                <w:szCs w:val="18"/>
              </w:rPr>
              <w:t>安徽北辰能源工 程技术有限公司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安装劳务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斯高思电器（安 徽）有限公司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安徽鑫东投资管 理有限公司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安徽佑赛科技股 份有限公司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68.00%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亳州鑫龙电气有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亳州市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亳州市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天津市泰达工程 设计有限公司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59.74%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1"/>
              <w:jc w:val="left"/>
              <w:rPr>
                <w:rFonts w:ascii="宋体" w:hAnsi="宋体" w:cs="宋体" w:eastAsia="宋体" w:hint="default"/>
                <w:sz w:val="18"/>
                <w:szCs w:val="18"/>
              </w:rPr>
            </w:pPr>
            <w:r>
              <w:rPr>
                <w:rFonts w:ascii="宋体" w:hAnsi="宋体" w:cs="宋体" w:eastAsia="宋体" w:hint="default"/>
                <w:sz w:val="18"/>
                <w:szCs w:val="18"/>
              </w:rPr>
              <w:t>非同一控制下购 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苏州开关二厂有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苏州市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苏州市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1"/>
              <w:jc w:val="left"/>
              <w:rPr>
                <w:rFonts w:ascii="宋体" w:hAnsi="宋体" w:cs="宋体" w:eastAsia="宋体" w:hint="default"/>
                <w:sz w:val="18"/>
                <w:szCs w:val="18"/>
              </w:rPr>
            </w:pPr>
            <w:r>
              <w:rPr>
                <w:rFonts w:ascii="宋体" w:hAnsi="宋体" w:cs="宋体" w:eastAsia="宋体" w:hint="default"/>
                <w:sz w:val="18"/>
                <w:szCs w:val="18"/>
              </w:rPr>
              <w:t>非同一控制下购 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北京中电兴发科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1"/>
              <w:jc w:val="left"/>
              <w:rPr>
                <w:rFonts w:ascii="宋体" w:hAnsi="宋体" w:cs="宋体" w:eastAsia="宋体" w:hint="default"/>
                <w:sz w:val="18"/>
                <w:szCs w:val="18"/>
              </w:rPr>
            </w:pPr>
            <w:r>
              <w:rPr>
                <w:rFonts w:ascii="宋体" w:hAnsi="宋体" w:cs="宋体" w:eastAsia="宋体" w:hint="default"/>
                <w:sz w:val="18"/>
                <w:szCs w:val="18"/>
              </w:rPr>
              <w:t>非同一控制下购 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2" w:right="137"/>
              <w:jc w:val="left"/>
              <w:rPr>
                <w:rFonts w:ascii="宋体" w:hAnsi="宋体" w:cs="宋体" w:eastAsia="宋体" w:hint="default"/>
                <w:sz w:val="18"/>
                <w:szCs w:val="18"/>
              </w:rPr>
            </w:pPr>
            <w:r>
              <w:rPr>
                <w:rFonts w:ascii="宋体" w:hAnsi="宋体" w:cs="宋体" w:eastAsia="宋体" w:hint="default"/>
                <w:sz w:val="18"/>
                <w:szCs w:val="18"/>
              </w:rPr>
              <w:t>信诺非凡</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 </w:t>
            </w:r>
            <w:r>
              <w:rPr>
                <w:rFonts w:ascii="宋体" w:hAnsi="宋体" w:cs="宋体" w:eastAsia="宋体" w:hint="default"/>
                <w:sz w:val="18"/>
                <w:szCs w:val="18"/>
              </w:rPr>
              <w:t>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71"/>
              <w:jc w:val="left"/>
              <w:rPr>
                <w:rFonts w:ascii="宋体" w:hAnsi="宋体" w:cs="宋体" w:eastAsia="宋体" w:hint="default"/>
                <w:sz w:val="18"/>
                <w:szCs w:val="18"/>
              </w:rPr>
            </w:pPr>
            <w:r>
              <w:rPr>
                <w:rFonts w:ascii="宋体" w:hAnsi="宋体" w:cs="宋体" w:eastAsia="宋体" w:hint="default"/>
                <w:sz w:val="18"/>
                <w:szCs w:val="18"/>
              </w:rPr>
              <w:t>非同一控制下购 并</w:t>
            </w:r>
          </w:p>
        </w:tc>
      </w:tr>
      <w:tr>
        <w:trPr>
          <w:trHeight w:val="67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中电兴发机器人 技术</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有限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68.00%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出资设立</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6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安徽杰偌新材料 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安徽鑫龙电器有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安徽龙玺新能源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新能源技术研 发、新能源汽车 租赁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红河智慧科技有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蒙自市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蒙自市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非同一控制下购 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云南红河智慧城 市互联网发展有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蒙自市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蒙自市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互联网开发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非同一控制下购 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红河智慧旅游信 息发展有限公司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蒙自市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蒙自市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旅游开发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非同一控制下购 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安徽鑫畅达轨道 交通电气有限公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生产、销售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安徽鑫龙售电有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电力销售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云南中电典基网 络科技有限公司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昆明市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昆明市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伊宁县智慧城市 信息科技有限公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伊宁县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伊宁县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天津滨龙工程管 理咨询有限公司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造价咨询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苏州天平安装工 程有限公司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苏州市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苏州市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安装劳务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99.71%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非同一控制下购 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安徽中电兴发科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中电兴发软件研 发（北京）有限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67.00%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北京普天智慧科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枣强县智慧城市 信息技术服务有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枣强县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枣强县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出资设立</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中普慧园科技</w:t>
            </w:r>
          </w:p>
          <w:p>
            <w:pPr>
              <w:pStyle w:val="TableParagraph"/>
              <w:spacing w:line="319" w:lineRule="auto" w:before="76"/>
              <w:ind w:left="22" w:right="77"/>
              <w:jc w:val="left"/>
              <w:rPr>
                <w:rFonts w:ascii="宋体" w:hAnsi="宋体" w:cs="宋体" w:eastAsia="宋体" w:hint="default"/>
                <w:sz w:val="18"/>
                <w:szCs w:val="18"/>
              </w:rPr>
            </w:pPr>
            <w:r>
              <w:rPr>
                <w:rFonts w:ascii="宋体" w:hAnsi="宋体" w:cs="宋体" w:eastAsia="宋体" w:hint="default"/>
                <w:sz w:val="18"/>
                <w:szCs w:val="18"/>
              </w:rPr>
              <w:t>（北京）有限公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凤凰智慧城市管 理运营有限责任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凤凰县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凤凰县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云南中电新联通 信网络有限公司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昆明市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昆明市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昭通中典联网络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昭通市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昭通市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通讯开发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68.00%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昭通欣联企业管 理有限合伙企业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昭通市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昭通市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企业管理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40.63%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曲靖中典联网络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曲靖市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曲靖市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通讯开发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68.00%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曲靖卓联企业管 理合伙企业（有 限合伙）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曲靖市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曲靖市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企业管理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40.63%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普洱中典联网络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普洱市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普洱市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通讯开发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68.00%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普洱卓联企业管 理合伙企业（有 限合伙）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普洱市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普洱市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企业管理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40.63%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楚雄彝州云数据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楚雄市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楚雄市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通讯开发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68.00%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楚雄市卓联企业 管理合伙企业</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楚雄市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楚雄市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企业管理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40.63%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湖南恒联通达信 息科技有限公司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长沙市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长沙市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非同一控制下购 并</w:t>
            </w:r>
          </w:p>
        </w:tc>
      </w:tr>
    </w:tbl>
    <w:p>
      <w:pPr>
        <w:pStyle w:val="BodyText"/>
        <w:spacing w:line="360" w:lineRule="auto" w:before="51"/>
        <w:ind w:right="2832"/>
        <w:jc w:val="left"/>
      </w:pP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357" w:lineRule="auto" w:before="27"/>
        <w:ind w:right="7692"/>
        <w:jc w:val="left"/>
      </w:pPr>
      <w:r>
        <w:rPr/>
        <w:t>确定公司是代理人还是委托人的依据： 其他说明：</w:t>
      </w:r>
    </w:p>
    <w:p>
      <w:pPr>
        <w:spacing w:line="240" w:lineRule="auto" w:before="13"/>
        <w:rPr>
          <w:rFonts w:ascii="宋体" w:hAnsi="宋体" w:cs="宋体" w:eastAsia="宋体" w:hint="default"/>
          <w:sz w:val="19"/>
          <w:szCs w:val="19"/>
        </w:rPr>
      </w:pPr>
    </w:p>
    <w:p>
      <w:pPr>
        <w:pStyle w:val="Heading4"/>
        <w:spacing w:line="240" w:lineRule="auto"/>
        <w:ind w:right="0"/>
        <w:jc w:val="left"/>
        <w:rPr>
          <w:b w:val="0"/>
          <w:bCs w:val="0"/>
        </w:rPr>
      </w:pPr>
      <w:bookmarkStart w:name="（2）重要的非全资子公司" w:id="369"/>
      <w:bookmarkEnd w:id="369"/>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7524"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6"/>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6"/>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1" w:right="0"/>
              <w:jc w:val="left"/>
              <w:rPr>
                <w:rFonts w:ascii="宋体" w:hAnsi="宋体" w:cs="宋体" w:eastAsia="宋体" w:hint="default"/>
                <w:sz w:val="18"/>
                <w:szCs w:val="18"/>
              </w:rPr>
            </w:pPr>
            <w:r>
              <w:rPr>
                <w:rFonts w:ascii="宋体" w:hAnsi="宋体" w:cs="宋体" w:eastAsia="宋体" w:hint="default"/>
                <w:sz w:val="18"/>
                <w:szCs w:val="18"/>
              </w:rPr>
              <w:t>期末少数股东权益余额</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安徽佑赛科技股份有限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-177,117.55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13,814,613.16</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天津市泰达工程设计有 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8,018,856.61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2,960,062.24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51,075,703.40</w:t>
            </w:r>
          </w:p>
        </w:tc>
      </w:tr>
      <w:tr>
        <w:trPr>
          <w:trHeight w:val="40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苏州开关二厂有限公司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12,603,804.86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82,516,800.91</w:t>
            </w:r>
          </w:p>
        </w:tc>
      </w:tr>
    </w:tbl>
    <w:p>
      <w:pPr>
        <w:pStyle w:val="BodyText"/>
        <w:spacing w:line="360" w:lineRule="auto" w:before="51"/>
        <w:ind w:right="6432"/>
        <w:jc w:val="left"/>
      </w:pPr>
      <w:r>
        <w:rPr/>
        <w:t>子公司少数股东的持股比例不同于表决权比例的说明： 其他说明：</w:t>
      </w:r>
    </w:p>
    <w:p>
      <w:pPr>
        <w:spacing w:line="240" w:lineRule="auto" w:before="11"/>
        <w:rPr>
          <w:rFonts w:ascii="宋体" w:hAnsi="宋体" w:cs="宋体" w:eastAsia="宋体" w:hint="default"/>
          <w:sz w:val="19"/>
          <w:szCs w:val="19"/>
        </w:rPr>
      </w:pPr>
    </w:p>
    <w:p>
      <w:pPr>
        <w:pStyle w:val="Heading4"/>
        <w:spacing w:line="240" w:lineRule="auto"/>
        <w:ind w:right="0"/>
        <w:jc w:val="left"/>
        <w:rPr>
          <w:b w:val="0"/>
          <w:bCs w:val="0"/>
        </w:rPr>
      </w:pPr>
      <w:bookmarkStart w:name="（3）重要非全资子公司的主要财务信息" w:id="370"/>
      <w:bookmarkEnd w:id="370"/>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7524"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1"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安徽佑 赛科技 股份有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78,557,5</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06.63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4,876,23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5.80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83,433,7</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42.43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42,757,8</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44.56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322,000.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43,079,8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44.56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53,697,5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61.22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6,181,40</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4.56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59,878,9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65.78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19,150,9</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02.43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133,000.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19,283,9</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02.43</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天津市 泰达工 程设计 有限公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103,299,</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909.06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71,553,1</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91.50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174,853,</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100.56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46,709,2</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84.60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1,285,47</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9.59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47,994,7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64.19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73,381,5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02.42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72,544,8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38.23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145,926,</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340.65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26,225,1</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19.57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5,407,57</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1.93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31,632,6</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91.50</w:t>
            </w:r>
          </w:p>
        </w:tc>
      </w:tr>
      <w:tr>
        <w:trPr>
          <w:trHeight w:val="1339"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苏州开 关二厂 有限公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356,470,</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466.39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104,993,</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137.55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461,463,</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603.94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183,129,</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200.85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3,164,55</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4.08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186,293,</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754.93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289,845,</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246.56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39,452,7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69.69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329,298,</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016.25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68,409,1</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05.90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3,491,50</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4.90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71,900,6</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10.80</w:t>
            </w:r>
          </w:p>
        </w:tc>
      </w:tr>
    </w:tbl>
    <w:p>
      <w:pPr>
        <w:pStyle w:val="BodyText"/>
        <w:spacing w:line="240" w:lineRule="auto" w:before="51"/>
        <w:ind w:left="7524"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7"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6"/>
              <w:jc w:val="both"/>
              <w:rPr>
                <w:rFonts w:ascii="宋体" w:hAnsi="宋体" w:cs="宋体" w:eastAsia="宋体" w:hint="default"/>
                <w:sz w:val="18"/>
                <w:szCs w:val="18"/>
              </w:rPr>
            </w:pPr>
            <w:r>
              <w:rPr>
                <w:rFonts w:ascii="宋体" w:hAnsi="宋体" w:cs="宋体" w:eastAsia="宋体" w:hint="default"/>
                <w:sz w:val="18"/>
                <w:szCs w:val="18"/>
              </w:rPr>
              <w:t>安徽佑赛科 技股份有限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52,238,124.5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59" w:right="0"/>
              <w:jc w:val="left"/>
              <w:rPr>
                <w:rFonts w:ascii="Times New Roman" w:hAnsi="Times New Roman" w:cs="Times New Roman" w:eastAsia="Times New Roman" w:hint="default"/>
                <w:sz w:val="18"/>
                <w:szCs w:val="18"/>
              </w:rPr>
            </w:pPr>
            <w:r>
              <w:rPr>
                <w:rFonts w:ascii="Times New Roman"/>
                <w:sz w:val="18"/>
              </w:rPr>
              <w:t>-241,165.48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Times New Roman"/>
                <w:sz w:val="18"/>
              </w:rPr>
              <w:t>-241,165.48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3,484,527.45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54,030,701.4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4,281,564.32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4,281,564.32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1,898,623.68</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26"/>
              <w:jc w:val="both"/>
              <w:rPr>
                <w:rFonts w:ascii="宋体" w:hAnsi="宋体" w:cs="宋体" w:eastAsia="宋体" w:hint="default"/>
                <w:sz w:val="18"/>
                <w:szCs w:val="18"/>
              </w:rPr>
            </w:pPr>
            <w:r>
              <w:rPr>
                <w:rFonts w:ascii="宋体" w:hAnsi="宋体" w:cs="宋体" w:eastAsia="宋体" w:hint="default"/>
                <w:sz w:val="18"/>
                <w:szCs w:val="18"/>
              </w:rPr>
              <w:t>天津市泰达 工程设计有 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111,002,492.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19,916,687.2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19,916,687.2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2,927,500.76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85,965,203.7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24,934,682.5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24,934,682.5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27,421,929.3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r>
      <w:tr>
        <w:trPr>
          <w:trHeight w:val="71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6"/>
              <w:jc w:val="left"/>
              <w:rPr>
                <w:rFonts w:ascii="宋体" w:hAnsi="宋体" w:cs="宋体" w:eastAsia="宋体" w:hint="default"/>
                <w:sz w:val="18"/>
                <w:szCs w:val="18"/>
              </w:rPr>
            </w:pPr>
            <w:r>
              <w:rPr>
                <w:rFonts w:ascii="宋体" w:hAnsi="宋体" w:cs="宋体" w:eastAsia="宋体" w:hint="default"/>
                <w:sz w:val="18"/>
                <w:szCs w:val="18"/>
              </w:rPr>
              <w:t>苏州开关二 厂有限公司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269,402,790.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48,332,136.6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48,332,136.6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23,577,998.2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164,334,415.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53,011,799.3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53,011,799.3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24,256,918.5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r>
    </w:tbl>
    <w:p>
      <w:pPr>
        <w:pStyle w:val="BodyText"/>
        <w:spacing w:line="240" w:lineRule="auto" w:before="51"/>
        <w:ind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4）使用企业集团资产和清偿企业集团债务的重大限制" w:id="371"/>
      <w:bookmarkEnd w:id="371"/>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5）向纳入合并财务报表范围的结构化主体提供的财务支持或其他支持" w:id="372"/>
      <w:bookmarkEnd w:id="372"/>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在子公司的所有者权益份额发生变化且仍控制子公司的交易" w:id="373"/>
      <w:bookmarkEnd w:id="373"/>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在子公司所有者权益份额发生变化的情况说明" w:id="374"/>
      <w:bookmarkEnd w:id="374"/>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2）交易对于少数股东权益及归属于母公司所有者权益的影响" w:id="375"/>
      <w:bookmarkEnd w:id="375"/>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7524" w:right="1130"/>
        <w:jc w:val="right"/>
      </w:pPr>
      <w:r>
        <w:rPr/>
        <w:t>单位： 元</w:t>
      </w:r>
    </w:p>
    <w:p>
      <w:pPr>
        <w:spacing w:line="240" w:lineRule="auto" w:before="9"/>
        <w:rPr>
          <w:rFonts w:ascii="宋体" w:hAnsi="宋体" w:cs="宋体" w:eastAsia="宋体" w:hint="default"/>
          <w:sz w:val="7"/>
          <w:szCs w:val="7"/>
        </w:rPr>
      </w:pPr>
    </w:p>
    <w:p>
      <w:pPr>
        <w:spacing w:line="42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4773;top:14;width:2;height:393" coordorigin="4773,14" coordsize="2,393">
              <v:shape style="position:absolute;left:4773;top:14;width:2;height:393" coordorigin="4773,14" coordsize="0,393" path="m4773,14l4773,407e" filled="false" stroked="true" strokeweight="1.140pt" strokecolor="#d2d2d2">
                <v:path arrowok="t"/>
              </v:shape>
            </v:group>
            <v:group style="position:absolute;left:32;top:14;width:4729;height:393" coordorigin="32,14" coordsize="4729,393">
              <v:shape style="position:absolute;left:32;top:14;width:4729;height:393" coordorigin="32,14" coordsize="4729,393" path="m32,407l4761,407,4761,14,32,14,32,407xe" filled="true" fillcolor="#d2d2d2" stroked="false">
                <v:path arrowok="t"/>
                <v:fill type="solid"/>
              </v:shape>
            </v:group>
            <v:group style="position:absolute;left:4806;top:14;width:2;height:393" coordorigin="4806,14" coordsize="2,393">
              <v:shape style="position:absolute;left:4806;top:14;width:2;height:393" coordorigin="4806,14" coordsize="0,393" path="m4806,14l4806,407e" filled="false" stroked="true" strokeweight="1.140pt" strokecolor="#e0ffff">
                <v:path arrowok="t"/>
              </v:shape>
            </v:group>
            <v:group style="position:absolute;left:9557;top:14;width:2;height:393" coordorigin="9557,14" coordsize="2,393">
              <v:shape style="position:absolute;left:9557;top:14;width:2;height:393" coordorigin="9557,14" coordsize="0,393" path="m9557,14l9557,407e" filled="false" stroked="true" strokeweight="1.140pt" strokecolor="#e0ffff">
                <v:path arrowok="t"/>
              </v:shape>
            </v:group>
            <v:group style="position:absolute;left:4818;top:14;width:4729;height:393" coordorigin="4818,14" coordsize="4729,393">
              <v:shape style="position:absolute;left:4818;top:14;width:4729;height:393" coordorigin="4818,14" coordsize="4729,393" path="m4818,407l9546,407,9546,14,4818,14,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001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001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4776;height:2" coordorigin="10,412" coordsize="4776,2">
              <v:shape style="position:absolute;left:10;top:412;width:4776;height:2" coordorigin="10,412" coordsize="4776,0" path="m10,412l4785,412e" filled="false" stroked="true" strokeweight=".47998pt" strokecolor="#000000">
                <v:path arrowok="t"/>
              </v:shape>
            </v:group>
            <v:group style="position:absolute;left:4790;top:5;width:2;height:412" coordorigin="4790,5" coordsize="2,412">
              <v:shape style="position:absolute;left:4790;top:5;width:2;height:412" coordorigin="4790,5" coordsize="0,412" path="m4790,5l4790,416e" filled="false" stroked="true" strokeweight=".47998pt" strokecolor="#000000">
                <v:path arrowok="t"/>
              </v:shape>
            </v:group>
            <v:group style="position:absolute;left:4795;top:412;width:4774;height:2" coordorigin="4795,412" coordsize="4774,2">
              <v:shape style="position:absolute;left:4795;top:412;width:4774;height:2" coordorigin="4795,412" coordsize="4774,0" path="m4795,412l9569,412e" filled="false" stroked="true" strokeweight=".47998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004pt" strokecolor="#000000">
                <v:path arrowok="t"/>
              </v:shape>
            </v:group>
          </v:group>
        </w:pict>
      </w:r>
      <w:r>
        <w:rPr>
          <w:rFonts w:ascii="宋体" w:hAnsi="宋体" w:cs="宋体" w:eastAsia="宋体" w:hint="default"/>
          <w:position w:val="-7"/>
          <w:sz w:val="20"/>
          <w:szCs w:val="20"/>
        </w:rPr>
      </w:r>
    </w:p>
    <w:p>
      <w:pPr>
        <w:pStyle w:val="BodyText"/>
        <w:spacing w:line="240" w:lineRule="auto" w:before="46"/>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在合营安排或联营企业中的权益" w:id="376"/>
      <w:bookmarkEnd w:id="376"/>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重要的合营企业或联营企业" w:id="377"/>
      <w:bookmarkEnd w:id="377"/>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安徽美能储能系 统有限公司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生产、销售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42.20%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240" w:lineRule="auto" w:before="51"/>
        <w:ind w:right="0"/>
        <w:jc w:val="left"/>
      </w:pPr>
      <w:r>
        <w:rPr/>
        <w:t>在合营企业或联营企业的持股比例不同于表决权比例的说明：</w:t>
      </w:r>
    </w:p>
    <w:p>
      <w:pPr>
        <w:pStyle w:val="BodyText"/>
        <w:spacing w:line="240" w:lineRule="auto" w:before="117"/>
        <w:ind w:right="0"/>
        <w:jc w:val="left"/>
      </w:pPr>
      <w:r>
        <w:rPr/>
        <w:t>持有</w:t>
      </w:r>
      <w:r>
        <w:rPr>
          <w:spacing w:val="-46"/>
        </w:rPr>
        <w:t> </w:t>
      </w:r>
      <w:r>
        <w:rPr>
          <w:rFonts w:ascii="Times New Roman" w:hAnsi="Times New Roman" w:cs="Times New Roman" w:eastAsia="Times New Roman" w:hint="default"/>
        </w:rPr>
        <w:t>20%</w:t>
      </w:r>
      <w:r>
        <w:rPr/>
        <w:t>以下表决权但具有重大影响，或者持有</w:t>
      </w:r>
      <w:r>
        <w:rPr>
          <w:spacing w:val="-46"/>
        </w:rPr>
        <w:t> </w:t>
      </w:r>
      <w:r>
        <w:rPr>
          <w:rFonts w:ascii="Times New Roman" w:hAnsi="Times New Roman" w:cs="Times New Roman" w:eastAsia="Times New Roman" w:hint="default"/>
        </w:rPr>
        <w:t>20%</w:t>
      </w:r>
      <w:r>
        <w:rPr/>
        <w:t>或以上表决权但不具有重大影响的依据：</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重要合营企业的主要财务信息" w:id="378"/>
      <w:bookmarkEnd w:id="378"/>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7524"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9"/>
        <w:gridCol w:w="3191"/>
        <w:gridCol w:w="3179"/>
      </w:tblGrid>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重要联营企业的主要财务信息" w:id="379"/>
      <w:bookmarkEnd w:id="379"/>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7524"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7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6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51"/>
              <w:ind w:left="511" w:right="0"/>
              <w:jc w:val="left"/>
              <w:rPr>
                <w:rFonts w:ascii="宋体" w:hAnsi="宋体" w:cs="宋体" w:eastAsia="宋体" w:hint="default"/>
                <w:sz w:val="18"/>
                <w:szCs w:val="18"/>
              </w:rPr>
            </w:pPr>
            <w:r>
              <w:rPr>
                <w:rFonts w:ascii="宋体" w:hAnsi="宋体" w:cs="宋体" w:eastAsia="宋体" w:hint="default"/>
                <w:sz w:val="18"/>
                <w:szCs w:val="18"/>
              </w:rPr>
              <w:t>安徽美能储能系统有限公司</w:t>
            </w:r>
          </w:p>
        </w:tc>
        <w:tc>
          <w:tcPr>
            <w:tcW w:w="317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509" w:right="0"/>
              <w:jc w:val="left"/>
              <w:rPr>
                <w:rFonts w:ascii="宋体" w:hAnsi="宋体" w:cs="宋体" w:eastAsia="宋体" w:hint="default"/>
                <w:sz w:val="18"/>
                <w:szCs w:val="18"/>
              </w:rPr>
            </w:pPr>
            <w:r>
              <w:rPr>
                <w:rFonts w:ascii="宋体" w:hAnsi="宋体" w:cs="宋体" w:eastAsia="宋体" w:hint="default"/>
                <w:sz w:val="18"/>
                <w:szCs w:val="18"/>
              </w:rPr>
              <w:t>安徽美能储能系统有限公司</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20,304,740.26</w:t>
            </w:r>
          </w:p>
        </w:tc>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22,660,046.59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11,509,693.33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14,426,881.60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31,814,433.59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37,086,928.19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4,246,322.36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3,816,633.92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4,246,322.36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3,816,633.92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27,568,111.23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33,270,294.27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11,633,742.94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14,040,064.18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-108,687.71</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-109,257.93</w:t>
            </w:r>
            <w:r>
              <w:rPr>
                <w:rFonts w:ascii="Times New Roman"/>
                <w:sz w:val="18"/>
              </w:rPr>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11,525,055.23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13,930,806.25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3,030,578.26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5,206,980.64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-5,702,183.04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-10,707,393.07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-5,702,183.04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-10,707,393.07</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不重要的合营企业和联营企业的汇总财务信息" w:id="380"/>
      <w:bookmarkEnd w:id="380"/>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7524"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00"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10,327,725.62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8,842,391.64</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1,485,333.98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-598,478.34</w:t>
            </w:r>
            <w:r>
              <w:rPr>
                <w:rFonts w:ascii="Times New Roman"/>
                <w:sz w:val="18"/>
              </w:rPr>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1,485,333.98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-598,478.34</w:t>
            </w:r>
            <w:r>
              <w:rPr>
                <w:rFonts w:ascii="Times New Roman"/>
                <w:sz w:val="18"/>
              </w:rPr>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5）合营企业或联营企业向本公司转移资金的能力存在重大限制的说明" w:id="381"/>
      <w:bookmarkEnd w:id="381"/>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6）合营企业或联营企业发生的超额亏损" w:id="382"/>
      <w:bookmarkEnd w:id="382"/>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7524"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1"/>
        <w:gridCol w:w="2392"/>
        <w:gridCol w:w="2392"/>
        <w:gridCol w:w="2394"/>
      </w:tblGrid>
      <w:tr>
        <w:trPr>
          <w:trHeight w:val="71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00" w:right="111" w:hanging="990"/>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50" w:right="21" w:hanging="628"/>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pStyle w:val="BodyText"/>
        <w:spacing w:line="240" w:lineRule="auto" w:before="52"/>
        <w:ind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7）与合营企业投资相关的未确认承诺" w:id="383"/>
      <w:bookmarkEnd w:id="383"/>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8）与合营企业或联营企业投资相关的或有负债" w:id="384"/>
      <w:bookmarkEnd w:id="384"/>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4、重要的共同经营" w:id="385"/>
      <w:bookmarkEnd w:id="385"/>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8"/>
        <w:gridCol w:w="1594"/>
        <w:gridCol w:w="1595"/>
        <w:gridCol w:w="1594"/>
        <w:gridCol w:w="1594"/>
        <w:gridCol w:w="1594"/>
      </w:tblGrid>
      <w:tr>
        <w:trPr>
          <w:trHeight w:val="402" w:hRule="exact"/>
        </w:trPr>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2"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2" w:hRule="exact"/>
        </w:trPr>
        <w:tc>
          <w:tcPr>
            <w:tcW w:w="1598"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pStyle w:val="BodyText"/>
        <w:spacing w:line="357" w:lineRule="auto" w:before="52"/>
        <w:ind w:right="5532"/>
        <w:jc w:val="left"/>
      </w:pPr>
      <w:r>
        <w:rPr/>
        <w:t>在共同经营中的持股比例或享有的份额不同于表决权比例的说明： 共同经营为单独主体的，分类为共同经营的依据：</w:t>
      </w:r>
    </w:p>
    <w:p>
      <w:pPr>
        <w:pStyle w:val="BodyText"/>
        <w:spacing w:line="240" w:lineRule="auto" w:before="29"/>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5、在未纳入合并财务报表范围的结构化主体中的权益" w:id="386"/>
      <w:bookmarkEnd w:id="386"/>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未纳入合并财务报表范围的结构化主体的相关说明：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6、其他" w:id="387"/>
      <w:bookmarkEnd w:id="387"/>
      <w:r>
        <w:rPr>
          <w:b w:val="0"/>
          <w:bCs w:val="0"/>
        </w:rPr>
      </w:r>
      <w:r>
        <w:rPr>
          <w:rFonts w:ascii="Times New Roman" w:hAnsi="Times New Roman" w:cs="Times New Roman" w:eastAsia="Times New Roman" w:hint="default"/>
        </w:rPr>
        <w:t>6</w:t>
      </w:r>
      <w:r>
        <w:rPr/>
        <w:t>、其他</w:t>
      </w:r>
      <w:r>
        <w:rPr>
          <w:b w:val="0"/>
          <w:bCs w:val="0"/>
        </w:rPr>
      </w:r>
    </w:p>
    <w:p>
      <w:pPr>
        <w:spacing w:line="240" w:lineRule="auto" w:before="13"/>
        <w:rPr>
          <w:rFonts w:ascii="宋体" w:hAnsi="宋体" w:cs="宋体" w:eastAsia="宋体" w:hint="default"/>
          <w:b/>
          <w:bCs/>
          <w:sz w:val="22"/>
          <w:szCs w:val="22"/>
        </w:rPr>
      </w:pPr>
    </w:p>
    <w:p>
      <w:pPr>
        <w:pStyle w:val="Heading2"/>
        <w:spacing w:line="240" w:lineRule="auto"/>
        <w:ind w:right="0"/>
        <w:jc w:val="left"/>
        <w:rPr>
          <w:b w:val="0"/>
          <w:bCs w:val="0"/>
        </w:rPr>
      </w:pPr>
      <w:bookmarkStart w:name="十、与金融工具相关的风险" w:id="388"/>
      <w:bookmarkEnd w:id="388"/>
      <w:r>
        <w:rPr>
          <w:b w:val="0"/>
          <w:bCs w:val="0"/>
        </w:rPr>
      </w: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19" w:lineRule="auto" w:before="0"/>
        <w:ind w:right="0" w:firstLine="360"/>
        <w:jc w:val="left"/>
      </w:pPr>
      <w:r>
        <w:rPr>
          <w:spacing w:val="-2"/>
        </w:rPr>
        <w:t>本公司的经营活动会面临各种金融风险：信用风险、流动风险和市场风险（主要为汇率风险和利率风险）。本公司整体</w:t>
      </w:r>
      <w:r>
        <w:rPr/>
        <w:t> 的风险管理计划针对金融市场的不可预见性，力求减少对本公司财务业绩的潜在不利影响。</w:t>
      </w:r>
    </w:p>
    <w:p>
      <w:pPr>
        <w:pStyle w:val="BodyText"/>
        <w:spacing w:line="316" w:lineRule="auto" w:before="17"/>
        <w:ind w:left="514" w:right="1118" w:hanging="360"/>
        <w:jc w:val="left"/>
      </w:pPr>
      <w:r>
        <w:rPr>
          <w:rFonts w:ascii="宋体" w:hAnsi="宋体" w:cs="宋体" w:eastAsia="宋体" w:hint="default"/>
          <w:b/>
          <w:bCs/>
        </w:rPr>
        <w:t>（一）信用风险</w:t>
      </w:r>
      <w:r>
        <w:rPr>
          <w:rFonts w:ascii="宋体" w:hAnsi="宋体" w:cs="宋体" w:eastAsia="宋体" w:hint="default"/>
          <w:b/>
          <w:bCs/>
          <w:w w:val="99"/>
        </w:rPr>
        <w:t> </w:t>
      </w:r>
      <w:r>
        <w:rPr>
          <w:spacing w:val="-2"/>
        </w:rPr>
        <w:t>本公司的信用风险主要来自货币资金、应收票据、应收账款、其他应收款、长期应收款和可供出售金融资产等。管理层</w:t>
      </w:r>
    </w:p>
    <w:p>
      <w:pPr>
        <w:pStyle w:val="BodyText"/>
        <w:spacing w:line="316" w:lineRule="auto" w:before="19"/>
        <w:ind w:left="514" w:right="0" w:hanging="360"/>
        <w:jc w:val="left"/>
      </w:pPr>
      <w:r>
        <w:rPr/>
        <w:t>已制定适当的信用政策，并且不断监察这些信用风险的敞口。 </w:t>
      </w:r>
      <w:r>
        <w:rPr>
          <w:spacing w:val="-2"/>
        </w:rPr>
        <w:t>本公司持有的货币资金，主要存放于国有控股银行和其他大中型商业银行等金融机构，管理层认为这些商业银行具备较</w:t>
      </w:r>
    </w:p>
    <w:p>
      <w:pPr>
        <w:pStyle w:val="BodyText"/>
        <w:spacing w:line="316" w:lineRule="auto" w:before="19"/>
        <w:ind w:left="514" w:right="0" w:hanging="360"/>
        <w:jc w:val="left"/>
      </w:pPr>
      <w:r>
        <w:rPr/>
        <w:t>高信誉和资产状况，不存在重大的信用风险，不会产生因对方单位违约而导致的任何重大损失。 </w:t>
      </w:r>
      <w:r>
        <w:rPr>
          <w:spacing w:val="-2"/>
        </w:rPr>
        <w:t>对于应收账款、其他应收款和应收票据，本公司设定相关政策以控制信用风险敞口。本公司基于对客户的财务状况、从</w:t>
      </w:r>
    </w:p>
    <w:p>
      <w:pPr>
        <w:pStyle w:val="BodyText"/>
        <w:spacing w:line="316" w:lineRule="auto" w:before="19"/>
        <w:ind w:right="1130"/>
        <w:jc w:val="both"/>
      </w:pPr>
      <w:r>
        <w:rPr>
          <w:spacing w:val="-2"/>
        </w:rPr>
        <w:t>第三方获取担保的可能性、信用记录及其它因素诸如目前市场状况等评估客户的信用资质并设置相应信用期。本公司会定期</w:t>
      </w:r>
      <w:r>
        <w:rPr>
          <w:spacing w:val="-63"/>
        </w:rPr>
        <w:t> </w:t>
      </w:r>
      <w:r>
        <w:rPr>
          <w:spacing w:val="-63"/>
        </w:rPr>
      </w:r>
      <w:r>
        <w:rPr>
          <w:spacing w:val="-2"/>
        </w:rPr>
        <w:t>对客户信用记录进行监控，对于信用记录不良的客户，本公司会采用书面催款、缩短信用期或取消信用期等方式，以确保本</w:t>
      </w:r>
      <w:r>
        <w:rPr>
          <w:spacing w:val="-66"/>
        </w:rPr>
        <w:t> </w:t>
      </w:r>
      <w:r>
        <w:rPr>
          <w:spacing w:val="-66"/>
        </w:rPr>
      </w:r>
      <w:r>
        <w:rPr/>
        <w:t>公司的整体信用风险在可控的范围内。</w:t>
      </w:r>
    </w:p>
    <w:p>
      <w:pPr>
        <w:pStyle w:val="BodyText"/>
        <w:spacing w:line="300" w:lineRule="auto" w:before="19"/>
        <w:ind w:left="514" w:right="1200"/>
        <w:jc w:val="left"/>
      </w:pPr>
      <w:r>
        <w:rPr/>
        <w:t>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日，本公司的前五大客户的应收账款占本公司应收账款总额</w:t>
      </w:r>
      <w:r>
        <w:rPr>
          <w:rFonts w:ascii="Times New Roman" w:hAnsi="Times New Roman" w:cs="Times New Roman" w:eastAsia="Times New Roman" w:hint="default"/>
        </w:rPr>
        <w:t>9.84%</w:t>
      </w:r>
      <w:r>
        <w:rPr/>
        <w:t>。 本公司所承受的最大信用风险敞口为资产负债表中每项金融资产</w:t>
      </w:r>
      <w:r>
        <w:rPr>
          <w:rFonts w:ascii="Times New Roman" w:hAnsi="Times New Roman" w:cs="Times New Roman" w:eastAsia="Times New Roman" w:hint="default"/>
        </w:rPr>
        <w:t>(</w:t>
      </w:r>
      <w:r>
        <w:rPr/>
        <w:t>包括衍生金融工具</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的账面金额。除附注十一所载本</w:t>
      </w:r>
    </w:p>
    <w:p>
      <w:pPr>
        <w:pStyle w:val="BodyText"/>
        <w:spacing w:line="240" w:lineRule="auto" w:before="13"/>
        <w:ind w:right="0"/>
        <w:jc w:val="left"/>
      </w:pPr>
      <w:r>
        <w:rPr/>
        <w:t>公司作出的财务担保外，本公司没有提供任何其他可能令本公司承受信用风险的担保。</w:t>
      </w:r>
    </w:p>
    <w:p>
      <w:pPr>
        <w:spacing w:line="240" w:lineRule="auto" w:before="0"/>
        <w:rPr>
          <w:rFonts w:ascii="宋体" w:hAnsi="宋体" w:cs="宋体" w:eastAsia="宋体" w:hint="default"/>
          <w:sz w:val="15"/>
          <w:szCs w:val="15"/>
        </w:rPr>
      </w:pPr>
    </w:p>
    <w:p>
      <w:pPr>
        <w:pStyle w:val="BodyText"/>
        <w:spacing w:line="309" w:lineRule="auto" w:before="0"/>
        <w:ind w:left="514" w:right="1118" w:hanging="360"/>
        <w:jc w:val="left"/>
      </w:pPr>
      <w:r>
        <w:rPr>
          <w:rFonts w:ascii="宋体" w:hAnsi="宋体" w:cs="宋体" w:eastAsia="宋体" w:hint="default"/>
          <w:b/>
          <w:bCs/>
        </w:rPr>
        <w:t>（二）流动性风险</w:t>
      </w:r>
      <w:r>
        <w:rPr>
          <w:rFonts w:ascii="宋体" w:hAnsi="宋体" w:cs="宋体" w:eastAsia="宋体" w:hint="default"/>
          <w:b/>
          <w:bCs/>
          <w:w w:val="99"/>
        </w:rPr>
        <w:t> </w:t>
      </w:r>
      <w:r>
        <w:rPr/>
        <w:t>流动性风险是指本公司无法及时获得充足资金</w:t>
      </w:r>
      <w:r>
        <w:rPr>
          <w:rFonts w:ascii="Times New Roman" w:hAnsi="Times New Roman" w:cs="Times New Roman" w:eastAsia="Times New Roman" w:hint="default"/>
        </w:rPr>
        <w:t>,</w:t>
      </w:r>
      <w:r>
        <w:rPr/>
        <w:t>满足业务发展需要或偿付到期债务以及其他支付义务的风险。 </w:t>
      </w:r>
      <w:r>
        <w:rPr>
          <w:spacing w:val="-2"/>
        </w:rPr>
        <w:t>本公司财务部门持续监控公司短期和长期的资金需求，以确保维持充裕的现金储备；同时持续监控是否符合借款协议的</w:t>
      </w:r>
    </w:p>
    <w:p>
      <w:pPr>
        <w:pStyle w:val="BodyText"/>
        <w:spacing w:line="316" w:lineRule="auto" w:before="24"/>
        <w:ind w:left="514" w:right="2472" w:hanging="360"/>
        <w:jc w:val="left"/>
      </w:pPr>
      <w:r>
        <w:rPr/>
        <w:t>规定，从主要金融机构获得提供足够备用资金的承诺，以满足短期和长期的资金需求。 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日，本公司各项金融资产及金融负债以未折现的合同现金流量按到期日列示如下：</w:t>
      </w:r>
    </w:p>
    <w:tbl>
      <w:tblPr>
        <w:tblW w:w="0" w:type="auto"/>
        <w:jc w:val="left"/>
        <w:tblInd w:w="146" w:type="dxa"/>
        <w:tblLayout w:type="fixed"/>
        <w:tblCellMar>
          <w:top w:w="0" w:type="dxa"/>
          <w:left w:w="0" w:type="dxa"/>
          <w:bottom w:w="0" w:type="dxa"/>
          <w:right w:w="0" w:type="dxa"/>
        </w:tblCellMar>
        <w:tblLook w:val="01E0"/>
      </w:tblPr>
      <w:tblGrid>
        <w:gridCol w:w="1384"/>
        <w:gridCol w:w="1418"/>
        <w:gridCol w:w="1418"/>
        <w:gridCol w:w="1418"/>
        <w:gridCol w:w="991"/>
        <w:gridCol w:w="849"/>
        <w:gridCol w:w="1051"/>
      </w:tblGrid>
      <w:tr>
        <w:trPr>
          <w:trHeight w:val="355" w:hRule="exact"/>
        </w:trPr>
        <w:tc>
          <w:tcPr>
            <w:tcW w:w="1384"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146" w:type="dxa"/>
            <w:gridSpan w:val="6"/>
            <w:tcBorders>
              <w:top w:val="single" w:sz="6" w:space="0" w:color="000000"/>
              <w:left w:val="single" w:sz="6" w:space="0" w:color="000000"/>
              <w:bottom w:val="single" w:sz="12" w:space="0" w:color="000000"/>
              <w:right w:val="nil" w:sz="6" w:space="0" w:color="auto"/>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2" w:hRule="exact"/>
        </w:trPr>
        <w:tc>
          <w:tcPr>
            <w:tcW w:w="1384" w:type="dxa"/>
            <w:vMerge/>
            <w:tcBorders>
              <w:left w:val="single" w:sz="6" w:space="0" w:color="000000"/>
              <w:bottom w:val="single" w:sz="12" w:space="0" w:color="000000"/>
              <w:right w:val="single" w:sz="6" w:space="0" w:color="000000"/>
            </w:tcBorders>
          </w:tcPr>
          <w:p>
            <w:pP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left="342" w:right="0"/>
              <w:jc w:val="left"/>
              <w:rPr>
                <w:rFonts w:ascii="宋体" w:hAnsi="宋体" w:cs="宋体" w:eastAsia="宋体" w:hint="default"/>
                <w:sz w:val="18"/>
                <w:szCs w:val="18"/>
              </w:rPr>
            </w:pPr>
            <w:r>
              <w:rPr>
                <w:rFonts w:ascii="宋体" w:hAnsi="宋体" w:cs="宋体" w:eastAsia="宋体" w:hint="default"/>
                <w:sz w:val="18"/>
                <w:szCs w:val="18"/>
              </w:rPr>
              <w:t>账面净值</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left="340"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8" w:lineRule="exact"/>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991" w:type="dxa"/>
            <w:tcBorders>
              <w:top w:val="single" w:sz="12" w:space="0" w:color="000000"/>
              <w:left w:val="single" w:sz="6" w:space="0" w:color="000000"/>
              <w:bottom w:val="single" w:sz="12" w:space="0" w:color="000000"/>
              <w:right w:val="single" w:sz="6" w:space="0" w:color="000000"/>
            </w:tcBorders>
          </w:tcPr>
          <w:p>
            <w:pPr>
              <w:pStyle w:val="TableParagraph"/>
              <w:spacing w:line="248" w:lineRule="exact"/>
              <w:ind w:left="2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849" w:type="dxa"/>
            <w:tcBorders>
              <w:top w:val="single" w:sz="12" w:space="0" w:color="000000"/>
              <w:left w:val="single" w:sz="6" w:space="0" w:color="000000"/>
              <w:bottom w:val="single" w:sz="12" w:space="0" w:color="000000"/>
              <w:right w:val="single" w:sz="6" w:space="0" w:color="000000"/>
            </w:tcBorders>
          </w:tcPr>
          <w:p>
            <w:pPr>
              <w:pStyle w:val="TableParagraph"/>
              <w:spacing w:line="248" w:lineRule="exact"/>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年</w:t>
            </w:r>
          </w:p>
        </w:tc>
        <w:tc>
          <w:tcPr>
            <w:tcW w:w="1051" w:type="dxa"/>
            <w:tcBorders>
              <w:top w:val="single" w:sz="12" w:space="0" w:color="000000"/>
              <w:left w:val="single" w:sz="6" w:space="0" w:color="000000"/>
              <w:bottom w:val="single" w:sz="12" w:space="0" w:color="000000"/>
              <w:right w:val="nil" w:sz="6" w:space="0" w:color="auto"/>
            </w:tcBorders>
          </w:tcPr>
          <w:p>
            <w:pPr>
              <w:pStyle w:val="TableParagraph"/>
              <w:spacing w:line="248" w:lineRule="exact"/>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r>
      <w:tr>
        <w:trPr>
          <w:trHeight w:val="353" w:hRule="exact"/>
        </w:trPr>
        <w:tc>
          <w:tcPr>
            <w:tcW w:w="1384"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left="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18"/>
                <w:szCs w:val="18"/>
              </w:rPr>
            </w:pPr>
            <w:r>
              <w:rPr>
                <w:rFonts w:ascii="Times New Roman"/>
                <w:spacing w:val="-1"/>
                <w:sz w:val="18"/>
              </w:rPr>
              <w:t>786,236,356.85</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18"/>
                <w:szCs w:val="18"/>
              </w:rPr>
            </w:pPr>
            <w:r>
              <w:rPr>
                <w:rFonts w:ascii="Times New Roman"/>
                <w:spacing w:val="-1"/>
                <w:sz w:val="18"/>
              </w:rPr>
              <w:t>786,236,356.85</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18"/>
                <w:szCs w:val="18"/>
              </w:rPr>
            </w:pPr>
            <w:r>
              <w:rPr>
                <w:rFonts w:ascii="Times New Roman"/>
                <w:spacing w:val="-1"/>
                <w:sz w:val="18"/>
              </w:rPr>
              <w:t>786,236,356.85</w:t>
            </w:r>
          </w:p>
        </w:tc>
        <w:tc>
          <w:tcPr>
            <w:tcW w:w="991" w:type="dxa"/>
            <w:tcBorders>
              <w:top w:val="single" w:sz="12" w:space="0" w:color="000000"/>
              <w:left w:val="single" w:sz="6" w:space="0" w:color="000000"/>
              <w:bottom w:val="single" w:sz="12" w:space="0" w:color="000000"/>
              <w:right w:val="single" w:sz="6" w:space="0" w:color="000000"/>
            </w:tcBorders>
          </w:tcPr>
          <w:p>
            <w:pPr/>
          </w:p>
        </w:tc>
        <w:tc>
          <w:tcPr>
            <w:tcW w:w="849" w:type="dxa"/>
            <w:tcBorders>
              <w:top w:val="single" w:sz="12" w:space="0" w:color="000000"/>
              <w:left w:val="single" w:sz="6" w:space="0" w:color="000000"/>
              <w:bottom w:val="single" w:sz="12" w:space="0" w:color="000000"/>
              <w:right w:val="single" w:sz="6" w:space="0" w:color="000000"/>
            </w:tcBorders>
          </w:tcPr>
          <w:p>
            <w:pPr/>
          </w:p>
        </w:tc>
        <w:tc>
          <w:tcPr>
            <w:tcW w:w="1051"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1384"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left="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18"/>
                <w:szCs w:val="18"/>
              </w:rPr>
            </w:pPr>
            <w:r>
              <w:rPr>
                <w:rFonts w:ascii="Times New Roman"/>
                <w:spacing w:val="-1"/>
                <w:sz w:val="18"/>
              </w:rPr>
              <w:t>89,714,563.36</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18"/>
                <w:szCs w:val="18"/>
              </w:rPr>
            </w:pPr>
            <w:r>
              <w:rPr>
                <w:rFonts w:ascii="Times New Roman"/>
                <w:spacing w:val="-1"/>
                <w:sz w:val="18"/>
              </w:rPr>
              <w:t>89,714,563.36</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18"/>
                <w:szCs w:val="18"/>
              </w:rPr>
            </w:pPr>
            <w:r>
              <w:rPr>
                <w:rFonts w:ascii="Times New Roman"/>
                <w:spacing w:val="-1"/>
                <w:sz w:val="18"/>
              </w:rPr>
              <w:t>89,714,563.36</w:t>
            </w:r>
          </w:p>
        </w:tc>
        <w:tc>
          <w:tcPr>
            <w:tcW w:w="991" w:type="dxa"/>
            <w:tcBorders>
              <w:top w:val="single" w:sz="12" w:space="0" w:color="000000"/>
              <w:left w:val="single" w:sz="6" w:space="0" w:color="000000"/>
              <w:bottom w:val="single" w:sz="12" w:space="0" w:color="000000"/>
              <w:right w:val="single" w:sz="6" w:space="0" w:color="000000"/>
            </w:tcBorders>
          </w:tcPr>
          <w:p>
            <w:pPr/>
          </w:p>
        </w:tc>
        <w:tc>
          <w:tcPr>
            <w:tcW w:w="849" w:type="dxa"/>
            <w:tcBorders>
              <w:top w:val="single" w:sz="12" w:space="0" w:color="000000"/>
              <w:left w:val="single" w:sz="6" w:space="0" w:color="000000"/>
              <w:bottom w:val="single" w:sz="12" w:space="0" w:color="000000"/>
              <w:right w:val="single" w:sz="6" w:space="0" w:color="000000"/>
            </w:tcBorders>
          </w:tcPr>
          <w:p>
            <w:pPr/>
          </w:p>
        </w:tc>
        <w:tc>
          <w:tcPr>
            <w:tcW w:w="1051" w:type="dxa"/>
            <w:tcBorders>
              <w:top w:val="single" w:sz="12" w:space="0" w:color="000000"/>
              <w:left w:val="single" w:sz="6" w:space="0" w:color="000000"/>
              <w:bottom w:val="single" w:sz="12" w:space="0" w:color="000000"/>
              <w:right w:val="nil" w:sz="6" w:space="0" w:color="auto"/>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384"/>
        <w:gridCol w:w="1418"/>
        <w:gridCol w:w="1418"/>
        <w:gridCol w:w="1418"/>
        <w:gridCol w:w="991"/>
        <w:gridCol w:w="849"/>
        <w:gridCol w:w="1051"/>
      </w:tblGrid>
      <w:tr>
        <w:trPr>
          <w:trHeight w:val="355" w:hRule="exact"/>
        </w:trPr>
        <w:tc>
          <w:tcPr>
            <w:tcW w:w="13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979,149,058.10</w:t>
            </w: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1,170,368,166.47</w:t>
            </w: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1,170,368,166.47</w:t>
            </w:r>
          </w:p>
        </w:tc>
        <w:tc>
          <w:tcPr>
            <w:tcW w:w="991" w:type="dxa"/>
            <w:tcBorders>
              <w:top w:val="single" w:sz="6" w:space="0" w:color="000000"/>
              <w:left w:val="single" w:sz="6" w:space="0" w:color="000000"/>
              <w:bottom w:val="single" w:sz="12" w:space="0" w:color="000000"/>
              <w:right w:val="single" w:sz="6" w:space="0" w:color="000000"/>
            </w:tcBorders>
          </w:tcPr>
          <w:p>
            <w:pPr/>
          </w:p>
        </w:tc>
        <w:tc>
          <w:tcPr>
            <w:tcW w:w="849" w:type="dxa"/>
            <w:tcBorders>
              <w:top w:val="single" w:sz="6" w:space="0" w:color="000000"/>
              <w:left w:val="single" w:sz="6" w:space="0" w:color="000000"/>
              <w:bottom w:val="single" w:sz="12" w:space="0" w:color="000000"/>
              <w:right w:val="single" w:sz="6" w:space="0" w:color="000000"/>
            </w:tcBorders>
          </w:tcPr>
          <w:p>
            <w:pPr/>
          </w:p>
        </w:tc>
        <w:tc>
          <w:tcPr>
            <w:tcW w:w="1051" w:type="dxa"/>
            <w:tcBorders>
              <w:top w:val="single" w:sz="6" w:space="0" w:color="000000"/>
              <w:left w:val="single" w:sz="6" w:space="0" w:color="000000"/>
              <w:bottom w:val="single" w:sz="12" w:space="0" w:color="000000"/>
              <w:right w:val="nil" w:sz="6" w:space="0" w:color="auto"/>
            </w:tcBorders>
          </w:tcPr>
          <w:p>
            <w:pPr/>
          </w:p>
        </w:tc>
      </w:tr>
      <w:tr>
        <w:trPr>
          <w:trHeight w:val="353" w:hRule="exact"/>
        </w:trPr>
        <w:tc>
          <w:tcPr>
            <w:tcW w:w="13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123,865,514.97</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143,254,671.50</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143,254,671.50</w:t>
            </w:r>
          </w:p>
        </w:tc>
        <w:tc>
          <w:tcPr>
            <w:tcW w:w="991" w:type="dxa"/>
            <w:tcBorders>
              <w:top w:val="single" w:sz="12" w:space="0" w:color="000000"/>
              <w:left w:val="single" w:sz="6" w:space="0" w:color="000000"/>
              <w:bottom w:val="single" w:sz="12" w:space="0" w:color="000000"/>
              <w:right w:val="single" w:sz="6" w:space="0" w:color="000000"/>
            </w:tcBorders>
          </w:tcPr>
          <w:p>
            <w:pPr/>
          </w:p>
        </w:tc>
        <w:tc>
          <w:tcPr>
            <w:tcW w:w="849" w:type="dxa"/>
            <w:tcBorders>
              <w:top w:val="single" w:sz="12" w:space="0" w:color="000000"/>
              <w:left w:val="single" w:sz="6" w:space="0" w:color="000000"/>
              <w:bottom w:val="single" w:sz="12" w:space="0" w:color="000000"/>
              <w:right w:val="single" w:sz="6" w:space="0" w:color="000000"/>
            </w:tcBorders>
          </w:tcPr>
          <w:p>
            <w:pPr/>
          </w:p>
        </w:tc>
        <w:tc>
          <w:tcPr>
            <w:tcW w:w="1051"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13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43"/>
              <w:jc w:val="right"/>
              <w:rPr>
                <w:rFonts w:ascii="宋体" w:hAnsi="宋体" w:cs="宋体" w:eastAsia="宋体" w:hint="default"/>
                <w:sz w:val="18"/>
                <w:szCs w:val="18"/>
              </w:rPr>
            </w:pPr>
            <w:r>
              <w:rPr>
                <w:rFonts w:ascii="宋体" w:hAnsi="宋体" w:cs="宋体" w:eastAsia="宋体" w:hint="default"/>
                <w:sz w:val="18"/>
                <w:szCs w:val="18"/>
              </w:rPr>
              <w:t>金融资产小计</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1,553,124,114.15</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pacing w:val="-1"/>
                <w:sz w:val="18"/>
              </w:rPr>
              <w:t>2,189,573,758.18</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2,189,573,758.18</w:t>
            </w:r>
          </w:p>
        </w:tc>
        <w:tc>
          <w:tcPr>
            <w:tcW w:w="991" w:type="dxa"/>
            <w:tcBorders>
              <w:top w:val="single" w:sz="12" w:space="0" w:color="000000"/>
              <w:left w:val="single" w:sz="6" w:space="0" w:color="000000"/>
              <w:bottom w:val="single" w:sz="12" w:space="0" w:color="000000"/>
              <w:right w:val="single" w:sz="6" w:space="0" w:color="000000"/>
            </w:tcBorders>
          </w:tcPr>
          <w:p>
            <w:pPr/>
          </w:p>
        </w:tc>
        <w:tc>
          <w:tcPr>
            <w:tcW w:w="849" w:type="dxa"/>
            <w:tcBorders>
              <w:top w:val="single" w:sz="12" w:space="0" w:color="000000"/>
              <w:left w:val="single" w:sz="6" w:space="0" w:color="000000"/>
              <w:bottom w:val="single" w:sz="12" w:space="0" w:color="000000"/>
              <w:right w:val="single" w:sz="6" w:space="0" w:color="000000"/>
            </w:tcBorders>
          </w:tcPr>
          <w:p>
            <w:pPr/>
          </w:p>
        </w:tc>
        <w:tc>
          <w:tcPr>
            <w:tcW w:w="1051"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13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493,500,000.00</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493,500,000.00</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493,500,000.00</w:t>
            </w:r>
          </w:p>
        </w:tc>
        <w:tc>
          <w:tcPr>
            <w:tcW w:w="991" w:type="dxa"/>
            <w:tcBorders>
              <w:top w:val="single" w:sz="12" w:space="0" w:color="000000"/>
              <w:left w:val="single" w:sz="6" w:space="0" w:color="000000"/>
              <w:bottom w:val="single" w:sz="12" w:space="0" w:color="000000"/>
              <w:right w:val="single" w:sz="6" w:space="0" w:color="000000"/>
            </w:tcBorders>
          </w:tcPr>
          <w:p>
            <w:pPr/>
          </w:p>
        </w:tc>
        <w:tc>
          <w:tcPr>
            <w:tcW w:w="849" w:type="dxa"/>
            <w:tcBorders>
              <w:top w:val="single" w:sz="12" w:space="0" w:color="000000"/>
              <w:left w:val="single" w:sz="6" w:space="0" w:color="000000"/>
              <w:bottom w:val="single" w:sz="12" w:space="0" w:color="000000"/>
              <w:right w:val="single" w:sz="6" w:space="0" w:color="000000"/>
            </w:tcBorders>
          </w:tcPr>
          <w:p>
            <w:pPr/>
          </w:p>
        </w:tc>
        <w:tc>
          <w:tcPr>
            <w:tcW w:w="1051"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13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95,297,752.20</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95,297,752.20</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95,297,752.20</w:t>
            </w:r>
          </w:p>
        </w:tc>
        <w:tc>
          <w:tcPr>
            <w:tcW w:w="991" w:type="dxa"/>
            <w:tcBorders>
              <w:top w:val="single" w:sz="12" w:space="0" w:color="000000"/>
              <w:left w:val="single" w:sz="6" w:space="0" w:color="000000"/>
              <w:bottom w:val="single" w:sz="12" w:space="0" w:color="000000"/>
              <w:right w:val="single" w:sz="6" w:space="0" w:color="000000"/>
            </w:tcBorders>
          </w:tcPr>
          <w:p>
            <w:pPr/>
          </w:p>
        </w:tc>
        <w:tc>
          <w:tcPr>
            <w:tcW w:w="849" w:type="dxa"/>
            <w:tcBorders>
              <w:top w:val="single" w:sz="12" w:space="0" w:color="000000"/>
              <w:left w:val="single" w:sz="6" w:space="0" w:color="000000"/>
              <w:bottom w:val="single" w:sz="12" w:space="0" w:color="000000"/>
              <w:right w:val="single" w:sz="6" w:space="0" w:color="000000"/>
            </w:tcBorders>
          </w:tcPr>
          <w:p>
            <w:pPr/>
          </w:p>
        </w:tc>
        <w:tc>
          <w:tcPr>
            <w:tcW w:w="1051"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13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562,452,888.36</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562,452,888.36</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562,452,888.36</w:t>
            </w:r>
          </w:p>
        </w:tc>
        <w:tc>
          <w:tcPr>
            <w:tcW w:w="991" w:type="dxa"/>
            <w:tcBorders>
              <w:top w:val="single" w:sz="12" w:space="0" w:color="000000"/>
              <w:left w:val="single" w:sz="6" w:space="0" w:color="000000"/>
              <w:bottom w:val="single" w:sz="12" w:space="0" w:color="000000"/>
              <w:right w:val="single" w:sz="6" w:space="0" w:color="000000"/>
            </w:tcBorders>
          </w:tcPr>
          <w:p>
            <w:pPr/>
          </w:p>
        </w:tc>
        <w:tc>
          <w:tcPr>
            <w:tcW w:w="849" w:type="dxa"/>
            <w:tcBorders>
              <w:top w:val="single" w:sz="12" w:space="0" w:color="000000"/>
              <w:left w:val="single" w:sz="6" w:space="0" w:color="000000"/>
              <w:bottom w:val="single" w:sz="12" w:space="0" w:color="000000"/>
              <w:right w:val="single" w:sz="6" w:space="0" w:color="000000"/>
            </w:tcBorders>
          </w:tcPr>
          <w:p>
            <w:pPr/>
          </w:p>
        </w:tc>
        <w:tc>
          <w:tcPr>
            <w:tcW w:w="1051"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13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56,796,813.16</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56,796,813.16</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56,796,813.16</w:t>
            </w:r>
          </w:p>
        </w:tc>
        <w:tc>
          <w:tcPr>
            <w:tcW w:w="991" w:type="dxa"/>
            <w:tcBorders>
              <w:top w:val="single" w:sz="12" w:space="0" w:color="000000"/>
              <w:left w:val="single" w:sz="6" w:space="0" w:color="000000"/>
              <w:bottom w:val="single" w:sz="12" w:space="0" w:color="000000"/>
              <w:right w:val="single" w:sz="6" w:space="0" w:color="000000"/>
            </w:tcBorders>
          </w:tcPr>
          <w:p>
            <w:pPr/>
          </w:p>
        </w:tc>
        <w:tc>
          <w:tcPr>
            <w:tcW w:w="849" w:type="dxa"/>
            <w:tcBorders>
              <w:top w:val="single" w:sz="12" w:space="0" w:color="000000"/>
              <w:left w:val="single" w:sz="6" w:space="0" w:color="000000"/>
              <w:bottom w:val="single" w:sz="12" w:space="0" w:color="000000"/>
              <w:right w:val="single" w:sz="6" w:space="0" w:color="000000"/>
            </w:tcBorders>
          </w:tcPr>
          <w:p>
            <w:pPr/>
          </w:p>
        </w:tc>
        <w:tc>
          <w:tcPr>
            <w:tcW w:w="1051"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13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43"/>
              <w:jc w:val="right"/>
              <w:rPr>
                <w:rFonts w:ascii="宋体" w:hAnsi="宋体" w:cs="宋体" w:eastAsia="宋体" w:hint="default"/>
                <w:sz w:val="18"/>
                <w:szCs w:val="18"/>
              </w:rPr>
            </w:pPr>
            <w:r>
              <w:rPr>
                <w:rFonts w:ascii="宋体" w:hAnsi="宋体" w:cs="宋体" w:eastAsia="宋体" w:hint="default"/>
                <w:sz w:val="18"/>
                <w:szCs w:val="18"/>
              </w:rPr>
              <w:t>金融负债小计</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72" w:right="0"/>
              <w:jc w:val="left"/>
              <w:rPr>
                <w:rFonts w:ascii="Times New Roman" w:hAnsi="Times New Roman" w:cs="Times New Roman" w:eastAsia="Times New Roman" w:hint="default"/>
                <w:sz w:val="18"/>
                <w:szCs w:val="18"/>
              </w:rPr>
            </w:pPr>
            <w:r>
              <w:rPr>
                <w:rFonts w:ascii="Times New Roman"/>
                <w:sz w:val="18"/>
              </w:rPr>
              <w:t>1,208,047,453.72</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70" w:right="0"/>
              <w:jc w:val="left"/>
              <w:rPr>
                <w:rFonts w:ascii="Times New Roman" w:hAnsi="Times New Roman" w:cs="Times New Roman" w:eastAsia="Times New Roman" w:hint="default"/>
                <w:sz w:val="18"/>
                <w:szCs w:val="18"/>
              </w:rPr>
            </w:pPr>
            <w:r>
              <w:rPr>
                <w:rFonts w:ascii="Times New Roman"/>
                <w:sz w:val="18"/>
              </w:rPr>
              <w:t>1,208,047,453.72</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70" w:right="0"/>
              <w:jc w:val="left"/>
              <w:rPr>
                <w:rFonts w:ascii="Times New Roman" w:hAnsi="Times New Roman" w:cs="Times New Roman" w:eastAsia="Times New Roman" w:hint="default"/>
                <w:sz w:val="18"/>
                <w:szCs w:val="18"/>
              </w:rPr>
            </w:pPr>
            <w:r>
              <w:rPr>
                <w:rFonts w:ascii="Times New Roman"/>
                <w:sz w:val="18"/>
              </w:rPr>
              <w:t>1,208,047,453.72</w:t>
            </w:r>
          </w:p>
        </w:tc>
        <w:tc>
          <w:tcPr>
            <w:tcW w:w="991" w:type="dxa"/>
            <w:tcBorders>
              <w:top w:val="single" w:sz="12" w:space="0" w:color="000000"/>
              <w:left w:val="single" w:sz="6" w:space="0" w:color="000000"/>
              <w:bottom w:val="single" w:sz="12" w:space="0" w:color="000000"/>
              <w:right w:val="single" w:sz="6" w:space="0" w:color="000000"/>
            </w:tcBorders>
          </w:tcPr>
          <w:p>
            <w:pPr/>
          </w:p>
        </w:tc>
        <w:tc>
          <w:tcPr>
            <w:tcW w:w="849" w:type="dxa"/>
            <w:tcBorders>
              <w:top w:val="single" w:sz="12" w:space="0" w:color="000000"/>
              <w:left w:val="single" w:sz="6" w:space="0" w:color="000000"/>
              <w:bottom w:val="single" w:sz="12" w:space="0" w:color="000000"/>
              <w:right w:val="single" w:sz="6" w:space="0" w:color="000000"/>
            </w:tcBorders>
          </w:tcPr>
          <w:p>
            <w:pPr/>
          </w:p>
        </w:tc>
        <w:tc>
          <w:tcPr>
            <w:tcW w:w="1051" w:type="dxa"/>
            <w:tcBorders>
              <w:top w:val="single" w:sz="12" w:space="0" w:color="000000"/>
              <w:left w:val="single" w:sz="6" w:space="0" w:color="000000"/>
              <w:bottom w:val="single" w:sz="12" w:space="0" w:color="000000"/>
              <w:right w:val="nil" w:sz="6" w:space="0" w:color="auto"/>
            </w:tcBorders>
          </w:tcPr>
          <w:p>
            <w:pPr/>
          </w:p>
        </w:tc>
      </w:tr>
    </w:tbl>
    <w:p>
      <w:pPr>
        <w:pStyle w:val="BodyText"/>
        <w:spacing w:line="240" w:lineRule="auto" w:before="10"/>
        <w:ind w:left="514" w:right="0"/>
        <w:jc w:val="left"/>
      </w:pPr>
      <w:r>
        <w:rPr/>
        <w:t>续：</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1384"/>
        <w:gridCol w:w="1418"/>
        <w:gridCol w:w="1418"/>
        <w:gridCol w:w="1418"/>
        <w:gridCol w:w="991"/>
        <w:gridCol w:w="849"/>
        <w:gridCol w:w="1051"/>
      </w:tblGrid>
      <w:tr>
        <w:trPr>
          <w:trHeight w:val="355" w:hRule="exact"/>
        </w:trPr>
        <w:tc>
          <w:tcPr>
            <w:tcW w:w="1384" w:type="dxa"/>
            <w:vMerge w:val="restart"/>
            <w:tcBorders>
              <w:top w:val="single" w:sz="6" w:space="0" w:color="000000"/>
              <w:left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146" w:type="dxa"/>
            <w:gridSpan w:val="6"/>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right="5"/>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52" w:hRule="exact"/>
        </w:trPr>
        <w:tc>
          <w:tcPr>
            <w:tcW w:w="1384" w:type="dxa"/>
            <w:vMerge/>
            <w:tcBorders>
              <w:left w:val="single" w:sz="6" w:space="0" w:color="000000"/>
              <w:bottom w:val="single" w:sz="12" w:space="0" w:color="000000"/>
              <w:right w:val="single" w:sz="6" w:space="0" w:color="000000"/>
            </w:tcBorders>
          </w:tcPr>
          <w:p>
            <w:pP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42" w:right="0"/>
              <w:jc w:val="left"/>
              <w:rPr>
                <w:rFonts w:ascii="宋体" w:hAnsi="宋体" w:cs="宋体" w:eastAsia="宋体" w:hint="default"/>
                <w:sz w:val="18"/>
                <w:szCs w:val="18"/>
              </w:rPr>
            </w:pPr>
            <w:r>
              <w:rPr>
                <w:rFonts w:ascii="宋体" w:hAnsi="宋体" w:cs="宋体" w:eastAsia="宋体" w:hint="default"/>
                <w:sz w:val="18"/>
                <w:szCs w:val="18"/>
              </w:rPr>
              <w:t>账面净值</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40"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9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84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年</w:t>
            </w:r>
          </w:p>
        </w:tc>
        <w:tc>
          <w:tcPr>
            <w:tcW w:w="105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r>
      <w:tr>
        <w:trPr>
          <w:trHeight w:val="352" w:hRule="exact"/>
        </w:trPr>
        <w:tc>
          <w:tcPr>
            <w:tcW w:w="13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1,248,207,198.83</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pacing w:val="-1"/>
                <w:sz w:val="18"/>
              </w:rPr>
              <w:t>1,248,207,198.83</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1,248,207,198.83</w:t>
            </w:r>
          </w:p>
        </w:tc>
        <w:tc>
          <w:tcPr>
            <w:tcW w:w="991" w:type="dxa"/>
            <w:tcBorders>
              <w:top w:val="single" w:sz="12" w:space="0" w:color="000000"/>
              <w:left w:val="single" w:sz="6" w:space="0" w:color="000000"/>
              <w:bottom w:val="single" w:sz="12" w:space="0" w:color="000000"/>
              <w:right w:val="single" w:sz="6" w:space="0" w:color="000000"/>
            </w:tcBorders>
          </w:tcPr>
          <w:p>
            <w:pPr/>
          </w:p>
        </w:tc>
        <w:tc>
          <w:tcPr>
            <w:tcW w:w="849" w:type="dxa"/>
            <w:tcBorders>
              <w:top w:val="single" w:sz="12" w:space="0" w:color="000000"/>
              <w:left w:val="single" w:sz="6" w:space="0" w:color="000000"/>
              <w:bottom w:val="single" w:sz="12" w:space="0" w:color="000000"/>
              <w:right w:val="single" w:sz="6" w:space="0" w:color="000000"/>
            </w:tcBorders>
          </w:tcPr>
          <w:p>
            <w:pPr/>
          </w:p>
        </w:tc>
        <w:tc>
          <w:tcPr>
            <w:tcW w:w="1051"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13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79,548,329.06</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79,548,329.06</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79,548,329.06</w:t>
            </w:r>
          </w:p>
        </w:tc>
        <w:tc>
          <w:tcPr>
            <w:tcW w:w="991" w:type="dxa"/>
            <w:tcBorders>
              <w:top w:val="single" w:sz="12" w:space="0" w:color="000000"/>
              <w:left w:val="single" w:sz="6" w:space="0" w:color="000000"/>
              <w:bottom w:val="single" w:sz="12" w:space="0" w:color="000000"/>
              <w:right w:val="single" w:sz="6" w:space="0" w:color="000000"/>
            </w:tcBorders>
          </w:tcPr>
          <w:p>
            <w:pPr/>
          </w:p>
        </w:tc>
        <w:tc>
          <w:tcPr>
            <w:tcW w:w="849" w:type="dxa"/>
            <w:tcBorders>
              <w:top w:val="single" w:sz="12" w:space="0" w:color="000000"/>
              <w:left w:val="single" w:sz="6" w:space="0" w:color="000000"/>
              <w:bottom w:val="single" w:sz="12" w:space="0" w:color="000000"/>
              <w:right w:val="single" w:sz="6" w:space="0" w:color="000000"/>
            </w:tcBorders>
          </w:tcPr>
          <w:p>
            <w:pPr/>
          </w:p>
        </w:tc>
        <w:tc>
          <w:tcPr>
            <w:tcW w:w="1051"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13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868,317,381.41</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pacing w:val="-1"/>
                <w:sz w:val="18"/>
              </w:rPr>
              <w:t>1,025,331,630.61</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1,025,331,630.61</w:t>
            </w:r>
          </w:p>
        </w:tc>
        <w:tc>
          <w:tcPr>
            <w:tcW w:w="991" w:type="dxa"/>
            <w:tcBorders>
              <w:top w:val="single" w:sz="12" w:space="0" w:color="000000"/>
              <w:left w:val="single" w:sz="6" w:space="0" w:color="000000"/>
              <w:bottom w:val="single" w:sz="12" w:space="0" w:color="000000"/>
              <w:right w:val="single" w:sz="6" w:space="0" w:color="000000"/>
            </w:tcBorders>
          </w:tcPr>
          <w:p>
            <w:pPr/>
          </w:p>
        </w:tc>
        <w:tc>
          <w:tcPr>
            <w:tcW w:w="849" w:type="dxa"/>
            <w:tcBorders>
              <w:top w:val="single" w:sz="12" w:space="0" w:color="000000"/>
              <w:left w:val="single" w:sz="6" w:space="0" w:color="000000"/>
              <w:bottom w:val="single" w:sz="12" w:space="0" w:color="000000"/>
              <w:right w:val="single" w:sz="6" w:space="0" w:color="000000"/>
            </w:tcBorders>
          </w:tcPr>
          <w:p>
            <w:pPr/>
          </w:p>
        </w:tc>
        <w:tc>
          <w:tcPr>
            <w:tcW w:w="1051"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13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72,220,855.45</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88,174,980.04</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88,174,980.04</w:t>
            </w:r>
          </w:p>
        </w:tc>
        <w:tc>
          <w:tcPr>
            <w:tcW w:w="991" w:type="dxa"/>
            <w:tcBorders>
              <w:top w:val="single" w:sz="12" w:space="0" w:color="000000"/>
              <w:left w:val="single" w:sz="6" w:space="0" w:color="000000"/>
              <w:bottom w:val="single" w:sz="12" w:space="0" w:color="000000"/>
              <w:right w:val="single" w:sz="6" w:space="0" w:color="000000"/>
            </w:tcBorders>
          </w:tcPr>
          <w:p>
            <w:pPr/>
          </w:p>
        </w:tc>
        <w:tc>
          <w:tcPr>
            <w:tcW w:w="849" w:type="dxa"/>
            <w:tcBorders>
              <w:top w:val="single" w:sz="12" w:space="0" w:color="000000"/>
              <w:left w:val="single" w:sz="6" w:space="0" w:color="000000"/>
              <w:bottom w:val="single" w:sz="12" w:space="0" w:color="000000"/>
              <w:right w:val="single" w:sz="6" w:space="0" w:color="000000"/>
            </w:tcBorders>
          </w:tcPr>
          <w:p>
            <w:pPr/>
          </w:p>
        </w:tc>
        <w:tc>
          <w:tcPr>
            <w:tcW w:w="1051"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13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理财产品投资</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1,000,000.00</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1,000,000.00</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1,000,000.00</w:t>
            </w:r>
          </w:p>
        </w:tc>
        <w:tc>
          <w:tcPr>
            <w:tcW w:w="991" w:type="dxa"/>
            <w:tcBorders>
              <w:top w:val="single" w:sz="12" w:space="0" w:color="000000"/>
              <w:left w:val="single" w:sz="6" w:space="0" w:color="000000"/>
              <w:bottom w:val="single" w:sz="12" w:space="0" w:color="000000"/>
              <w:right w:val="single" w:sz="6" w:space="0" w:color="000000"/>
            </w:tcBorders>
          </w:tcPr>
          <w:p>
            <w:pPr/>
          </w:p>
        </w:tc>
        <w:tc>
          <w:tcPr>
            <w:tcW w:w="849" w:type="dxa"/>
            <w:tcBorders>
              <w:top w:val="single" w:sz="12" w:space="0" w:color="000000"/>
              <w:left w:val="single" w:sz="6" w:space="0" w:color="000000"/>
              <w:bottom w:val="single" w:sz="12" w:space="0" w:color="000000"/>
              <w:right w:val="single" w:sz="6" w:space="0" w:color="000000"/>
            </w:tcBorders>
          </w:tcPr>
          <w:p>
            <w:pPr/>
          </w:p>
        </w:tc>
        <w:tc>
          <w:tcPr>
            <w:tcW w:w="1051"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13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43"/>
              <w:jc w:val="right"/>
              <w:rPr>
                <w:rFonts w:ascii="宋体" w:hAnsi="宋体" w:cs="宋体" w:eastAsia="宋体" w:hint="default"/>
                <w:sz w:val="18"/>
                <w:szCs w:val="18"/>
              </w:rPr>
            </w:pPr>
            <w:r>
              <w:rPr>
                <w:rFonts w:ascii="宋体" w:hAnsi="宋体" w:cs="宋体" w:eastAsia="宋体" w:hint="default"/>
                <w:sz w:val="18"/>
                <w:szCs w:val="18"/>
              </w:rPr>
              <w:t>金融资产小计</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2,269,293,764.75</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pacing w:val="-1"/>
                <w:sz w:val="18"/>
              </w:rPr>
              <w:t>2,442,262,138.54</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2,442,262,138.54</w:t>
            </w:r>
          </w:p>
        </w:tc>
        <w:tc>
          <w:tcPr>
            <w:tcW w:w="991" w:type="dxa"/>
            <w:tcBorders>
              <w:top w:val="single" w:sz="12" w:space="0" w:color="000000"/>
              <w:left w:val="single" w:sz="6" w:space="0" w:color="000000"/>
              <w:bottom w:val="single" w:sz="12" w:space="0" w:color="000000"/>
              <w:right w:val="single" w:sz="6" w:space="0" w:color="000000"/>
            </w:tcBorders>
          </w:tcPr>
          <w:p>
            <w:pPr/>
          </w:p>
        </w:tc>
        <w:tc>
          <w:tcPr>
            <w:tcW w:w="849" w:type="dxa"/>
            <w:tcBorders>
              <w:top w:val="single" w:sz="12" w:space="0" w:color="000000"/>
              <w:left w:val="single" w:sz="6" w:space="0" w:color="000000"/>
              <w:bottom w:val="single" w:sz="12" w:space="0" w:color="000000"/>
              <w:right w:val="single" w:sz="6" w:space="0" w:color="000000"/>
            </w:tcBorders>
          </w:tcPr>
          <w:p>
            <w:pPr/>
          </w:p>
        </w:tc>
        <w:tc>
          <w:tcPr>
            <w:tcW w:w="1051"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13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480,000,000.00</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480,000,000.00</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480,000,000.00</w:t>
            </w:r>
          </w:p>
        </w:tc>
        <w:tc>
          <w:tcPr>
            <w:tcW w:w="991" w:type="dxa"/>
            <w:tcBorders>
              <w:top w:val="single" w:sz="12" w:space="0" w:color="000000"/>
              <w:left w:val="single" w:sz="6" w:space="0" w:color="000000"/>
              <w:bottom w:val="single" w:sz="12" w:space="0" w:color="000000"/>
              <w:right w:val="single" w:sz="6" w:space="0" w:color="000000"/>
            </w:tcBorders>
          </w:tcPr>
          <w:p>
            <w:pPr/>
          </w:p>
        </w:tc>
        <w:tc>
          <w:tcPr>
            <w:tcW w:w="849" w:type="dxa"/>
            <w:tcBorders>
              <w:top w:val="single" w:sz="12" w:space="0" w:color="000000"/>
              <w:left w:val="single" w:sz="6" w:space="0" w:color="000000"/>
              <w:bottom w:val="single" w:sz="12" w:space="0" w:color="000000"/>
              <w:right w:val="single" w:sz="6" w:space="0" w:color="000000"/>
            </w:tcBorders>
          </w:tcPr>
          <w:p>
            <w:pPr/>
          </w:p>
        </w:tc>
        <w:tc>
          <w:tcPr>
            <w:tcW w:w="1051"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13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85,025,110.82</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85,025,110.82</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85,025,110.82</w:t>
            </w:r>
          </w:p>
        </w:tc>
        <w:tc>
          <w:tcPr>
            <w:tcW w:w="991" w:type="dxa"/>
            <w:tcBorders>
              <w:top w:val="single" w:sz="12" w:space="0" w:color="000000"/>
              <w:left w:val="single" w:sz="6" w:space="0" w:color="000000"/>
              <w:bottom w:val="single" w:sz="12" w:space="0" w:color="000000"/>
              <w:right w:val="single" w:sz="6" w:space="0" w:color="000000"/>
            </w:tcBorders>
          </w:tcPr>
          <w:p>
            <w:pPr/>
          </w:p>
        </w:tc>
        <w:tc>
          <w:tcPr>
            <w:tcW w:w="849" w:type="dxa"/>
            <w:tcBorders>
              <w:top w:val="single" w:sz="12" w:space="0" w:color="000000"/>
              <w:left w:val="single" w:sz="6" w:space="0" w:color="000000"/>
              <w:bottom w:val="single" w:sz="12" w:space="0" w:color="000000"/>
              <w:right w:val="single" w:sz="6" w:space="0" w:color="000000"/>
            </w:tcBorders>
          </w:tcPr>
          <w:p>
            <w:pPr/>
          </w:p>
        </w:tc>
        <w:tc>
          <w:tcPr>
            <w:tcW w:w="1051"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13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307,887,133.80</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307,887,133.80</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307,887,133.80</w:t>
            </w:r>
          </w:p>
        </w:tc>
        <w:tc>
          <w:tcPr>
            <w:tcW w:w="991" w:type="dxa"/>
            <w:tcBorders>
              <w:top w:val="single" w:sz="12" w:space="0" w:color="000000"/>
              <w:left w:val="single" w:sz="6" w:space="0" w:color="000000"/>
              <w:bottom w:val="single" w:sz="12" w:space="0" w:color="000000"/>
              <w:right w:val="single" w:sz="6" w:space="0" w:color="000000"/>
            </w:tcBorders>
          </w:tcPr>
          <w:p>
            <w:pPr/>
          </w:p>
        </w:tc>
        <w:tc>
          <w:tcPr>
            <w:tcW w:w="849" w:type="dxa"/>
            <w:tcBorders>
              <w:top w:val="single" w:sz="12" w:space="0" w:color="000000"/>
              <w:left w:val="single" w:sz="6" w:space="0" w:color="000000"/>
              <w:bottom w:val="single" w:sz="12" w:space="0" w:color="000000"/>
              <w:right w:val="single" w:sz="6" w:space="0" w:color="000000"/>
            </w:tcBorders>
          </w:tcPr>
          <w:p>
            <w:pPr/>
          </w:p>
        </w:tc>
        <w:tc>
          <w:tcPr>
            <w:tcW w:w="1051"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13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16,024,207.42</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16,024,207.42</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16,024,207.42</w:t>
            </w:r>
          </w:p>
        </w:tc>
        <w:tc>
          <w:tcPr>
            <w:tcW w:w="991" w:type="dxa"/>
            <w:tcBorders>
              <w:top w:val="single" w:sz="12" w:space="0" w:color="000000"/>
              <w:left w:val="single" w:sz="6" w:space="0" w:color="000000"/>
              <w:bottom w:val="single" w:sz="12" w:space="0" w:color="000000"/>
              <w:right w:val="single" w:sz="6" w:space="0" w:color="000000"/>
            </w:tcBorders>
          </w:tcPr>
          <w:p>
            <w:pPr/>
          </w:p>
        </w:tc>
        <w:tc>
          <w:tcPr>
            <w:tcW w:w="849" w:type="dxa"/>
            <w:tcBorders>
              <w:top w:val="single" w:sz="12" w:space="0" w:color="000000"/>
              <w:left w:val="single" w:sz="6" w:space="0" w:color="000000"/>
              <w:bottom w:val="single" w:sz="12" w:space="0" w:color="000000"/>
              <w:right w:val="single" w:sz="6" w:space="0" w:color="000000"/>
            </w:tcBorders>
          </w:tcPr>
          <w:p>
            <w:pPr/>
          </w:p>
        </w:tc>
        <w:tc>
          <w:tcPr>
            <w:tcW w:w="1051"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13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43"/>
              <w:jc w:val="right"/>
              <w:rPr>
                <w:rFonts w:ascii="宋体" w:hAnsi="宋体" w:cs="宋体" w:eastAsia="宋体" w:hint="default"/>
                <w:sz w:val="18"/>
                <w:szCs w:val="18"/>
              </w:rPr>
            </w:pPr>
            <w:r>
              <w:rPr>
                <w:rFonts w:ascii="宋体" w:hAnsi="宋体" w:cs="宋体" w:eastAsia="宋体" w:hint="default"/>
                <w:sz w:val="18"/>
                <w:szCs w:val="18"/>
              </w:rPr>
              <w:t>金融负债小计</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140" w:right="0"/>
              <w:jc w:val="left"/>
              <w:rPr>
                <w:rFonts w:ascii="Times New Roman" w:hAnsi="Times New Roman" w:cs="Times New Roman" w:eastAsia="Times New Roman" w:hint="default"/>
                <w:sz w:val="18"/>
                <w:szCs w:val="18"/>
              </w:rPr>
            </w:pPr>
            <w:r>
              <w:rPr>
                <w:rFonts w:ascii="Times New Roman"/>
                <w:sz w:val="18"/>
              </w:rPr>
              <w:t>888,936,452.04</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138" w:right="0"/>
              <w:jc w:val="left"/>
              <w:rPr>
                <w:rFonts w:ascii="Times New Roman" w:hAnsi="Times New Roman" w:cs="Times New Roman" w:eastAsia="Times New Roman" w:hint="default"/>
                <w:sz w:val="18"/>
                <w:szCs w:val="18"/>
              </w:rPr>
            </w:pPr>
            <w:r>
              <w:rPr>
                <w:rFonts w:ascii="Times New Roman"/>
                <w:sz w:val="18"/>
              </w:rPr>
              <w:t>888,936,452.04</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139" w:right="0"/>
              <w:jc w:val="left"/>
              <w:rPr>
                <w:rFonts w:ascii="Times New Roman" w:hAnsi="Times New Roman" w:cs="Times New Roman" w:eastAsia="Times New Roman" w:hint="default"/>
                <w:sz w:val="18"/>
                <w:szCs w:val="18"/>
              </w:rPr>
            </w:pPr>
            <w:r>
              <w:rPr>
                <w:rFonts w:ascii="Times New Roman"/>
                <w:sz w:val="18"/>
              </w:rPr>
              <w:t>888,936,452.04</w:t>
            </w:r>
          </w:p>
        </w:tc>
        <w:tc>
          <w:tcPr>
            <w:tcW w:w="991" w:type="dxa"/>
            <w:tcBorders>
              <w:top w:val="single" w:sz="12" w:space="0" w:color="000000"/>
              <w:left w:val="single" w:sz="6" w:space="0" w:color="000000"/>
              <w:bottom w:val="single" w:sz="12" w:space="0" w:color="000000"/>
              <w:right w:val="single" w:sz="6" w:space="0" w:color="000000"/>
            </w:tcBorders>
          </w:tcPr>
          <w:p>
            <w:pPr/>
          </w:p>
        </w:tc>
        <w:tc>
          <w:tcPr>
            <w:tcW w:w="849" w:type="dxa"/>
            <w:tcBorders>
              <w:top w:val="single" w:sz="12" w:space="0" w:color="000000"/>
              <w:left w:val="single" w:sz="6" w:space="0" w:color="000000"/>
              <w:bottom w:val="single" w:sz="12" w:space="0" w:color="000000"/>
              <w:right w:val="single" w:sz="6" w:space="0" w:color="000000"/>
            </w:tcBorders>
          </w:tcPr>
          <w:p>
            <w:pPr/>
          </w:p>
        </w:tc>
        <w:tc>
          <w:tcPr>
            <w:tcW w:w="1051"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Heading5"/>
        <w:spacing w:line="240" w:lineRule="auto"/>
        <w:ind w:left="154" w:right="0"/>
        <w:jc w:val="left"/>
        <w:rPr>
          <w:b w:val="0"/>
          <w:bCs w:val="0"/>
        </w:rPr>
      </w:pPr>
      <w:r>
        <w:rPr/>
        <w:t>（三）市场风险</w:t>
      </w:r>
      <w:r>
        <w:rPr>
          <w:b w:val="0"/>
          <w:bCs w:val="0"/>
        </w:rPr>
      </w:r>
    </w:p>
    <w:p>
      <w:pPr>
        <w:pStyle w:val="Heading5"/>
        <w:spacing w:line="240" w:lineRule="auto" w:before="76"/>
        <w:ind w:left="154" w:right="0"/>
        <w:jc w:val="left"/>
        <w:rPr>
          <w:b w:val="0"/>
          <w:bCs w:val="0"/>
        </w:rPr>
      </w:pPr>
      <w:r>
        <w:rPr>
          <w:rFonts w:ascii="Times New Roman" w:hAnsi="Times New Roman" w:cs="Times New Roman" w:eastAsia="Times New Roman" w:hint="default"/>
        </w:rPr>
        <w:t>1.</w:t>
      </w:r>
      <w:r>
        <w:rPr/>
        <w:t>汇率风险</w:t>
      </w:r>
      <w:r>
        <w:rPr>
          <w:b w:val="0"/>
          <w:bCs w:val="0"/>
        </w:rPr>
      </w:r>
    </w:p>
    <w:p>
      <w:pPr>
        <w:pStyle w:val="BodyText"/>
        <w:spacing w:line="316" w:lineRule="auto" w:before="63"/>
        <w:ind w:right="1130" w:firstLine="360"/>
        <w:jc w:val="both"/>
      </w:pPr>
      <w:r>
        <w:rPr>
          <w:spacing w:val="-2"/>
        </w:rPr>
        <w:t>本公司的主要经营位于中国境内，主要业务以人民币结算。但本公司已确认的外币资产和负债及未来的外币交易（外币</w:t>
      </w:r>
      <w:r>
        <w:rPr/>
        <w:t> </w:t>
      </w:r>
      <w:r>
        <w:rPr>
          <w:spacing w:val="-2"/>
        </w:rPr>
        <w:t>资产和负债及外币交易的计价货币主要为美元）依然存在汇率风险。本公司财务部门负责监控公司外币交易和外币资产及负</w:t>
      </w:r>
      <w:r>
        <w:rPr>
          <w:spacing w:val="-63"/>
        </w:rPr>
        <w:t> </w:t>
      </w:r>
      <w:r>
        <w:rPr>
          <w:spacing w:val="-63"/>
        </w:rPr>
      </w:r>
      <w:r>
        <w:rPr>
          <w:spacing w:val="-2"/>
        </w:rPr>
        <w:t>债的规模，以最大程度降低面临的汇率风险；为此，本公司可能会以签署远期外汇合约或货币互换合约来达到规避汇率风险</w:t>
      </w:r>
      <w:r>
        <w:rPr>
          <w:spacing w:val="-66"/>
        </w:rPr>
        <w:t> </w:t>
      </w:r>
      <w:r>
        <w:rPr>
          <w:spacing w:val="-66"/>
        </w:rPr>
      </w:r>
      <w:r>
        <w:rPr/>
        <w:t>的目的。</w:t>
      </w:r>
    </w:p>
    <w:p>
      <w:pPr>
        <w:pStyle w:val="BodyText"/>
        <w:spacing w:line="240" w:lineRule="auto" w:before="19"/>
        <w:ind w:left="514" w:right="0"/>
        <w:jc w:val="left"/>
      </w:pPr>
      <w:r>
        <w:rPr/>
        <w:t>（</w:t>
      </w:r>
      <w:r>
        <w:rPr>
          <w:rFonts w:ascii="Times New Roman" w:hAnsi="Times New Roman" w:cs="Times New Roman" w:eastAsia="Times New Roman" w:hint="default"/>
        </w:rPr>
        <w:t>1</w:t>
      </w:r>
      <w:r>
        <w:rPr/>
        <w:t>）本年度公司未签署任何远期外汇合约或货币互换合约。</w:t>
      </w:r>
    </w:p>
    <w:p>
      <w:pPr>
        <w:pStyle w:val="BodyText"/>
        <w:spacing w:line="240" w:lineRule="auto" w:before="63"/>
        <w:ind w:left="514" w:right="0"/>
        <w:jc w:val="left"/>
      </w:pPr>
      <w:r>
        <w:rPr/>
        <w:t>（</w:t>
      </w:r>
      <w:r>
        <w:rPr>
          <w:rFonts w:ascii="Times New Roman" w:hAnsi="Times New Roman" w:cs="Times New Roman" w:eastAsia="Times New Roman" w:hint="default"/>
        </w:rPr>
        <w:t>2</w:t>
      </w:r>
      <w:r>
        <w:rPr/>
        <w:t>）截止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日，本公司持有的外币金融资产和外币金融负债折算成人民币的金额列示如下：</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3059"/>
        <w:gridCol w:w="2932"/>
        <w:gridCol w:w="2486"/>
      </w:tblGrid>
      <w:tr>
        <w:trPr>
          <w:trHeight w:val="355" w:hRule="exact"/>
        </w:trPr>
        <w:tc>
          <w:tcPr>
            <w:tcW w:w="3059" w:type="dxa"/>
            <w:vMerge w:val="restart"/>
            <w:tcBorders>
              <w:top w:val="single" w:sz="6" w:space="0" w:color="000000"/>
              <w:left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418" w:type="dxa"/>
            <w:gridSpan w:val="2"/>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2" w:hRule="exact"/>
        </w:trPr>
        <w:tc>
          <w:tcPr>
            <w:tcW w:w="3059" w:type="dxa"/>
            <w:vMerge/>
            <w:tcBorders>
              <w:left w:val="single" w:sz="6" w:space="0" w:color="000000"/>
              <w:bottom w:val="single" w:sz="12" w:space="0" w:color="000000"/>
              <w:right w:val="single" w:sz="6" w:space="0" w:color="000000"/>
            </w:tcBorders>
          </w:tcPr>
          <w:p>
            <w:pPr/>
          </w:p>
        </w:tc>
        <w:tc>
          <w:tcPr>
            <w:tcW w:w="29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美元项目</w:t>
            </w:r>
          </w:p>
        </w:tc>
        <w:tc>
          <w:tcPr>
            <w:tcW w:w="248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7"/>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53" w:hRule="exact"/>
        </w:trPr>
        <w:tc>
          <w:tcPr>
            <w:tcW w:w="30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外币金融资产：</w:t>
            </w:r>
          </w:p>
        </w:tc>
        <w:tc>
          <w:tcPr>
            <w:tcW w:w="2932" w:type="dxa"/>
            <w:tcBorders>
              <w:top w:val="single" w:sz="12" w:space="0" w:color="000000"/>
              <w:left w:val="single" w:sz="6" w:space="0" w:color="000000"/>
              <w:bottom w:val="single" w:sz="12" w:space="0" w:color="000000"/>
              <w:right w:val="single" w:sz="6" w:space="0" w:color="000000"/>
            </w:tcBorders>
          </w:tcPr>
          <w:p>
            <w:pPr/>
          </w:p>
        </w:tc>
        <w:tc>
          <w:tcPr>
            <w:tcW w:w="2486"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30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9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10,844,953.08</w:t>
            </w:r>
          </w:p>
        </w:tc>
        <w:tc>
          <w:tcPr>
            <w:tcW w:w="248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10,844,953.08</w:t>
            </w:r>
          </w:p>
        </w:tc>
      </w:tr>
      <w:tr>
        <w:trPr>
          <w:trHeight w:val="352" w:hRule="exact"/>
        </w:trPr>
        <w:tc>
          <w:tcPr>
            <w:tcW w:w="30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5,483,696.80</w:t>
            </w:r>
          </w:p>
        </w:tc>
        <w:tc>
          <w:tcPr>
            <w:tcW w:w="248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5,483,696.80</w:t>
            </w:r>
          </w:p>
        </w:tc>
      </w:tr>
      <w:tr>
        <w:trPr>
          <w:trHeight w:val="353" w:hRule="exact"/>
        </w:trPr>
        <w:tc>
          <w:tcPr>
            <w:tcW w:w="30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29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16,328,649.88</w:t>
            </w:r>
          </w:p>
        </w:tc>
        <w:tc>
          <w:tcPr>
            <w:tcW w:w="248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16,328,649.88</w:t>
            </w:r>
          </w:p>
        </w:tc>
      </w:tr>
    </w:tbl>
    <w:p>
      <w:pPr>
        <w:spacing w:line="240" w:lineRule="auto" w:before="8"/>
        <w:rPr>
          <w:rFonts w:ascii="宋体" w:hAnsi="宋体" w:cs="宋体" w:eastAsia="宋体" w:hint="default"/>
          <w:sz w:val="6"/>
          <w:szCs w:val="6"/>
        </w:rPr>
      </w:pPr>
    </w:p>
    <w:p>
      <w:pPr>
        <w:pStyle w:val="BodyText"/>
        <w:spacing w:line="240" w:lineRule="auto"/>
        <w:ind w:left="514" w:right="0"/>
        <w:jc w:val="left"/>
      </w:pPr>
      <w:r>
        <w:rPr/>
        <w:t>续：</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3052"/>
        <w:gridCol w:w="5410"/>
      </w:tblGrid>
      <w:tr>
        <w:trPr>
          <w:trHeight w:val="355" w:hRule="exact"/>
        </w:trPr>
        <w:tc>
          <w:tcPr>
            <w:tcW w:w="30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41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right="5"/>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3052"/>
        <w:gridCol w:w="2978"/>
        <w:gridCol w:w="2433"/>
      </w:tblGrid>
      <w:tr>
        <w:trPr>
          <w:trHeight w:val="355" w:hRule="exact"/>
        </w:trPr>
        <w:tc>
          <w:tcPr>
            <w:tcW w:w="3052" w:type="dxa"/>
            <w:tcBorders>
              <w:top w:val="single" w:sz="6" w:space="0" w:color="000000"/>
              <w:left w:val="single" w:sz="6" w:space="0" w:color="000000"/>
              <w:bottom w:val="single" w:sz="12" w:space="0" w:color="000000"/>
              <w:right w:val="single" w:sz="6" w:space="0" w:color="000000"/>
            </w:tcBorders>
          </w:tcPr>
          <w:p>
            <w:pPr/>
          </w:p>
        </w:tc>
        <w:tc>
          <w:tcPr>
            <w:tcW w:w="29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美元项目</w:t>
            </w:r>
          </w:p>
        </w:tc>
        <w:tc>
          <w:tcPr>
            <w:tcW w:w="243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7"/>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53" w:hRule="exact"/>
        </w:trPr>
        <w:tc>
          <w:tcPr>
            <w:tcW w:w="30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外币金融资产：</w:t>
            </w:r>
          </w:p>
        </w:tc>
        <w:tc>
          <w:tcPr>
            <w:tcW w:w="2978" w:type="dxa"/>
            <w:tcBorders>
              <w:top w:val="single" w:sz="12" w:space="0" w:color="000000"/>
              <w:left w:val="single" w:sz="6" w:space="0" w:color="000000"/>
              <w:bottom w:val="single" w:sz="12" w:space="0" w:color="000000"/>
              <w:right w:val="single" w:sz="6" w:space="0" w:color="000000"/>
            </w:tcBorders>
          </w:tcPr>
          <w:p>
            <w:pPr/>
          </w:p>
        </w:tc>
        <w:tc>
          <w:tcPr>
            <w:tcW w:w="2433"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30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9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397,484.73</w:t>
            </w:r>
          </w:p>
        </w:tc>
        <w:tc>
          <w:tcPr>
            <w:tcW w:w="243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397,484.73</w:t>
            </w:r>
          </w:p>
        </w:tc>
      </w:tr>
      <w:tr>
        <w:trPr>
          <w:trHeight w:val="352" w:hRule="exact"/>
        </w:trPr>
        <w:tc>
          <w:tcPr>
            <w:tcW w:w="30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29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397,484.73</w:t>
            </w:r>
          </w:p>
        </w:tc>
        <w:tc>
          <w:tcPr>
            <w:tcW w:w="243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397,484.73</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300" w:lineRule="auto" w:before="0"/>
        <w:ind w:left="514" w:right="1119"/>
        <w:jc w:val="left"/>
      </w:pPr>
      <w:r>
        <w:rPr/>
        <w:t>（</w:t>
      </w:r>
      <w:r>
        <w:rPr>
          <w:rFonts w:ascii="Times New Roman" w:hAnsi="Times New Roman" w:cs="Times New Roman" w:eastAsia="Times New Roman" w:hint="default"/>
        </w:rPr>
        <w:t>3</w:t>
      </w:r>
      <w:r>
        <w:rPr/>
        <w:t>）敏感性分析： </w:t>
      </w:r>
      <w:r>
        <w:rPr>
          <w:spacing w:val="-1"/>
        </w:rPr>
        <w:t>截止</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日，对于本公司各类美元金融资产和美元金融负债，如果人民币对美元升值或贬值</w:t>
      </w:r>
      <w:r>
        <w:rPr>
          <w:rFonts w:ascii="Times New Roman" w:hAnsi="Times New Roman" w:cs="Times New Roman" w:eastAsia="Times New Roman" w:hint="default"/>
          <w:spacing w:val="-1"/>
        </w:rPr>
        <w:t>10%</w:t>
      </w:r>
      <w:r>
        <w:rPr>
          <w:spacing w:val="-1"/>
        </w:rPr>
        <w:t>，其他因素保</w:t>
      </w:r>
    </w:p>
    <w:p>
      <w:pPr>
        <w:pStyle w:val="BodyText"/>
        <w:spacing w:line="240" w:lineRule="auto" w:before="13"/>
        <w:ind w:right="0"/>
        <w:jc w:val="left"/>
      </w:pPr>
      <w:r>
        <w:rPr/>
        <w:t>持不变，则本公司将减少或增加净利润约</w:t>
      </w:r>
      <w:r>
        <w:rPr>
          <w:rFonts w:ascii="Times New Roman" w:hAnsi="Times New Roman" w:cs="Times New Roman" w:eastAsia="Times New Roman" w:hint="default"/>
        </w:rPr>
        <w:t>501,619.57</w:t>
      </w:r>
      <w:r>
        <w:rPr/>
        <w:t>元（</w:t>
      </w:r>
      <w:r>
        <w:rPr>
          <w:rFonts w:ascii="Times New Roman" w:hAnsi="Times New Roman" w:cs="Times New Roman" w:eastAsia="Times New Roman" w:hint="default"/>
        </w:rPr>
        <w:t>2017</w:t>
      </w:r>
      <w:r>
        <w:rPr/>
        <w:t>年度约</w:t>
      </w:r>
      <w:r>
        <w:rPr>
          <w:rFonts w:ascii="Times New Roman" w:hAnsi="Times New Roman" w:cs="Times New Roman" w:eastAsia="Times New Roman" w:hint="default"/>
        </w:rPr>
        <w:t>5,170.67</w:t>
      </w:r>
      <w:r>
        <w:rPr/>
        <w:t>元</w:t>
      </w:r>
      <w:r>
        <w:rPr>
          <w:rFonts w:ascii="Times New Roman" w:hAnsi="Times New Roman" w:cs="Times New Roman" w:eastAsia="Times New Roman" w:hint="default"/>
        </w:rPr>
        <w:t>)</w:t>
      </w:r>
      <w:r>
        <w:rPr/>
        <w:t>。</w:t>
      </w:r>
    </w:p>
    <w:p>
      <w:pPr>
        <w:spacing w:line="240" w:lineRule="auto" w:before="13"/>
        <w:rPr>
          <w:rFonts w:ascii="宋体" w:hAnsi="宋体" w:cs="宋体" w:eastAsia="宋体" w:hint="default"/>
          <w:sz w:val="13"/>
          <w:szCs w:val="13"/>
        </w:rPr>
      </w:pPr>
    </w:p>
    <w:p>
      <w:pPr>
        <w:pStyle w:val="Heading5"/>
        <w:spacing w:line="240" w:lineRule="auto"/>
        <w:ind w:left="154" w:right="0"/>
        <w:jc w:val="left"/>
        <w:rPr>
          <w:b w:val="0"/>
          <w:bCs w:val="0"/>
        </w:rPr>
      </w:pPr>
      <w:r>
        <w:rPr>
          <w:rFonts w:ascii="Times New Roman" w:hAnsi="Times New Roman" w:cs="Times New Roman" w:eastAsia="Times New Roman" w:hint="default"/>
        </w:rPr>
        <w:t>2.</w:t>
      </w:r>
      <w:r>
        <w:rPr/>
        <w:t>利率风险</w:t>
      </w:r>
      <w:r>
        <w:rPr>
          <w:b w:val="0"/>
          <w:bCs w:val="0"/>
        </w:rPr>
      </w:r>
    </w:p>
    <w:p>
      <w:pPr>
        <w:pStyle w:val="BodyText"/>
        <w:spacing w:line="316" w:lineRule="auto" w:before="63"/>
        <w:ind w:right="1131" w:firstLine="360"/>
        <w:jc w:val="both"/>
      </w:pPr>
      <w:r>
        <w:rPr>
          <w:spacing w:val="-2"/>
        </w:rPr>
        <w:t>本公司的利率风险主要产生于银行借款。浮动利率的金融负债使本公司面临现金流量利率风险，固定利率的金融负债使</w:t>
      </w:r>
      <w:r>
        <w:rPr/>
        <w:t> 本公司面临公允价值利率风险。本公司根据当时的市场环境来决定固定利率及浮动利率合同的相对比例。</w:t>
      </w:r>
    </w:p>
    <w:p>
      <w:pPr>
        <w:pStyle w:val="BodyText"/>
        <w:spacing w:line="316" w:lineRule="auto" w:before="19"/>
        <w:ind w:right="1131" w:firstLine="360"/>
        <w:jc w:val="both"/>
      </w:pPr>
      <w:r>
        <w:rPr>
          <w:spacing w:val="-2"/>
        </w:rPr>
        <w:t>本公司财务部门持续监控公司利率水平。利率上升会增加新增带息债务的成本以及本公司尚未付清的以浮动利率计息的</w:t>
      </w:r>
      <w:r>
        <w:rPr/>
        <w:t> </w:t>
      </w:r>
      <w:r>
        <w:rPr>
          <w:spacing w:val="-2"/>
        </w:rPr>
        <w:t>带息债务的利息支出，并对本公司的财务业绩产生重大的不利影响，管理层会依据最新的市场状况及时做出调整，这些调整</w:t>
      </w:r>
      <w:r>
        <w:rPr>
          <w:spacing w:val="-66"/>
        </w:rPr>
        <w:t> </w:t>
      </w:r>
      <w:r>
        <w:rPr>
          <w:spacing w:val="-66"/>
        </w:rPr>
      </w:r>
      <w:r>
        <w:rPr/>
        <w:t>可能是进行利率互换的安排来降低利率风险。</w:t>
      </w:r>
    </w:p>
    <w:p>
      <w:pPr>
        <w:pStyle w:val="BodyText"/>
        <w:spacing w:line="240" w:lineRule="auto" w:before="19"/>
        <w:ind w:left="514" w:right="0"/>
        <w:jc w:val="left"/>
      </w:pPr>
      <w:r>
        <w:rPr/>
        <w:t>（</w:t>
      </w:r>
      <w:r>
        <w:rPr>
          <w:rFonts w:ascii="Times New Roman" w:hAnsi="Times New Roman" w:cs="Times New Roman" w:eastAsia="Times New Roman" w:hint="default"/>
        </w:rPr>
        <w:t>1</w:t>
      </w:r>
      <w:r>
        <w:rPr/>
        <w:t>）本年度公司无利率互换安排。</w:t>
      </w:r>
    </w:p>
    <w:p>
      <w:pPr>
        <w:pStyle w:val="BodyText"/>
        <w:spacing w:line="300" w:lineRule="auto" w:before="63"/>
        <w:ind w:right="1132" w:firstLine="360"/>
        <w:jc w:val="both"/>
      </w:pPr>
      <w:r>
        <w:rPr>
          <w:spacing w:val="-1"/>
        </w:rPr>
        <w:t>（</w:t>
      </w:r>
      <w:r>
        <w:rPr>
          <w:rFonts w:ascii="Times New Roman" w:hAnsi="Times New Roman" w:cs="Times New Roman" w:eastAsia="Times New Roman" w:hint="default"/>
          <w:spacing w:val="-1"/>
        </w:rPr>
        <w:t>2</w:t>
      </w:r>
      <w:r>
        <w:rPr>
          <w:spacing w:val="-1"/>
        </w:rPr>
        <w:t>）截止</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日，本公司长期带息债务主要为人民币计价的浮动利率合同，金额为</w:t>
      </w:r>
      <w:r>
        <w:rPr>
          <w:rFonts w:ascii="Times New Roman" w:hAnsi="Times New Roman" w:cs="Times New Roman" w:eastAsia="Times New Roman" w:hint="default"/>
          <w:spacing w:val="-1"/>
        </w:rPr>
        <w:t>131,000,000.00</w:t>
      </w:r>
      <w:r>
        <w:rPr>
          <w:spacing w:val="-1"/>
        </w:rPr>
        <w:t>元，详见本</w:t>
      </w:r>
      <w:r>
        <w:rPr/>
        <w:t> 合并财务报表项目注释</w:t>
      </w:r>
      <w:r>
        <w:rPr>
          <w:rFonts w:ascii="Times New Roman" w:hAnsi="Times New Roman" w:cs="Times New Roman" w:eastAsia="Times New Roman" w:hint="default"/>
        </w:rPr>
        <w:t>24</w:t>
      </w:r>
      <w:r>
        <w:rPr/>
        <w:t>、</w:t>
      </w:r>
      <w:r>
        <w:rPr>
          <w:rFonts w:ascii="Times New Roman" w:hAnsi="Times New Roman" w:cs="Times New Roman" w:eastAsia="Times New Roman" w:hint="default"/>
        </w:rPr>
        <w:t>25</w:t>
      </w:r>
      <w:r>
        <w:rPr/>
        <w:t>、</w:t>
      </w:r>
      <w:r>
        <w:rPr>
          <w:rFonts w:ascii="Times New Roman" w:hAnsi="Times New Roman" w:cs="Times New Roman" w:eastAsia="Times New Roman" w:hint="default"/>
        </w:rPr>
        <w:t>26</w:t>
      </w:r>
      <w:r>
        <w:rPr/>
        <w:t>。</w:t>
      </w:r>
    </w:p>
    <w:p>
      <w:pPr>
        <w:pStyle w:val="BodyText"/>
        <w:spacing w:line="300" w:lineRule="auto" w:before="13"/>
        <w:ind w:left="514" w:right="0"/>
        <w:jc w:val="left"/>
      </w:pPr>
      <w:r>
        <w:rPr/>
        <w:t>（</w:t>
      </w:r>
      <w:r>
        <w:rPr>
          <w:rFonts w:ascii="Times New Roman" w:hAnsi="Times New Roman" w:cs="Times New Roman" w:eastAsia="Times New Roman" w:hint="default"/>
        </w:rPr>
        <w:t>3</w:t>
      </w:r>
      <w:r>
        <w:rPr/>
        <w:t>）敏感性分析： </w:t>
      </w:r>
      <w:r>
        <w:rPr>
          <w:spacing w:val="-2"/>
        </w:rPr>
        <w:t>截止</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日，如果以浮动利率计算的借款利率上升或下降</w:t>
      </w:r>
      <w:r>
        <w:rPr>
          <w:rFonts w:ascii="Times New Roman" w:hAnsi="Times New Roman" w:cs="Times New Roman" w:eastAsia="Times New Roman" w:hint="default"/>
          <w:spacing w:val="-2"/>
        </w:rPr>
        <w:t>50</w:t>
      </w:r>
      <w:r>
        <w:rPr>
          <w:spacing w:val="-2"/>
        </w:rPr>
        <w:t>个基点，而其他因素保持不变，本公司的净利润会</w:t>
      </w:r>
    </w:p>
    <w:p>
      <w:pPr>
        <w:pStyle w:val="BodyText"/>
        <w:spacing w:line="300" w:lineRule="auto" w:before="13"/>
        <w:ind w:left="514" w:right="2112" w:hanging="360"/>
        <w:jc w:val="left"/>
      </w:pPr>
      <w:r>
        <w:rPr/>
        <w:t>减少或增加约</w:t>
      </w:r>
      <w:r>
        <w:rPr>
          <w:rFonts w:ascii="Times New Roman" w:hAnsi="Times New Roman" w:cs="Times New Roman" w:eastAsia="Times New Roman" w:hint="default"/>
        </w:rPr>
        <w:t>538,250.00</w:t>
      </w:r>
      <w:r>
        <w:rPr/>
        <w:t>元（</w:t>
      </w:r>
      <w:r>
        <w:rPr>
          <w:rFonts w:ascii="Times New Roman" w:hAnsi="Times New Roman" w:cs="Times New Roman" w:eastAsia="Times New Roman" w:hint="default"/>
        </w:rPr>
        <w:t>2017</w:t>
      </w:r>
      <w:r>
        <w:rPr/>
        <w:t>年度约</w:t>
      </w:r>
      <w:r>
        <w:rPr>
          <w:rFonts w:ascii="Times New Roman" w:hAnsi="Times New Roman" w:cs="Times New Roman" w:eastAsia="Times New Roman" w:hint="default"/>
        </w:rPr>
        <w:t>231,500.00</w:t>
      </w:r>
      <w:r>
        <w:rPr/>
        <w:t>元</w:t>
      </w:r>
      <w:r>
        <w:rPr>
          <w:rFonts w:ascii="Times New Roman" w:hAnsi="Times New Roman" w:cs="Times New Roman" w:eastAsia="Times New Roman" w:hint="default"/>
        </w:rPr>
        <w:t>)</w:t>
      </w:r>
      <w:r>
        <w:rPr/>
        <w:t>。 上述敏感性分析假定在资产负债表日已发生利率变动，并且已应用于本公司所有按浮动利率获得的借款。</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25"/>
        <w:ind w:right="0"/>
        <w:jc w:val="left"/>
        <w:rPr>
          <w:b w:val="0"/>
          <w:bCs w:val="0"/>
        </w:rPr>
      </w:pPr>
      <w:bookmarkStart w:name="十一、关联方及关联交易" w:id="389"/>
      <w:bookmarkEnd w:id="389"/>
      <w:r>
        <w:rPr>
          <w:b w:val="0"/>
          <w:bCs w:val="0"/>
        </w:rPr>
      </w:r>
      <w:r>
        <w:rPr/>
        <w:t>十一、关联方及关联交易</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本企业的母公司情况" w:id="390"/>
      <w:bookmarkEnd w:id="390"/>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瞿洪桂</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自然人</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18.42%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18.42%</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束龙胜</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自然人</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12.96%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12.96%</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芜湖市鑫诚科技投 资有限公司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5.31%</w:t>
            </w:r>
          </w:p>
        </w:tc>
      </w:tr>
      <w:tr>
        <w:trPr>
          <w:trHeight w:val="1339"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云泽投资管理（天 </w:t>
            </w:r>
            <w:r>
              <w:rPr>
                <w:rFonts w:ascii="宋体" w:hAnsi="宋体" w:cs="宋体" w:eastAsia="宋体" w:hint="default"/>
                <w:spacing w:val="-10"/>
                <w:sz w:val="18"/>
                <w:szCs w:val="18"/>
              </w:rPr>
              <w:t>津）有限公司－云泽</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投资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号私募证券 投资基金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1.89%</w:t>
            </w:r>
          </w:p>
        </w:tc>
      </w:tr>
    </w:tbl>
    <w:p>
      <w:pPr>
        <w:pStyle w:val="BodyText"/>
        <w:spacing w:line="240" w:lineRule="auto" w:before="51"/>
        <w:ind w:right="0"/>
        <w:jc w:val="left"/>
      </w:pPr>
      <w:r>
        <w:rPr/>
        <w:t>本企业的母公司情况的说明</w:t>
      </w:r>
    </w:p>
    <w:p>
      <w:pPr>
        <w:spacing w:line="240" w:lineRule="auto" w:before="12"/>
        <w:rPr>
          <w:rFonts w:ascii="宋体" w:hAnsi="宋体" w:cs="宋体" w:eastAsia="宋体" w:hint="default"/>
          <w:sz w:val="14"/>
          <w:szCs w:val="14"/>
        </w:rPr>
      </w:pPr>
    </w:p>
    <w:p>
      <w:pPr>
        <w:pStyle w:val="BodyText"/>
        <w:spacing w:line="300" w:lineRule="auto" w:before="0"/>
        <w:ind w:right="0" w:firstLine="540"/>
        <w:jc w:val="left"/>
      </w:pPr>
      <w:r>
        <w:rPr>
          <w:spacing w:val="-1"/>
        </w:rPr>
        <w:t>瞿洪桂持有本公司</w:t>
      </w:r>
      <w:r>
        <w:rPr>
          <w:rFonts w:ascii="Times New Roman" w:hAnsi="Times New Roman" w:cs="Times New Roman" w:eastAsia="Times New Roman" w:hint="default"/>
          <w:spacing w:val="-1"/>
        </w:rPr>
        <w:t>18.42%</w:t>
      </w:r>
      <w:r>
        <w:rPr>
          <w:spacing w:val="-1"/>
        </w:rPr>
        <w:t>的股份，通过控制云泽投资管理（天津）有限公司－云泽投资</w:t>
      </w:r>
      <w:r>
        <w:rPr>
          <w:rFonts w:ascii="Times New Roman" w:hAnsi="Times New Roman" w:cs="Times New Roman" w:eastAsia="Times New Roman" w:hint="default"/>
          <w:spacing w:val="-1"/>
        </w:rPr>
        <w:t>1</w:t>
      </w:r>
      <w:r>
        <w:rPr>
          <w:spacing w:val="-1"/>
        </w:rPr>
        <w:t>号私募证券投资基金间接控</w:t>
      </w:r>
      <w:r>
        <w:rPr/>
        <w:t> 制本公司</w:t>
      </w:r>
      <w:r>
        <w:rPr>
          <w:rFonts w:ascii="Times New Roman" w:hAnsi="Times New Roman" w:cs="Times New Roman" w:eastAsia="Times New Roman" w:hint="default"/>
        </w:rPr>
        <w:t>1.89%</w:t>
      </w:r>
      <w:r>
        <w:rPr/>
        <w:t>的股份，合并控制本公司</w:t>
      </w:r>
      <w:r>
        <w:rPr>
          <w:rFonts w:ascii="Times New Roman" w:hAnsi="Times New Roman" w:cs="Times New Roman" w:eastAsia="Times New Roman" w:hint="default"/>
        </w:rPr>
        <w:t>20.31%</w:t>
      </w:r>
      <w:r>
        <w:rPr/>
        <w:t>的股份。</w:t>
      </w:r>
    </w:p>
    <w:p>
      <w:pPr>
        <w:pStyle w:val="BodyText"/>
        <w:spacing w:line="240" w:lineRule="auto" w:before="133"/>
        <w:ind w:left="694" w:right="0"/>
        <w:jc w:val="left"/>
      </w:pPr>
      <w:r>
        <w:rPr/>
        <w:t>束龙胜持有本公司</w:t>
      </w:r>
      <w:r>
        <w:rPr>
          <w:rFonts w:ascii="Times New Roman" w:hAnsi="Times New Roman" w:cs="Times New Roman" w:eastAsia="Times New Roman" w:hint="default"/>
        </w:rPr>
        <w:t>12.96%</w:t>
      </w:r>
      <w:r>
        <w:rPr/>
        <w:t>的股份，通过持有芜湖市鑫诚科技投资有限公司</w:t>
      </w:r>
      <w:r>
        <w:rPr>
          <w:rFonts w:ascii="Times New Roman" w:hAnsi="Times New Roman" w:cs="Times New Roman" w:eastAsia="Times New Roman" w:hint="default"/>
        </w:rPr>
        <w:t>99.88%</w:t>
      </w:r>
      <w:r>
        <w:rPr/>
        <w:t>的股份间接控制本公司</w:t>
      </w:r>
      <w:r>
        <w:rPr>
          <w:rFonts w:ascii="Times New Roman" w:hAnsi="Times New Roman" w:cs="Times New Roman" w:eastAsia="Times New Roman" w:hint="default"/>
        </w:rPr>
        <w:t>5.31%</w:t>
      </w:r>
      <w:r>
        <w:rPr/>
        <w:t>的股</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50" w:lineRule="auto"/>
        <w:ind w:right="7857"/>
        <w:jc w:val="left"/>
      </w:pPr>
      <w:r>
        <w:rPr/>
        <w:t>份，合并控制本公司</w:t>
      </w:r>
      <w:r>
        <w:rPr>
          <w:rFonts w:ascii="Times New Roman" w:hAnsi="Times New Roman" w:cs="Times New Roman" w:eastAsia="Times New Roman" w:hint="default"/>
        </w:rPr>
        <w:t>18.27%</w:t>
      </w:r>
      <w:r>
        <w:rPr/>
        <w:t>的股份。 本企业最终控制方是束龙胜。 其他说明：</w:t>
      </w:r>
    </w:p>
    <w:p>
      <w:pPr>
        <w:spacing w:line="240" w:lineRule="auto" w:before="6"/>
        <w:rPr>
          <w:rFonts w:ascii="宋体" w:hAnsi="宋体" w:cs="宋体" w:eastAsia="宋体" w:hint="default"/>
          <w:sz w:val="20"/>
          <w:szCs w:val="20"/>
        </w:rPr>
      </w:pPr>
    </w:p>
    <w:p>
      <w:pPr>
        <w:spacing w:line="547" w:lineRule="auto" w:before="0"/>
        <w:ind w:left="154" w:right="7692" w:firstLine="0"/>
        <w:jc w:val="left"/>
        <w:rPr>
          <w:rFonts w:ascii="宋体" w:hAnsi="宋体" w:cs="宋体" w:eastAsia="宋体" w:hint="default"/>
          <w:sz w:val="21"/>
          <w:szCs w:val="21"/>
        </w:rPr>
      </w:pPr>
      <w:bookmarkStart w:name="2、本企业的子公司情况" w:id="391"/>
      <w:bookmarkEnd w:id="391"/>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本企业子公司的情况详见附注九、</w:t>
      </w:r>
      <w:r>
        <w:rPr>
          <w:rFonts w:ascii="Times New Roman" w:hAnsi="Times New Roman" w:cs="Times New Roman" w:eastAsia="Times New Roman" w:hint="default"/>
          <w:sz w:val="18"/>
          <w:szCs w:val="18"/>
        </w:rPr>
        <w:t>1</w:t>
      </w:r>
      <w:r>
        <w:rPr>
          <w:rFonts w:ascii="宋体" w:hAnsi="宋体" w:cs="宋体" w:eastAsia="宋体" w:hint="default"/>
          <w:sz w:val="18"/>
          <w:szCs w:val="18"/>
        </w:rPr>
        <w:t>。 </w:t>
      </w:r>
      <w:bookmarkStart w:name="3、本企业合营和联营企业情况" w:id="392"/>
      <w:bookmarkEnd w:id="392"/>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338" w:lineRule="auto" w:before="51"/>
        <w:ind w:right="2292"/>
        <w:jc w:val="left"/>
      </w:pPr>
      <w:r>
        <w:rPr/>
        <w:t>本企业重要的合营或联营企业详见附注九、</w:t>
      </w:r>
      <w:r>
        <w:rPr>
          <w:rFonts w:ascii="Times New Roman" w:hAnsi="Times New Roman" w:cs="Times New Roman" w:eastAsia="Times New Roman" w:hint="default"/>
        </w:rPr>
        <w:t>3</w:t>
      </w:r>
      <w:r>
        <w:rPr/>
        <w:t>。 本期与本公司发生关联方交易，或前期与本公司发生关联方交易形成余额的其他合营或联营企业情况如下：</w:t>
      </w:r>
    </w:p>
    <w:p>
      <w:pPr>
        <w:spacing w:line="240" w:lineRule="auto" w:before="5"/>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4、其他关联方情况" w:id="393"/>
      <w:bookmarkEnd w:id="393"/>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98"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天津滨电电力工程有限公司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子公司股东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云南云韵投资有限公司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子公司股东</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瞿洪桂</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董事及持股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5、关联交易情况" w:id="394"/>
      <w:bookmarkEnd w:id="394"/>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购销商品、提供和接受劳务的关联交易" w:id="395"/>
      <w:bookmarkEnd w:id="395"/>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2"/>
        <w:ind w:left="7524"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5"/>
        <w:gridCol w:w="1706"/>
        <w:gridCol w:w="1708"/>
        <w:gridCol w:w="1706"/>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安徽美能储能系统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采购材料</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00" w:right="0"/>
              <w:jc w:val="left"/>
              <w:rPr>
                <w:rFonts w:ascii="Times New Roman" w:hAnsi="Times New Roman" w:cs="Times New Roman" w:eastAsia="Times New Roman" w:hint="default"/>
                <w:sz w:val="18"/>
                <w:szCs w:val="18"/>
              </w:rPr>
            </w:pPr>
            <w:r>
              <w:rPr>
                <w:rFonts w:ascii="Times New Roman"/>
                <w:sz w:val="18"/>
              </w:rPr>
              <w:t>13,513.51</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53" w:right="0"/>
              <w:jc w:val="left"/>
              <w:rPr>
                <w:rFonts w:ascii="Times New Roman" w:hAnsi="Times New Roman" w:cs="Times New Roman" w:eastAsia="Times New Roman" w:hint="default"/>
                <w:sz w:val="18"/>
                <w:szCs w:val="18"/>
              </w:rPr>
            </w:pPr>
            <w:r>
              <w:rPr>
                <w:rFonts w:ascii="Times New Roman"/>
                <w:sz w:val="18"/>
              </w:rPr>
              <w:t>30,994.62</w:t>
            </w:r>
          </w:p>
        </w:tc>
      </w:tr>
    </w:tbl>
    <w:p>
      <w:pPr>
        <w:pStyle w:val="BodyText"/>
        <w:spacing w:line="240" w:lineRule="auto" w:before="51"/>
        <w:ind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7524"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天津滨电电力工程有限公司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设计服务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1" w:right="0"/>
              <w:jc w:val="left"/>
              <w:rPr>
                <w:rFonts w:ascii="Times New Roman" w:hAnsi="Times New Roman" w:cs="Times New Roman" w:eastAsia="Times New Roman" w:hint="default"/>
                <w:sz w:val="18"/>
                <w:szCs w:val="18"/>
              </w:rPr>
            </w:pPr>
            <w:r>
              <w:rPr>
                <w:rFonts w:ascii="Times New Roman"/>
                <w:sz w:val="18"/>
              </w:rPr>
              <w:t>6,417,942.45</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75" w:right="0"/>
              <w:jc w:val="left"/>
              <w:rPr>
                <w:rFonts w:ascii="Times New Roman" w:hAnsi="Times New Roman" w:cs="Times New Roman" w:eastAsia="Times New Roman" w:hint="default"/>
                <w:sz w:val="18"/>
                <w:szCs w:val="18"/>
              </w:rPr>
            </w:pPr>
            <w:r>
              <w:rPr>
                <w:rFonts w:ascii="Times New Roman"/>
                <w:sz w:val="18"/>
              </w:rPr>
              <w:t>6,843,373.58</w:t>
            </w:r>
          </w:p>
        </w:tc>
      </w:tr>
    </w:tbl>
    <w:p>
      <w:pPr>
        <w:pStyle w:val="BodyText"/>
        <w:spacing w:line="240" w:lineRule="auto" w:before="51"/>
        <w:ind w:right="0"/>
        <w:jc w:val="left"/>
      </w:pPr>
      <w:r>
        <w:rPr/>
        <w:t>购销商品、提供和接受劳务的关联交易说明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2）关联受托管理/承包及委托管理/出包情况" w:id="396"/>
      <w:bookmarkEnd w:id="396"/>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0"/>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2"/>
        <w:ind w:left="7524"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8" w:right="23" w:hanging="206"/>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2" w:right="47"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6" w:lineRule="auto"/>
        <w:jc w:val="left"/>
        <w:rPr>
          <w:rFonts w:ascii="宋体" w:hAnsi="宋体" w:cs="宋体" w:eastAsia="宋体" w:hint="default"/>
          <w:sz w:val="18"/>
          <w:szCs w:val="18"/>
        </w:rPr>
        <w:sectPr>
          <w:footerReference w:type="default" r:id="rId16"/>
          <w:pgSz w:w="11910" w:h="16840"/>
          <w:pgMar w:footer="979" w:header="747" w:top="1060" w:bottom="1160" w:left="980" w:right="0"/>
        </w:sectPr>
      </w:pPr>
    </w:p>
    <w:p>
      <w:pPr>
        <w:pStyle w:val="BodyText"/>
        <w:spacing w:line="340" w:lineRule="auto" w:before="51"/>
        <w:ind w:right="-20"/>
        <w:jc w:val="left"/>
      </w:pPr>
      <w:r>
        <w:rPr/>
        <w:t>关联托管</w:t>
      </w:r>
      <w:r>
        <w:rPr>
          <w:rFonts w:ascii="Times New Roman" w:hAnsi="Times New Roman" w:cs="Times New Roman" w:eastAsia="Times New Roman" w:hint="default"/>
        </w:rPr>
        <w:t>/</w:t>
      </w:r>
      <w:r>
        <w:rPr/>
        <w:t>承包情况说明 本公司委托管理</w:t>
      </w:r>
      <w:r>
        <w:rPr>
          <w:rFonts w:ascii="Times New Roman" w:hAnsi="Times New Roman" w:cs="Times New Roman" w:eastAsia="Times New Roman"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before="0"/>
        <w:ind w:left="153" w:right="0"/>
        <w:jc w:val="left"/>
      </w:pPr>
      <w:r>
        <w:rPr/>
        <w:t>单位： 元</w:t>
      </w:r>
    </w:p>
    <w:p>
      <w:pPr>
        <w:spacing w:after="0" w:line="240" w:lineRule="auto"/>
        <w:jc w:val="left"/>
        <w:sectPr>
          <w:type w:val="continuous"/>
          <w:pgSz w:w="11910" w:h="16840"/>
          <w:pgMar w:top="1060" w:bottom="1160" w:left="980" w:right="0"/>
          <w:cols w:num="2" w:equalWidth="0">
            <w:col w:w="2545" w:space="6284"/>
            <w:col w:w="210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408" w:right="23" w:hanging="386"/>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92" w:right="47"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240" w:lineRule="auto" w:before="52"/>
        <w:ind w:right="0"/>
        <w:jc w:val="left"/>
      </w:pPr>
      <w:r>
        <w:rPr/>
        <w:t>关联管理</w:t>
      </w:r>
      <w:r>
        <w:rPr>
          <w:rFonts w:ascii="Times New Roman" w:hAnsi="Times New Roman" w:cs="Times New Roman" w:eastAsia="Times New Roman" w:hint="default"/>
        </w:rPr>
        <w:t>/</w:t>
      </w:r>
      <w:r>
        <w:rPr/>
        <w:t>出包情况说明</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关联租赁情况" w:id="397"/>
      <w:bookmarkEnd w:id="397"/>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0"/>
        <w:jc w:val="left"/>
      </w:pPr>
      <w:r>
        <w:rPr/>
        <w:t>本公司作为出租方：</w:t>
      </w:r>
    </w:p>
    <w:p>
      <w:pPr>
        <w:pStyle w:val="BodyText"/>
        <w:spacing w:line="240" w:lineRule="auto" w:before="116"/>
        <w:ind w:left="7524"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pStyle w:val="BodyText"/>
        <w:spacing w:line="240" w:lineRule="auto" w:before="51"/>
        <w:ind w:right="0"/>
        <w:jc w:val="left"/>
      </w:pPr>
      <w:r>
        <w:rPr/>
        <w:t>本公司作为承租方：</w:t>
      </w:r>
    </w:p>
    <w:p>
      <w:pPr>
        <w:pStyle w:val="BodyText"/>
        <w:spacing w:line="240" w:lineRule="auto" w:before="117"/>
        <w:ind w:left="7524"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pStyle w:val="BodyText"/>
        <w:spacing w:line="240" w:lineRule="auto" w:before="51"/>
        <w:ind w:right="0"/>
        <w:jc w:val="left"/>
      </w:pPr>
      <w:r>
        <w:rPr/>
        <w:t>关联租赁情况说明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关联担保情况" w:id="398"/>
      <w:bookmarkEnd w:id="398"/>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0"/>
        <w:jc w:val="left"/>
      </w:pPr>
      <w:r>
        <w:rPr/>
        <w:t>本公司作为担保方</w:t>
      </w:r>
    </w:p>
    <w:p>
      <w:pPr>
        <w:pStyle w:val="BodyText"/>
        <w:spacing w:line="240" w:lineRule="auto" w:before="116"/>
        <w:ind w:left="7524"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安徽鑫龙自动化有限公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7" w:right="0"/>
              <w:jc w:val="left"/>
              <w:rPr>
                <w:rFonts w:ascii="Times New Roman" w:hAnsi="Times New Roman" w:cs="Times New Roman" w:eastAsia="Times New Roman" w:hint="default"/>
                <w:sz w:val="18"/>
                <w:szCs w:val="18"/>
              </w:rPr>
            </w:pPr>
            <w:r>
              <w:rPr>
                <w:rFonts w:ascii="Times New Roman"/>
                <w:sz w:val="18"/>
              </w:rPr>
              <w:t>25,000,000.00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0"/>
        <w:jc w:val="left"/>
      </w:pPr>
      <w:r>
        <w:rPr/>
        <w:t>本公司作为被担保方</w:t>
      </w:r>
    </w:p>
    <w:p>
      <w:pPr>
        <w:pStyle w:val="BodyText"/>
        <w:spacing w:line="240" w:lineRule="auto" w:before="117"/>
        <w:ind w:left="7524"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7"/>
              <w:jc w:val="center"/>
              <w:rPr>
                <w:rFonts w:ascii="宋体" w:hAnsi="宋体" w:cs="宋体" w:eastAsia="宋体" w:hint="default"/>
                <w:sz w:val="18"/>
                <w:szCs w:val="18"/>
              </w:rPr>
            </w:pPr>
            <w:r>
              <w:rPr>
                <w:rFonts w:ascii="宋体" w:hAnsi="宋体" w:cs="宋体" w:eastAsia="宋体" w:hint="default"/>
                <w:sz w:val="18"/>
                <w:szCs w:val="18"/>
              </w:rPr>
              <w:t>安徽森源电器有限公司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7"/>
              <w:jc w:val="center"/>
              <w:rPr>
                <w:rFonts w:ascii="宋体" w:hAnsi="宋体" w:cs="宋体" w:eastAsia="宋体" w:hint="default"/>
                <w:sz w:val="18"/>
                <w:szCs w:val="18"/>
              </w:rPr>
            </w:pPr>
            <w:r>
              <w:rPr>
                <w:rFonts w:ascii="宋体" w:hAnsi="宋体" w:cs="宋体" w:eastAsia="宋体" w:hint="default"/>
                <w:sz w:val="18"/>
                <w:szCs w:val="18"/>
              </w:rPr>
              <w:t>安徽森源电器有限公司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0"/>
        <w:jc w:val="left"/>
      </w:pPr>
      <w:r>
        <w:rPr/>
        <w:t>关联担保情况说明</w:t>
      </w:r>
    </w:p>
    <w:p>
      <w:pPr>
        <w:spacing w:line="240" w:lineRule="auto" w:before="2"/>
        <w:rPr>
          <w:rFonts w:ascii="宋体" w:hAnsi="宋体" w:cs="宋体" w:eastAsia="宋体" w:hint="default"/>
          <w:sz w:val="24"/>
          <w:szCs w:val="24"/>
        </w:rPr>
      </w:pPr>
    </w:p>
    <w:p>
      <w:pPr>
        <w:pStyle w:val="BodyText"/>
        <w:spacing w:line="300" w:lineRule="auto" w:before="0"/>
        <w:ind w:right="1160" w:firstLine="630"/>
        <w:jc w:val="left"/>
      </w:pPr>
      <w:r>
        <w:rPr>
          <w:rFonts w:ascii="Times New Roman" w:hAnsi="Times New Roman" w:cs="Times New Roman" w:eastAsia="Times New Roman" w:hint="default"/>
        </w:rPr>
        <w:t>1</w:t>
      </w:r>
      <w:r>
        <w:rPr/>
        <w:t>、本公司为子公司安徽佑赛科技股份有限公司提供 </w:t>
      </w:r>
      <w:r>
        <w:rPr>
          <w:rFonts w:ascii="Times New Roman" w:hAnsi="Times New Roman" w:cs="Times New Roman" w:eastAsia="Times New Roman" w:hint="default"/>
        </w:rPr>
        <w:t>5,000.00</w:t>
      </w:r>
      <w:r>
        <w:rPr>
          <w:rFonts w:ascii="Times New Roman" w:hAnsi="Times New Roman" w:cs="Times New Roman" w:eastAsia="Times New Roman" w:hint="default"/>
          <w:spacing w:val="7"/>
        </w:rPr>
        <w:t> </w:t>
      </w:r>
      <w:r>
        <w:rPr/>
        <w:t>万元担保额度，截止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日，安徽佑赛科技 股份有限公司未使用授信额度。</w:t>
      </w:r>
    </w:p>
    <w:p>
      <w:pPr>
        <w:pStyle w:val="BodyText"/>
        <w:spacing w:line="240" w:lineRule="auto" w:before="30"/>
        <w:ind w:left="694" w:right="0"/>
        <w:jc w:val="left"/>
      </w:pPr>
      <w:r>
        <w:rPr>
          <w:rFonts w:ascii="Times New Roman" w:hAnsi="Times New Roman" w:cs="Times New Roman" w:eastAsia="Times New Roman" w:hint="default"/>
        </w:rPr>
        <w:t>2</w:t>
      </w:r>
      <w:r>
        <w:rPr/>
        <w:t>、本公司为子公司北京中电兴发科技有限公司提供不超过 </w:t>
      </w:r>
      <w:r>
        <w:rPr>
          <w:rFonts w:ascii="Times New Roman" w:hAnsi="Times New Roman" w:cs="Times New Roman" w:eastAsia="Times New Roman" w:hint="default"/>
        </w:rPr>
        <w:t>20.00</w:t>
      </w:r>
      <w:r>
        <w:rPr>
          <w:rFonts w:ascii="Times New Roman" w:hAnsi="Times New Roman" w:cs="Times New Roman" w:eastAsia="Times New Roman" w:hint="default"/>
          <w:spacing w:val="4"/>
        </w:rPr>
        <w:t> </w:t>
      </w:r>
      <w:r>
        <w:rPr/>
        <w:t>亿元的银行综合授信额度的担保，截止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p>
    <w:p>
      <w:pPr>
        <w:spacing w:after="0" w:line="240" w:lineRule="auto"/>
        <w:jc w:val="left"/>
        <w:sectPr>
          <w:type w:val="continuous"/>
          <w:pgSz w:w="11910" w:h="16840"/>
          <w:pgMar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ind w:right="0"/>
        <w:jc w:val="left"/>
      </w:pPr>
      <w:r>
        <w:rPr>
          <w:rFonts w:ascii="Times New Roman" w:hAnsi="Times New Roman" w:cs="Times New Roman" w:eastAsia="Times New Roman" w:hint="default"/>
        </w:rPr>
        <w:t>31</w:t>
      </w:r>
      <w:r>
        <w:rPr/>
        <w:t>日，北京中电兴发科技有限公司已使用</w:t>
      </w:r>
      <w:r>
        <w:rPr>
          <w:rFonts w:ascii="Times New Roman" w:hAnsi="Times New Roman" w:cs="Times New Roman" w:eastAsia="Times New Roman" w:hint="default"/>
        </w:rPr>
        <w:t>213.97</w:t>
      </w:r>
      <w:r>
        <w:rPr/>
        <w:t>万元的授信额度。</w:t>
      </w:r>
    </w:p>
    <w:p>
      <w:pPr>
        <w:pStyle w:val="BodyText"/>
        <w:spacing w:line="300" w:lineRule="auto" w:before="63"/>
        <w:ind w:right="1029" w:firstLine="540"/>
        <w:jc w:val="left"/>
      </w:pPr>
      <w:r>
        <w:rPr>
          <w:rFonts w:ascii="Times New Roman" w:hAnsi="Times New Roman" w:cs="Times New Roman" w:eastAsia="Times New Roman" w:hint="default"/>
        </w:rPr>
        <w:t>3</w:t>
      </w:r>
      <w:r>
        <w:rPr/>
        <w:t>、本公司为子公司苏州开关二厂有限公司提供不超过 </w:t>
      </w:r>
      <w:r>
        <w:rPr>
          <w:rFonts w:ascii="Times New Roman" w:hAnsi="Times New Roman" w:cs="Times New Roman" w:eastAsia="Times New Roman" w:hint="default"/>
        </w:rPr>
        <w:t>1.30 </w:t>
      </w:r>
      <w:r>
        <w:rPr>
          <w:spacing w:val="-3"/>
        </w:rPr>
        <w:t>亿元的银行综合授信额度的担保，截止</w:t>
      </w:r>
      <w:r>
        <w:rPr>
          <w:spacing w:val="-36"/>
        </w:rPr>
        <w:t>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 苏州开关二厂有限公司已使用</w:t>
      </w:r>
      <w:r>
        <w:rPr>
          <w:spacing w:val="-19"/>
        </w:rPr>
        <w:t> </w:t>
      </w:r>
      <w:r>
        <w:rPr>
          <w:rFonts w:ascii="Times New Roman" w:hAnsi="Times New Roman" w:cs="Times New Roman" w:eastAsia="Times New Roman" w:hint="default"/>
        </w:rPr>
        <w:t>155.51</w:t>
      </w:r>
      <w:r>
        <w:rPr/>
        <w:t>万元的授信额度。</w:t>
      </w:r>
    </w:p>
    <w:p>
      <w:pPr>
        <w:pStyle w:val="BodyText"/>
        <w:spacing w:line="300" w:lineRule="auto" w:before="13"/>
        <w:ind w:right="1029" w:firstLine="540"/>
        <w:jc w:val="left"/>
      </w:pPr>
      <w:r>
        <w:rPr>
          <w:rFonts w:ascii="Times New Roman" w:hAnsi="Times New Roman" w:cs="Times New Roman" w:eastAsia="Times New Roman" w:hint="default"/>
        </w:rPr>
        <w:t>4</w:t>
      </w:r>
      <w:r>
        <w:rPr/>
        <w:t>、本公司为子公司安徽森源电器有限公司提供不超过 </w:t>
      </w:r>
      <w:r>
        <w:rPr>
          <w:rFonts w:ascii="Times New Roman" w:hAnsi="Times New Roman" w:cs="Times New Roman" w:eastAsia="Times New Roman" w:hint="default"/>
        </w:rPr>
        <w:t>2.00 </w:t>
      </w:r>
      <w:r>
        <w:rPr>
          <w:spacing w:val="-3"/>
        </w:rPr>
        <w:t>亿元的银行综合授信额度的担保，截止</w:t>
      </w:r>
      <w:r>
        <w:rPr>
          <w:spacing w:val="-36"/>
        </w:rPr>
        <w:t>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 安徽森源电器有限公司未使用授信额度。</w:t>
      </w:r>
    </w:p>
    <w:p>
      <w:pPr>
        <w:pStyle w:val="BodyText"/>
        <w:spacing w:line="240" w:lineRule="auto" w:before="31"/>
        <w:ind w:left="694" w:right="0"/>
        <w:jc w:val="left"/>
      </w:pPr>
      <w:r>
        <w:rPr>
          <w:rFonts w:ascii="Times New Roman" w:hAnsi="Times New Roman" w:cs="Times New Roman" w:eastAsia="Times New Roman" w:hint="default"/>
        </w:rPr>
        <w:t>5</w:t>
      </w:r>
      <w:r>
        <w:rPr/>
        <w:t>、本公司为子公司安徽鑫龙低压电器有限公司提供不超过 </w:t>
      </w:r>
      <w:r>
        <w:rPr>
          <w:rFonts w:ascii="Times New Roman" w:hAnsi="Times New Roman" w:cs="Times New Roman" w:eastAsia="Times New Roman" w:hint="default"/>
        </w:rPr>
        <w:t>1.00  </w:t>
      </w:r>
      <w:r>
        <w:rPr/>
        <w:t>亿元的银行综合授信额度的担保，截止</w:t>
      </w:r>
      <w:r>
        <w:rPr>
          <w:spacing w:val="-56"/>
        </w:rPr>
        <w:t>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p>
    <w:p>
      <w:pPr>
        <w:pStyle w:val="BodyText"/>
        <w:spacing w:line="240" w:lineRule="auto" w:before="63"/>
        <w:ind w:right="0"/>
        <w:jc w:val="left"/>
      </w:pPr>
      <w:r>
        <w:rPr>
          <w:rFonts w:ascii="Times New Roman" w:hAnsi="Times New Roman" w:cs="Times New Roman" w:eastAsia="Times New Roman" w:hint="default"/>
        </w:rPr>
        <w:t>31</w:t>
      </w:r>
      <w:r>
        <w:rPr/>
        <w:t>日，安徽鑫龙低压电器有限公司未使用授信额度。</w:t>
      </w:r>
    </w:p>
    <w:p>
      <w:pPr>
        <w:pStyle w:val="BodyText"/>
        <w:spacing w:line="240" w:lineRule="auto" w:before="63"/>
        <w:ind w:left="694" w:right="0"/>
        <w:jc w:val="left"/>
        <w:rPr>
          <w:rFonts w:ascii="Times New Roman" w:hAnsi="Times New Roman" w:cs="Times New Roman" w:eastAsia="Times New Roman" w:hint="default"/>
        </w:rPr>
      </w:pPr>
      <w:r>
        <w:rPr>
          <w:rFonts w:ascii="Times New Roman" w:hAnsi="Times New Roman" w:cs="Times New Roman" w:eastAsia="Times New Roman" w:hint="default"/>
        </w:rPr>
        <w:t>6</w:t>
      </w:r>
      <w:r>
        <w:rPr/>
        <w:t>、本公司为子公司安徽鑫龙自动化有限公司提供不超过 </w:t>
      </w:r>
      <w:r>
        <w:rPr>
          <w:rFonts w:ascii="Times New Roman" w:hAnsi="Times New Roman" w:cs="Times New Roman" w:eastAsia="Times New Roman" w:hint="default"/>
        </w:rPr>
        <w:t>1.50  </w:t>
      </w:r>
      <w:r>
        <w:rPr/>
        <w:t>亿元的银行综合授信额度的担保，截止</w:t>
      </w:r>
      <w:r>
        <w:rPr>
          <w:spacing w:val="-56"/>
        </w:rPr>
        <w:t>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p>
    <w:p>
      <w:pPr>
        <w:pStyle w:val="BodyText"/>
        <w:spacing w:line="240" w:lineRule="auto" w:before="63"/>
        <w:ind w:right="0"/>
        <w:jc w:val="left"/>
      </w:pPr>
      <w:r>
        <w:rPr/>
        <w:t>日，安徽鑫龙自动化有限公司已使用</w:t>
      </w:r>
      <w:r>
        <w:rPr>
          <w:rFonts w:ascii="Times New Roman" w:hAnsi="Times New Roman" w:cs="Times New Roman" w:eastAsia="Times New Roman" w:hint="default"/>
        </w:rPr>
        <w:t>2500</w:t>
      </w:r>
      <w:r>
        <w:rPr/>
        <w:t>万授信额度。</w:t>
      </w:r>
    </w:p>
    <w:p>
      <w:pPr>
        <w:pStyle w:val="BodyText"/>
        <w:spacing w:line="240" w:lineRule="auto" w:before="63"/>
        <w:ind w:left="694" w:right="0"/>
        <w:jc w:val="left"/>
      </w:pPr>
      <w:r>
        <w:rPr>
          <w:rFonts w:ascii="Times New Roman" w:hAnsi="Times New Roman" w:cs="Times New Roman" w:eastAsia="Times New Roman" w:hint="default"/>
        </w:rPr>
        <w:t>7</w:t>
      </w:r>
      <w:r>
        <w:rPr/>
        <w:t>、本公司子公司之间相互提供</w:t>
      </w:r>
      <w:r>
        <w:rPr>
          <w:rFonts w:ascii="Times New Roman" w:hAnsi="Times New Roman" w:cs="Times New Roman" w:eastAsia="Times New Roman" w:hint="default"/>
        </w:rPr>
        <w:t>2.00</w:t>
      </w:r>
      <w:r>
        <w:rPr/>
        <w:t>亿元担保，截止</w:t>
      </w:r>
      <w:r>
        <w:rPr>
          <w:spacing w:val="-21"/>
        </w:rPr>
        <w:t>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日，子公司之间尚未使用授信额度。</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0"/>
          <w:szCs w:val="20"/>
        </w:rPr>
      </w:pPr>
    </w:p>
    <w:p>
      <w:pPr>
        <w:pStyle w:val="Heading4"/>
        <w:spacing w:line="240" w:lineRule="auto"/>
        <w:ind w:right="0"/>
        <w:jc w:val="left"/>
        <w:rPr>
          <w:b w:val="0"/>
          <w:bCs w:val="0"/>
        </w:rPr>
      </w:pPr>
      <w:bookmarkStart w:name="（5）关联方资金拆借" w:id="399"/>
      <w:bookmarkEnd w:id="399"/>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7524"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5"/>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6）关联方资产转让、债务重组情况" w:id="400"/>
      <w:bookmarkEnd w:id="400"/>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7524"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7）关键管理人员报酬" w:id="401"/>
      <w:bookmarkEnd w:id="401"/>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7524"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7,915,610.00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6,984,747.00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8）其他关联交易" w:id="402"/>
      <w:bookmarkEnd w:id="402"/>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6、关联方应收应付款项" w:id="403"/>
      <w:bookmarkEnd w:id="403"/>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应收项目" w:id="404"/>
      <w:bookmarkEnd w:id="404"/>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7524"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bl>
    <w:p>
      <w:pPr>
        <w:spacing w:after="0" w:line="240" w:lineRule="auto"/>
        <w:jc w:val="left"/>
        <w:rPr>
          <w:rFonts w:ascii="宋体" w:hAnsi="宋体" w:cs="宋体" w:eastAsia="宋体" w:hint="default"/>
          <w:sz w:val="18"/>
          <w:szCs w:val="18"/>
        </w:rPr>
        <w:sectPr>
          <w:footerReference w:type="default" r:id="rId17"/>
          <w:pgSz w:w="11910" w:h="16840"/>
          <w:pgMar w:footer="979" w:header="747" w:top="1060" w:bottom="1160" w:left="980" w:right="0"/>
          <w:pgNumType w:start="201"/>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天津滨电电力工程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2,301,021.00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69,030.63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2,111,564.00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63,346.92</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安徽美能储能系统 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32,268.03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968.04</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云南云韵投资有限 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云南云韵投资有限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应付项目" w:id="405"/>
      <w:bookmarkEnd w:id="405"/>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7524"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芜湖中电兆威电子股份有限 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51,632.00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瞿洪桂</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508,547.01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508,547.01</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7、关联方承诺" w:id="406"/>
      <w:bookmarkEnd w:id="406"/>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8"/>
        <w:rPr>
          <w:rFonts w:ascii="宋体" w:hAnsi="宋体" w:cs="宋体" w:eastAsia="宋体" w:hint="default"/>
          <w:b/>
          <w:bCs/>
          <w:sz w:val="24"/>
          <w:szCs w:val="24"/>
        </w:rPr>
      </w:pPr>
    </w:p>
    <w:p>
      <w:pPr>
        <w:spacing w:line="487" w:lineRule="auto" w:before="0"/>
        <w:ind w:left="154" w:right="8750" w:firstLine="0"/>
        <w:jc w:val="left"/>
        <w:rPr>
          <w:rFonts w:ascii="宋体" w:hAnsi="宋体" w:cs="宋体" w:eastAsia="宋体" w:hint="default"/>
          <w:sz w:val="21"/>
          <w:szCs w:val="21"/>
        </w:rPr>
      </w:pPr>
      <w:bookmarkStart w:name="8、其他" w:id="407"/>
      <w:bookmarkEnd w:id="407"/>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二、股份支付" w:id="408"/>
      <w:bookmarkEnd w:id="408"/>
      <w:r>
        <w:rPr>
          <w:rFonts w:ascii="宋体" w:hAnsi="宋体" w:cs="宋体" w:eastAsia="宋体" w:hint="default"/>
          <w:b/>
          <w:bCs/>
          <w:spacing w:val="1"/>
          <w:w w:val="99"/>
          <w:sz w:val="21"/>
          <w:szCs w:val="21"/>
        </w:rPr>
      </w:r>
      <w:r>
        <w:rPr>
          <w:rFonts w:ascii="宋体" w:hAnsi="宋体" w:cs="宋体" w:eastAsia="宋体" w:hint="default"/>
          <w:b/>
          <w:bCs/>
          <w:sz w:val="24"/>
          <w:szCs w:val="24"/>
        </w:rPr>
        <w:t>十二、股份支付</w:t>
      </w:r>
      <w:r>
        <w:rPr>
          <w:rFonts w:ascii="宋体" w:hAnsi="宋体" w:cs="宋体" w:eastAsia="宋体" w:hint="default"/>
          <w:b/>
          <w:bCs/>
          <w:w w:val="99"/>
          <w:sz w:val="24"/>
          <w:szCs w:val="24"/>
        </w:rPr>
        <w:t> </w:t>
      </w:r>
      <w:bookmarkStart w:name="1、股份支付总体情况" w:id="409"/>
      <w:bookmarkEnd w:id="409"/>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8"/>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2、以权益结算的股份支付情况" w:id="410"/>
      <w:bookmarkEnd w:id="410"/>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3、以现金结算的股份支付情况" w:id="411"/>
      <w:bookmarkEnd w:id="411"/>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4、股份支付的修改、终止情况" w:id="412"/>
      <w:bookmarkEnd w:id="412"/>
      <w:r>
        <w:rPr>
          <w:b w:val="0"/>
          <w:bCs w:val="0"/>
        </w:rPr>
      </w:r>
      <w:r>
        <w:rPr>
          <w:rFonts w:ascii="Times New Roman" w:hAnsi="Times New Roman" w:cs="Times New Roman" w:eastAsia="Times New Roman" w:hint="default"/>
        </w:rPr>
        <w:t>4</w:t>
      </w:r>
      <w:r>
        <w:rPr/>
        <w:t>、股份支付的修改、终止情况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54" w:right="8233" w:firstLine="0"/>
        <w:jc w:val="left"/>
        <w:rPr>
          <w:rFonts w:ascii="宋体" w:hAnsi="宋体" w:cs="宋体" w:eastAsia="宋体" w:hint="default"/>
          <w:sz w:val="21"/>
          <w:szCs w:val="21"/>
        </w:rPr>
      </w:pPr>
      <w:bookmarkStart w:name="5、其他" w:id="413"/>
      <w:bookmarkEnd w:id="413"/>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三、承诺及或有事项" w:id="414"/>
      <w:bookmarkEnd w:id="414"/>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十三、承诺及或有事项</w:t>
      </w:r>
      <w:r>
        <w:rPr>
          <w:rFonts w:ascii="宋体" w:hAnsi="宋体" w:cs="宋体" w:eastAsia="宋体" w:hint="default"/>
          <w:b/>
          <w:bCs/>
          <w:spacing w:val="-4"/>
          <w:w w:val="95"/>
          <w:sz w:val="24"/>
          <w:szCs w:val="24"/>
        </w:rPr>
        <w:t> </w:t>
      </w:r>
      <w:r>
        <w:rPr>
          <w:rFonts w:ascii="宋体" w:hAnsi="宋体" w:cs="宋体" w:eastAsia="宋体" w:hint="default"/>
          <w:b/>
          <w:bCs/>
          <w:spacing w:val="-4"/>
          <w:w w:val="95"/>
          <w:sz w:val="24"/>
          <w:szCs w:val="24"/>
        </w:rPr>
      </w:r>
      <w:bookmarkStart w:name="1、重要承诺事项" w:id="415"/>
      <w:bookmarkEnd w:id="415"/>
      <w:r>
        <w:rPr>
          <w:rFonts w:ascii="宋体" w:hAnsi="宋体" w:cs="宋体" w:eastAsia="宋体" w:hint="default"/>
          <w:b/>
          <w:bCs/>
          <w:spacing w:val="-4"/>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240" w:lineRule="auto" w:before="108"/>
        <w:ind w:right="0"/>
        <w:jc w:val="left"/>
      </w:pPr>
      <w:r>
        <w:rPr/>
        <w:t>资产负债表日存在的重要承诺</w:t>
      </w:r>
    </w:p>
    <w:p>
      <w:pPr>
        <w:spacing w:before="90"/>
        <w:ind w:left="574" w:right="0" w:firstLine="0"/>
        <w:jc w:val="left"/>
        <w:rPr>
          <w:rFonts w:ascii="宋体" w:hAnsi="宋体" w:cs="宋体" w:eastAsia="宋体" w:hint="default"/>
          <w:sz w:val="21"/>
          <w:szCs w:val="21"/>
        </w:rPr>
      </w:pPr>
      <w:r>
        <w:rPr>
          <w:rFonts w:ascii="宋体" w:hAnsi="宋体" w:cs="宋体" w:eastAsia="宋体" w:hint="default"/>
          <w:sz w:val="21"/>
          <w:szCs w:val="21"/>
        </w:rPr>
        <w:t>本公司不存在需要披露的重要承诺事项。</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4"/>
        <w:spacing w:line="240" w:lineRule="auto"/>
        <w:ind w:right="0"/>
        <w:jc w:val="left"/>
        <w:rPr>
          <w:b w:val="0"/>
          <w:bCs w:val="0"/>
        </w:rPr>
      </w:pPr>
      <w:bookmarkStart w:name="2、或有事项" w:id="416"/>
      <w:bookmarkEnd w:id="416"/>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资产负债表日存在的重要或有事项" w:id="417"/>
      <w:bookmarkEnd w:id="417"/>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26"/>
          <w:szCs w:val="26"/>
        </w:rPr>
      </w:pPr>
    </w:p>
    <w:p>
      <w:pPr>
        <w:pStyle w:val="Heading5"/>
        <w:spacing w:line="240" w:lineRule="auto"/>
        <w:ind w:left="875" w:right="0"/>
        <w:jc w:val="left"/>
        <w:rPr>
          <w:b w:val="0"/>
          <w:bCs w:val="0"/>
        </w:rPr>
      </w:pPr>
      <w:r>
        <w:rPr>
          <w:rFonts w:ascii="Times New Roman" w:hAnsi="Times New Roman" w:cs="Times New Roman" w:eastAsia="Times New Roman" w:hint="default"/>
        </w:rPr>
        <w:t>1</w:t>
      </w:r>
      <w:r>
        <w:rPr/>
        <w:t>、未决诉讼或仲裁形成的或有事项及其财务影响</w:t>
      </w:r>
      <w:r>
        <w:rPr>
          <w:b w:val="0"/>
          <w:bCs w:val="0"/>
        </w:rPr>
      </w:r>
    </w:p>
    <w:p>
      <w:pPr>
        <w:spacing w:line="240" w:lineRule="auto" w:before="13"/>
        <w:rPr>
          <w:rFonts w:ascii="宋体" w:hAnsi="宋体" w:cs="宋体" w:eastAsia="宋体" w:hint="default"/>
          <w:b/>
          <w:bCs/>
          <w:sz w:val="3"/>
          <w:szCs w:val="3"/>
        </w:rPr>
      </w:pPr>
    </w:p>
    <w:tbl>
      <w:tblPr>
        <w:tblW w:w="0" w:type="auto"/>
        <w:jc w:val="left"/>
        <w:tblInd w:w="146" w:type="dxa"/>
        <w:tblLayout w:type="fixed"/>
        <w:tblCellMar>
          <w:top w:w="0" w:type="dxa"/>
          <w:left w:w="0" w:type="dxa"/>
          <w:bottom w:w="0" w:type="dxa"/>
          <w:right w:w="0" w:type="dxa"/>
        </w:tblCellMar>
        <w:tblLook w:val="01E0"/>
      </w:tblPr>
      <w:tblGrid>
        <w:gridCol w:w="1644"/>
        <w:gridCol w:w="1920"/>
        <w:gridCol w:w="952"/>
        <w:gridCol w:w="1518"/>
        <w:gridCol w:w="1386"/>
        <w:gridCol w:w="1336"/>
      </w:tblGrid>
      <w:tr>
        <w:trPr>
          <w:trHeight w:val="347" w:hRule="exact"/>
        </w:trPr>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原告</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被告</w:t>
            </w: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88" w:right="0"/>
              <w:jc w:val="left"/>
              <w:rPr>
                <w:rFonts w:ascii="宋体" w:hAnsi="宋体" w:cs="宋体" w:eastAsia="宋体" w:hint="default"/>
                <w:sz w:val="18"/>
                <w:szCs w:val="18"/>
              </w:rPr>
            </w:pPr>
            <w:r>
              <w:rPr>
                <w:rFonts w:ascii="宋体" w:hAnsi="宋体" w:cs="宋体" w:eastAsia="宋体" w:hint="default"/>
                <w:sz w:val="18"/>
                <w:szCs w:val="18"/>
              </w:rPr>
              <w:t>案由</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受理法院</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标的额</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21" w:right="0"/>
              <w:jc w:val="left"/>
              <w:rPr>
                <w:rFonts w:ascii="宋体" w:hAnsi="宋体" w:cs="宋体" w:eastAsia="宋体" w:hint="default"/>
                <w:sz w:val="18"/>
                <w:szCs w:val="18"/>
              </w:rPr>
            </w:pPr>
            <w:r>
              <w:rPr>
                <w:rFonts w:ascii="宋体" w:hAnsi="宋体" w:cs="宋体" w:eastAsia="宋体" w:hint="default"/>
                <w:sz w:val="18"/>
                <w:szCs w:val="18"/>
              </w:rPr>
              <w:t>案件进展情况</w:t>
            </w:r>
          </w:p>
        </w:tc>
      </w:tr>
      <w:tr>
        <w:trPr>
          <w:trHeight w:val="659" w:hRule="exact"/>
        </w:trPr>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5"/>
              <w:jc w:val="left"/>
              <w:rPr>
                <w:rFonts w:ascii="宋体" w:hAnsi="宋体" w:cs="宋体" w:eastAsia="宋体" w:hint="default"/>
                <w:sz w:val="18"/>
                <w:szCs w:val="18"/>
              </w:rPr>
            </w:pPr>
            <w:r>
              <w:rPr>
                <w:rFonts w:ascii="宋体" w:hAnsi="宋体" w:cs="宋体" w:eastAsia="宋体" w:hint="default"/>
                <w:sz w:val="18"/>
                <w:szCs w:val="18"/>
              </w:rPr>
              <w:t>北京中电兴发科技有 限公司</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01"/>
              <w:jc w:val="left"/>
              <w:rPr>
                <w:rFonts w:ascii="宋体" w:hAnsi="宋体" w:cs="宋体" w:eastAsia="宋体" w:hint="default"/>
                <w:sz w:val="18"/>
                <w:szCs w:val="18"/>
              </w:rPr>
            </w:pPr>
            <w:r>
              <w:rPr>
                <w:rFonts w:ascii="宋体" w:hAnsi="宋体" w:cs="宋体" w:eastAsia="宋体" w:hint="default"/>
                <w:sz w:val="18"/>
                <w:szCs w:val="18"/>
              </w:rPr>
              <w:t>贵阳方舟高新技术有限 公司</w:t>
            </w: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经济纠纷</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贵阳仲裁委</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7,318,333.29</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仲裁中</w:t>
            </w:r>
          </w:p>
        </w:tc>
      </w:tr>
      <w:tr>
        <w:trPr>
          <w:trHeight w:val="659" w:hRule="exact"/>
        </w:trPr>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5"/>
              <w:jc w:val="left"/>
              <w:rPr>
                <w:rFonts w:ascii="宋体" w:hAnsi="宋体" w:cs="宋体" w:eastAsia="宋体" w:hint="default"/>
                <w:sz w:val="18"/>
                <w:szCs w:val="18"/>
              </w:rPr>
            </w:pPr>
            <w:r>
              <w:rPr>
                <w:rFonts w:ascii="宋体" w:hAnsi="宋体" w:cs="宋体" w:eastAsia="宋体" w:hint="default"/>
                <w:sz w:val="18"/>
                <w:szCs w:val="18"/>
              </w:rPr>
              <w:t>北京中电兴发科技有 限公司</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01"/>
              <w:jc w:val="left"/>
              <w:rPr>
                <w:rFonts w:ascii="宋体" w:hAnsi="宋体" w:cs="宋体" w:eastAsia="宋体" w:hint="default"/>
                <w:sz w:val="18"/>
                <w:szCs w:val="18"/>
              </w:rPr>
            </w:pPr>
            <w:r>
              <w:rPr>
                <w:rFonts w:ascii="宋体" w:hAnsi="宋体" w:cs="宋体" w:eastAsia="宋体" w:hint="default"/>
                <w:sz w:val="18"/>
                <w:szCs w:val="18"/>
              </w:rPr>
              <w:t>沈阳瀚翔建筑工程有限 公司</w:t>
            </w: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经济纠纷</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北京市海淀区法院</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2,089,670.00</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审理中</w:t>
            </w:r>
          </w:p>
        </w:tc>
      </w:tr>
      <w:tr>
        <w:trPr>
          <w:trHeight w:val="659" w:hRule="exact"/>
        </w:trPr>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5"/>
              <w:jc w:val="left"/>
              <w:rPr>
                <w:rFonts w:ascii="宋体" w:hAnsi="宋体" w:cs="宋体" w:eastAsia="宋体" w:hint="default"/>
                <w:sz w:val="18"/>
                <w:szCs w:val="18"/>
              </w:rPr>
            </w:pPr>
            <w:r>
              <w:rPr>
                <w:rFonts w:ascii="宋体" w:hAnsi="宋体" w:cs="宋体" w:eastAsia="宋体" w:hint="default"/>
                <w:sz w:val="18"/>
                <w:szCs w:val="18"/>
              </w:rPr>
              <w:t>贵阳方舟高新技术有 限公司</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01"/>
              <w:jc w:val="left"/>
              <w:rPr>
                <w:rFonts w:ascii="宋体" w:hAnsi="宋体" w:cs="宋体" w:eastAsia="宋体" w:hint="default"/>
                <w:sz w:val="18"/>
                <w:szCs w:val="18"/>
              </w:rPr>
            </w:pPr>
            <w:r>
              <w:rPr>
                <w:rFonts w:ascii="宋体" w:hAnsi="宋体" w:cs="宋体" w:eastAsia="宋体" w:hint="default"/>
                <w:sz w:val="18"/>
                <w:szCs w:val="18"/>
              </w:rPr>
              <w:t>北京中电兴发科技有限 公司</w:t>
            </w: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经济纠纷</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571" w:right="30" w:hanging="540"/>
              <w:jc w:val="left"/>
              <w:rPr>
                <w:rFonts w:ascii="宋体" w:hAnsi="宋体" w:cs="宋体" w:eastAsia="宋体" w:hint="default"/>
                <w:sz w:val="18"/>
                <w:szCs w:val="18"/>
              </w:rPr>
            </w:pPr>
            <w:r>
              <w:rPr>
                <w:rFonts w:ascii="宋体" w:hAnsi="宋体" w:cs="宋体" w:eastAsia="宋体" w:hint="default"/>
                <w:sz w:val="18"/>
                <w:szCs w:val="18"/>
              </w:rPr>
              <w:t>贵阳市南明区人民 法院</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1,162,511.72</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诉讼中</w:t>
            </w:r>
          </w:p>
        </w:tc>
      </w:tr>
      <w:tr>
        <w:trPr>
          <w:trHeight w:val="660" w:hRule="exact"/>
        </w:trPr>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5"/>
              <w:jc w:val="left"/>
              <w:rPr>
                <w:rFonts w:ascii="宋体" w:hAnsi="宋体" w:cs="宋体" w:eastAsia="宋体" w:hint="default"/>
                <w:sz w:val="18"/>
                <w:szCs w:val="18"/>
              </w:rPr>
            </w:pPr>
            <w:r>
              <w:rPr>
                <w:rFonts w:ascii="宋体" w:hAnsi="宋体" w:cs="宋体" w:eastAsia="宋体" w:hint="default"/>
                <w:sz w:val="18"/>
                <w:szCs w:val="18"/>
              </w:rPr>
              <w:t>安徽中电兴发与鑫龙 科技股份有限公司</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01"/>
              <w:jc w:val="left"/>
              <w:rPr>
                <w:rFonts w:ascii="宋体" w:hAnsi="宋体" w:cs="宋体" w:eastAsia="宋体" w:hint="default"/>
                <w:sz w:val="18"/>
                <w:szCs w:val="18"/>
              </w:rPr>
            </w:pPr>
            <w:r>
              <w:rPr>
                <w:rFonts w:ascii="宋体" w:hAnsi="宋体" w:cs="宋体" w:eastAsia="宋体" w:hint="default"/>
                <w:sz w:val="18"/>
                <w:szCs w:val="18"/>
              </w:rPr>
              <w:t>呼伦贝尔市华建设备制 造有限公司</w:t>
            </w: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经济纠纷</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牙克石市人民法院</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5,329,800.00</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诉讼中</w:t>
            </w:r>
          </w:p>
        </w:tc>
      </w:tr>
      <w:tr>
        <w:trPr>
          <w:trHeight w:val="659" w:hRule="exact"/>
        </w:trPr>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5"/>
              <w:jc w:val="left"/>
              <w:rPr>
                <w:rFonts w:ascii="宋体" w:hAnsi="宋体" w:cs="宋体" w:eastAsia="宋体" w:hint="default"/>
                <w:sz w:val="18"/>
                <w:szCs w:val="18"/>
              </w:rPr>
            </w:pPr>
            <w:r>
              <w:rPr>
                <w:rFonts w:ascii="宋体" w:hAnsi="宋体" w:cs="宋体" w:eastAsia="宋体" w:hint="default"/>
                <w:sz w:val="18"/>
                <w:szCs w:val="18"/>
              </w:rPr>
              <w:t>安徽中电兴发与鑫龙 科技股份有限公司</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天津泰达发展有限公司</w:t>
            </w: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经济纠纷</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天津仲裁委员会</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3,615,240.08</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诉讼中</w:t>
            </w:r>
          </w:p>
        </w:tc>
      </w:tr>
      <w:tr>
        <w:trPr>
          <w:trHeight w:val="659" w:hRule="exact"/>
        </w:trPr>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5"/>
              <w:jc w:val="left"/>
              <w:rPr>
                <w:rFonts w:ascii="宋体" w:hAnsi="宋体" w:cs="宋体" w:eastAsia="宋体" w:hint="default"/>
                <w:sz w:val="18"/>
                <w:szCs w:val="18"/>
              </w:rPr>
            </w:pPr>
            <w:r>
              <w:rPr>
                <w:rFonts w:ascii="宋体" w:hAnsi="宋体" w:cs="宋体" w:eastAsia="宋体" w:hint="default"/>
                <w:sz w:val="18"/>
                <w:szCs w:val="18"/>
              </w:rPr>
              <w:t>安徽中电兴发与鑫龙 科技股份有限公司</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01"/>
              <w:jc w:val="left"/>
              <w:rPr>
                <w:rFonts w:ascii="宋体" w:hAnsi="宋体" w:cs="宋体" w:eastAsia="宋体" w:hint="default"/>
                <w:sz w:val="18"/>
                <w:szCs w:val="18"/>
              </w:rPr>
            </w:pPr>
            <w:r>
              <w:rPr>
                <w:rFonts w:ascii="宋体" w:hAnsi="宋体" w:cs="宋体" w:eastAsia="宋体" w:hint="default"/>
                <w:sz w:val="18"/>
                <w:szCs w:val="18"/>
              </w:rPr>
              <w:t>北京天旭运河房地产开 发有限责任公司</w:t>
            </w: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经济纠纷</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661" w:right="30" w:hanging="630"/>
              <w:jc w:val="left"/>
              <w:rPr>
                <w:rFonts w:ascii="宋体" w:hAnsi="宋体" w:cs="宋体" w:eastAsia="宋体" w:hint="default"/>
                <w:sz w:val="18"/>
                <w:szCs w:val="18"/>
              </w:rPr>
            </w:pPr>
            <w:r>
              <w:rPr>
                <w:rFonts w:ascii="宋体" w:hAnsi="宋体" w:cs="宋体" w:eastAsia="宋体" w:hint="default"/>
                <w:sz w:val="18"/>
                <w:szCs w:val="18"/>
              </w:rPr>
              <w:t>北京通州区人民法 院</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1,005,538.00</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诉讼中</w:t>
            </w:r>
          </w:p>
        </w:tc>
      </w:tr>
      <w:tr>
        <w:trPr>
          <w:trHeight w:val="659" w:hRule="exact"/>
        </w:trPr>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5"/>
              <w:jc w:val="left"/>
              <w:rPr>
                <w:rFonts w:ascii="宋体" w:hAnsi="宋体" w:cs="宋体" w:eastAsia="宋体" w:hint="default"/>
                <w:sz w:val="18"/>
                <w:szCs w:val="18"/>
              </w:rPr>
            </w:pPr>
            <w:r>
              <w:rPr>
                <w:rFonts w:ascii="宋体" w:hAnsi="宋体" w:cs="宋体" w:eastAsia="宋体" w:hint="default"/>
                <w:sz w:val="18"/>
                <w:szCs w:val="18"/>
              </w:rPr>
              <w:t>安徽中电兴发与鑫龙 科技股份有限公司</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01"/>
              <w:jc w:val="left"/>
              <w:rPr>
                <w:rFonts w:ascii="宋体" w:hAnsi="宋体" w:cs="宋体" w:eastAsia="宋体" w:hint="default"/>
                <w:sz w:val="18"/>
                <w:szCs w:val="18"/>
              </w:rPr>
            </w:pPr>
            <w:r>
              <w:rPr>
                <w:rFonts w:ascii="宋体" w:hAnsi="宋体" w:cs="宋体" w:eastAsia="宋体" w:hint="default"/>
                <w:sz w:val="18"/>
                <w:szCs w:val="18"/>
              </w:rPr>
              <w:t>中国建筑第六工程局有 限公司</w:t>
            </w: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经济纠纷</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481" w:right="30" w:hanging="450"/>
              <w:jc w:val="left"/>
              <w:rPr>
                <w:rFonts w:ascii="宋体" w:hAnsi="宋体" w:cs="宋体" w:eastAsia="宋体" w:hint="default"/>
                <w:sz w:val="18"/>
                <w:szCs w:val="18"/>
              </w:rPr>
            </w:pPr>
            <w:r>
              <w:rPr>
                <w:rFonts w:ascii="宋体" w:hAnsi="宋体" w:cs="宋体" w:eastAsia="宋体" w:hint="default"/>
                <w:sz w:val="18"/>
                <w:szCs w:val="18"/>
              </w:rPr>
              <w:t>天津市滨海新区人 民法院</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15,044,057.79</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诉讼中</w:t>
            </w:r>
          </w:p>
        </w:tc>
      </w:tr>
      <w:tr>
        <w:trPr>
          <w:trHeight w:val="659" w:hRule="exact"/>
        </w:trPr>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5"/>
              <w:jc w:val="left"/>
              <w:rPr>
                <w:rFonts w:ascii="宋体" w:hAnsi="宋体" w:cs="宋体" w:eastAsia="宋体" w:hint="default"/>
                <w:sz w:val="18"/>
                <w:szCs w:val="18"/>
              </w:rPr>
            </w:pPr>
            <w:r>
              <w:rPr>
                <w:rFonts w:ascii="宋体" w:hAnsi="宋体" w:cs="宋体" w:eastAsia="宋体" w:hint="default"/>
                <w:sz w:val="18"/>
                <w:szCs w:val="18"/>
              </w:rPr>
              <w:t>安徽中电兴发与鑫龙 科技股份有限公司</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41"/>
              <w:jc w:val="left"/>
              <w:rPr>
                <w:rFonts w:ascii="Times New Roman" w:hAnsi="Times New Roman" w:cs="Times New Roman" w:eastAsia="Times New Roman" w:hint="default"/>
                <w:sz w:val="18"/>
                <w:szCs w:val="18"/>
              </w:rPr>
            </w:pPr>
            <w:r>
              <w:rPr>
                <w:rFonts w:ascii="宋体" w:hAnsi="宋体" w:cs="宋体" w:eastAsia="宋体" w:hint="default"/>
                <w:sz w:val="18"/>
                <w:szCs w:val="18"/>
              </w:rPr>
              <w:t>黄山市水利局</w:t>
            </w:r>
            <w:r>
              <w:rPr>
                <w:rFonts w:ascii="Times New Roman" w:hAnsi="Times New Roman" w:cs="Times New Roman" w:eastAsia="Times New Roman" w:hint="default"/>
                <w:sz w:val="18"/>
                <w:szCs w:val="18"/>
              </w:rPr>
              <w:t>(</w:t>
            </w:r>
            <w:r>
              <w:rPr>
                <w:rFonts w:ascii="宋体" w:hAnsi="宋体" w:cs="宋体" w:eastAsia="宋体" w:hint="default"/>
                <w:sz w:val="18"/>
                <w:szCs w:val="18"/>
              </w:rPr>
              <w:t>黄山城投 集团有限公司</w:t>
            </w:r>
            <w:r>
              <w:rPr>
                <w:rFonts w:ascii="Times New Roman" w:hAnsi="Times New Roman" w:cs="Times New Roman" w:eastAsia="Times New Roman" w:hint="default"/>
                <w:sz w:val="18"/>
                <w:szCs w:val="18"/>
              </w:rPr>
              <w:t>)</w:t>
            </w: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经济纠纷</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571" w:right="30" w:hanging="540"/>
              <w:jc w:val="left"/>
              <w:rPr>
                <w:rFonts w:ascii="宋体" w:hAnsi="宋体" w:cs="宋体" w:eastAsia="宋体" w:hint="default"/>
                <w:sz w:val="18"/>
                <w:szCs w:val="18"/>
              </w:rPr>
            </w:pPr>
            <w:r>
              <w:rPr>
                <w:rFonts w:ascii="宋体" w:hAnsi="宋体" w:cs="宋体" w:eastAsia="宋体" w:hint="default"/>
                <w:sz w:val="18"/>
                <w:szCs w:val="18"/>
              </w:rPr>
              <w:t>黄山市屯溪区人民 法院</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164,144.80</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诉讼中</w:t>
            </w:r>
          </w:p>
        </w:tc>
      </w:tr>
      <w:tr>
        <w:trPr>
          <w:trHeight w:val="659" w:hRule="exact"/>
        </w:trPr>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5"/>
              <w:jc w:val="left"/>
              <w:rPr>
                <w:rFonts w:ascii="宋体" w:hAnsi="宋体" w:cs="宋体" w:eastAsia="宋体" w:hint="default"/>
                <w:sz w:val="18"/>
                <w:szCs w:val="18"/>
              </w:rPr>
            </w:pPr>
            <w:r>
              <w:rPr>
                <w:rFonts w:ascii="宋体" w:hAnsi="宋体" w:cs="宋体" w:eastAsia="宋体" w:hint="default"/>
                <w:sz w:val="18"/>
                <w:szCs w:val="18"/>
              </w:rPr>
              <w:t>安徽中电兴发与鑫龙 科技股份有限公司</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01"/>
              <w:jc w:val="left"/>
              <w:rPr>
                <w:rFonts w:ascii="宋体" w:hAnsi="宋体" w:cs="宋体" w:eastAsia="宋体" w:hint="default"/>
                <w:sz w:val="18"/>
                <w:szCs w:val="18"/>
              </w:rPr>
            </w:pPr>
            <w:r>
              <w:rPr>
                <w:rFonts w:ascii="宋体" w:hAnsi="宋体" w:cs="宋体" w:eastAsia="宋体" w:hint="default"/>
                <w:sz w:val="18"/>
                <w:szCs w:val="18"/>
              </w:rPr>
              <w:t>邢台柏晶科技开发有限 公司</w:t>
            </w: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经济纠纷</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121" w:right="30" w:hanging="90"/>
              <w:jc w:val="left"/>
              <w:rPr>
                <w:rFonts w:ascii="宋体" w:hAnsi="宋体" w:cs="宋体" w:eastAsia="宋体" w:hint="default"/>
                <w:sz w:val="18"/>
                <w:szCs w:val="18"/>
              </w:rPr>
            </w:pPr>
            <w:r>
              <w:rPr>
                <w:rFonts w:ascii="宋体" w:hAnsi="宋体" w:cs="宋体" w:eastAsia="宋体" w:hint="default"/>
                <w:sz w:val="18"/>
                <w:szCs w:val="18"/>
              </w:rPr>
              <w:t>邢台市任县人民法 院、邢台市中院</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1,500,000.00</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审理中</w:t>
            </w:r>
          </w:p>
        </w:tc>
      </w:tr>
      <w:tr>
        <w:trPr>
          <w:trHeight w:val="660" w:hRule="exact"/>
        </w:trPr>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5"/>
              <w:jc w:val="left"/>
              <w:rPr>
                <w:rFonts w:ascii="宋体" w:hAnsi="宋体" w:cs="宋体" w:eastAsia="宋体" w:hint="default"/>
                <w:sz w:val="18"/>
                <w:szCs w:val="18"/>
              </w:rPr>
            </w:pPr>
            <w:r>
              <w:rPr>
                <w:rFonts w:ascii="宋体" w:hAnsi="宋体" w:cs="宋体" w:eastAsia="宋体" w:hint="default"/>
                <w:sz w:val="18"/>
                <w:szCs w:val="18"/>
              </w:rPr>
              <w:t>安徽中电兴发与鑫龙 科技股份有限公司</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01"/>
              <w:jc w:val="left"/>
              <w:rPr>
                <w:rFonts w:ascii="宋体" w:hAnsi="宋体" w:cs="宋体" w:eastAsia="宋体" w:hint="default"/>
                <w:sz w:val="18"/>
                <w:szCs w:val="18"/>
              </w:rPr>
            </w:pPr>
            <w:r>
              <w:rPr>
                <w:rFonts w:ascii="宋体" w:hAnsi="宋体" w:cs="宋体" w:eastAsia="宋体" w:hint="default"/>
                <w:sz w:val="18"/>
                <w:szCs w:val="18"/>
              </w:rPr>
              <w:t>安徽省徽商五源国际物 流港务有限公司</w:t>
            </w: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经济纠纷</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571" w:right="30" w:hanging="540"/>
              <w:jc w:val="left"/>
              <w:rPr>
                <w:rFonts w:ascii="宋体" w:hAnsi="宋体" w:cs="宋体" w:eastAsia="宋体" w:hint="default"/>
                <w:sz w:val="18"/>
                <w:szCs w:val="18"/>
              </w:rPr>
            </w:pPr>
            <w:r>
              <w:rPr>
                <w:rFonts w:ascii="宋体" w:hAnsi="宋体" w:cs="宋体" w:eastAsia="宋体" w:hint="default"/>
                <w:sz w:val="18"/>
                <w:szCs w:val="18"/>
              </w:rPr>
              <w:t>蚌埠市淮上区人民 法院</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157,025.00</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审理中</w:t>
            </w:r>
          </w:p>
        </w:tc>
      </w:tr>
      <w:tr>
        <w:trPr>
          <w:trHeight w:val="659" w:hRule="exact"/>
        </w:trPr>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王克强</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苏州开关二厂有限公司</w:t>
            </w: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经济纠纷</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571" w:right="30" w:hanging="540"/>
              <w:jc w:val="left"/>
              <w:rPr>
                <w:rFonts w:ascii="宋体" w:hAnsi="宋体" w:cs="宋体" w:eastAsia="宋体" w:hint="default"/>
                <w:sz w:val="18"/>
                <w:szCs w:val="18"/>
              </w:rPr>
            </w:pPr>
            <w:r>
              <w:rPr>
                <w:rFonts w:ascii="宋体" w:hAnsi="宋体" w:cs="宋体" w:eastAsia="宋体" w:hint="default"/>
                <w:sz w:val="18"/>
                <w:szCs w:val="18"/>
              </w:rPr>
              <w:t>苏州市虎丘区人民 法院</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11,000,000.00</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诉讼中</w:t>
            </w:r>
          </w:p>
        </w:tc>
      </w:tr>
      <w:tr>
        <w:trPr>
          <w:trHeight w:val="659" w:hRule="exact"/>
        </w:trPr>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5"/>
              <w:jc w:val="left"/>
              <w:rPr>
                <w:rFonts w:ascii="宋体" w:hAnsi="宋体" w:cs="宋体" w:eastAsia="宋体" w:hint="default"/>
                <w:sz w:val="18"/>
                <w:szCs w:val="18"/>
              </w:rPr>
            </w:pPr>
            <w:r>
              <w:rPr>
                <w:rFonts w:ascii="宋体" w:hAnsi="宋体" w:cs="宋体" w:eastAsia="宋体" w:hint="default"/>
                <w:sz w:val="18"/>
                <w:szCs w:val="18"/>
              </w:rPr>
              <w:t>苏州开关二厂有限公 司</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王克强</w:t>
            </w: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经济纠纷</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571" w:right="30" w:hanging="540"/>
              <w:jc w:val="left"/>
              <w:rPr>
                <w:rFonts w:ascii="宋体" w:hAnsi="宋体" w:cs="宋体" w:eastAsia="宋体" w:hint="default"/>
                <w:sz w:val="18"/>
                <w:szCs w:val="18"/>
              </w:rPr>
            </w:pPr>
            <w:r>
              <w:rPr>
                <w:rFonts w:ascii="宋体" w:hAnsi="宋体" w:cs="宋体" w:eastAsia="宋体" w:hint="default"/>
                <w:sz w:val="18"/>
                <w:szCs w:val="18"/>
              </w:rPr>
              <w:t>苏州市虎丘区人民 法院</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10,000,000.00</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诉讼中</w:t>
            </w:r>
          </w:p>
        </w:tc>
      </w:tr>
    </w:tbl>
    <w:p>
      <w:pPr>
        <w:pStyle w:val="Heading5"/>
        <w:spacing w:line="240" w:lineRule="auto" w:before="10"/>
        <w:ind w:left="875" w:right="0"/>
        <w:jc w:val="left"/>
        <w:rPr>
          <w:b w:val="0"/>
          <w:bCs w:val="0"/>
        </w:rPr>
      </w:pPr>
      <w:r>
        <w:rPr>
          <w:rFonts w:ascii="Times New Roman" w:hAnsi="Times New Roman" w:cs="Times New Roman" w:eastAsia="Times New Roman" w:hint="default"/>
        </w:rPr>
        <w:t>2</w:t>
      </w:r>
      <w:r>
        <w:rPr/>
        <w:t>、对外提供债务担保形成的或有事项及其财务影响</w:t>
      </w:r>
      <w:r>
        <w:rPr>
          <w:b w:val="0"/>
          <w:bCs w:val="0"/>
        </w:rPr>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b/>
          <w:bCs/>
          <w:sz w:val="25"/>
          <w:szCs w:val="25"/>
        </w:rPr>
      </w:pPr>
    </w:p>
    <w:p>
      <w:pPr>
        <w:pStyle w:val="BodyText"/>
        <w:spacing w:line="300" w:lineRule="auto"/>
        <w:ind w:left="874" w:right="4832"/>
        <w:jc w:val="left"/>
        <w:rPr>
          <w:rFonts w:ascii="宋体" w:hAnsi="宋体" w:cs="宋体" w:eastAsia="宋体" w:hint="default"/>
        </w:rPr>
      </w:pPr>
      <w:r>
        <w:rPr/>
        <w:t>为关联方提供担保详见</w:t>
      </w:r>
      <w:r>
        <w:rPr>
          <w:rFonts w:ascii="Times New Roman" w:hAnsi="Times New Roman" w:cs="Times New Roman" w:eastAsia="Times New Roman" w:hint="default"/>
        </w:rPr>
        <w:t>“</w:t>
      </w:r>
      <w:r>
        <w:rPr/>
        <w:t>本附注十一、关联方交易之关联担保情况</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t>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日，本公司无为非关联方单位提供保证。 </w:t>
      </w:r>
      <w:r>
        <w:rPr>
          <w:rFonts w:ascii="Times New Roman" w:hAnsi="Times New Roman" w:cs="Times New Roman" w:eastAsia="Times New Roman" w:hint="default"/>
          <w:b/>
          <w:bCs/>
        </w:rPr>
        <w:t>3</w:t>
      </w:r>
      <w:r>
        <w:rPr>
          <w:rFonts w:ascii="宋体" w:hAnsi="宋体" w:cs="宋体" w:eastAsia="宋体" w:hint="default"/>
          <w:b/>
          <w:bCs/>
        </w:rPr>
        <w:t>、开出保函、信用证</w:t>
      </w:r>
      <w:r>
        <w:rPr>
          <w:rFonts w:ascii="宋体" w:hAnsi="宋体" w:cs="宋体" w:eastAsia="宋体" w:hint="default"/>
        </w:rPr>
      </w:r>
    </w:p>
    <w:p>
      <w:pPr>
        <w:pStyle w:val="BodyText"/>
        <w:spacing w:line="300" w:lineRule="auto" w:before="13"/>
        <w:ind w:left="514" w:right="0" w:firstLine="360"/>
        <w:jc w:val="left"/>
      </w:pPr>
      <w:r>
        <w:rPr>
          <w:rFonts w:ascii="Times New Roman" w:hAnsi="Times New Roman" w:cs="Times New Roman" w:eastAsia="Times New Roman" w:hint="default"/>
          <w:spacing w:val="-2"/>
        </w:rPr>
        <w:t>1</w:t>
      </w:r>
      <w:r>
        <w:rPr>
          <w:spacing w:val="-2"/>
        </w:rPr>
        <w:t>）安徽中电兴发与鑫龙科技股份有限公司期末应付银行承兑汇票金额</w:t>
      </w:r>
      <w:r>
        <w:rPr>
          <w:rFonts w:ascii="Times New Roman" w:hAnsi="Times New Roman" w:cs="Times New Roman" w:eastAsia="Times New Roman" w:hint="default"/>
          <w:spacing w:val="-2"/>
        </w:rPr>
        <w:t>60,002,000.00</w:t>
      </w:r>
      <w:r>
        <w:rPr>
          <w:spacing w:val="-2"/>
        </w:rPr>
        <w:t>元，票据保证金</w:t>
      </w:r>
      <w:r>
        <w:rPr>
          <w:rFonts w:ascii="Times New Roman" w:hAnsi="Times New Roman" w:cs="Times New Roman" w:eastAsia="Times New Roman" w:hint="default"/>
          <w:spacing w:val="-2"/>
        </w:rPr>
        <w:t>6,620,718.40</w:t>
      </w:r>
      <w:r>
        <w:rPr>
          <w:spacing w:val="-2"/>
        </w:rPr>
        <w:t>元；</w:t>
      </w:r>
      <w:r>
        <w:rPr/>
        <w:t> 保函金额</w:t>
      </w:r>
      <w:r>
        <w:rPr>
          <w:rFonts w:ascii="Times New Roman" w:hAnsi="Times New Roman" w:cs="Times New Roman" w:eastAsia="Times New Roman" w:hint="default"/>
        </w:rPr>
        <w:t>56,870,138.43</w:t>
      </w:r>
      <w:r>
        <w:rPr/>
        <w:t>元，保函保证金</w:t>
      </w:r>
      <w:r>
        <w:rPr>
          <w:rFonts w:ascii="Times New Roman" w:hAnsi="Times New Roman" w:cs="Times New Roman" w:eastAsia="Times New Roman" w:hint="default"/>
        </w:rPr>
        <w:t>8,090,922.44</w:t>
      </w:r>
      <w:r>
        <w:rPr/>
        <w:t>元。</w:t>
      </w:r>
    </w:p>
    <w:p>
      <w:pPr>
        <w:pStyle w:val="BodyText"/>
        <w:spacing w:line="240" w:lineRule="auto" w:before="13"/>
        <w:ind w:left="874" w:right="0"/>
        <w:jc w:val="left"/>
      </w:pPr>
      <w:r>
        <w:rPr>
          <w:rFonts w:ascii="Times New Roman" w:hAnsi="Times New Roman" w:cs="Times New Roman" w:eastAsia="Times New Roman" w:hint="default"/>
        </w:rPr>
        <w:t>2</w:t>
      </w:r>
      <w:r>
        <w:rPr/>
        <w:t>）子公司安徽佑赛科技股份有限公司期末应付银行承兑汇票金额</w:t>
      </w:r>
      <w:r>
        <w:rPr>
          <w:rFonts w:ascii="Times New Roman" w:hAnsi="Times New Roman" w:cs="Times New Roman" w:eastAsia="Times New Roman" w:hint="default"/>
        </w:rPr>
        <w:t>9,910,553.22</w:t>
      </w:r>
      <w:r>
        <w:rPr/>
        <w:t>元，票据保证金</w:t>
      </w:r>
      <w:r>
        <w:rPr>
          <w:rFonts w:ascii="Times New Roman" w:hAnsi="Times New Roman" w:cs="Times New Roman" w:eastAsia="Times New Roman" w:hint="default"/>
        </w:rPr>
        <w:t>1,998,492.65</w:t>
      </w:r>
      <w:r>
        <w:rPr/>
        <w:t>元。</w:t>
      </w:r>
    </w:p>
    <w:p>
      <w:pPr>
        <w:pStyle w:val="BodyText"/>
        <w:spacing w:line="300" w:lineRule="auto" w:before="63"/>
        <w:ind w:left="514" w:right="1122" w:firstLine="360"/>
        <w:jc w:val="left"/>
      </w:pPr>
      <w:r>
        <w:rPr>
          <w:rFonts w:ascii="Times New Roman" w:hAnsi="Times New Roman" w:cs="Times New Roman" w:eastAsia="Times New Roman" w:hint="default"/>
        </w:rPr>
        <w:t>3</w:t>
      </w:r>
      <w:r>
        <w:rPr/>
        <w:t>）子公司苏州开关二厂有限公司期末应付银行承兑汇票金额</w:t>
      </w:r>
      <w:r>
        <w:rPr>
          <w:rFonts w:ascii="Times New Roman" w:hAnsi="Times New Roman" w:cs="Times New Roman" w:eastAsia="Times New Roman" w:hint="default"/>
        </w:rPr>
        <w:t>26,285,198.98</w:t>
      </w:r>
      <w:r>
        <w:rPr/>
        <w:t>元，票据保证金</w:t>
      </w:r>
      <w:r>
        <w:rPr>
          <w:rFonts w:ascii="Times New Roman" w:hAnsi="Times New Roman" w:cs="Times New Roman" w:eastAsia="Times New Roman" w:hint="default"/>
        </w:rPr>
        <w:t>7,532,169.75</w:t>
      </w:r>
      <w:r>
        <w:rPr/>
        <w:t>元；保函金 额</w:t>
      </w:r>
      <w:r>
        <w:rPr>
          <w:rFonts w:ascii="Times New Roman" w:hAnsi="Times New Roman" w:cs="Times New Roman" w:eastAsia="Times New Roman" w:hint="default"/>
        </w:rPr>
        <w:t>4,592,611.45</w:t>
      </w:r>
      <w:r>
        <w:rPr/>
        <w:t>元，保函保证金</w:t>
      </w:r>
      <w:r>
        <w:rPr>
          <w:rFonts w:ascii="Times New Roman" w:hAnsi="Times New Roman" w:cs="Times New Roman" w:eastAsia="Times New Roman" w:hint="default"/>
        </w:rPr>
        <w:t>320,000.00</w:t>
      </w:r>
      <w:r>
        <w:rPr/>
        <w:t>元。</w:t>
      </w:r>
    </w:p>
    <w:p>
      <w:pPr>
        <w:pStyle w:val="BodyText"/>
        <w:spacing w:line="240" w:lineRule="auto" w:before="13"/>
        <w:ind w:left="874" w:right="0"/>
        <w:jc w:val="left"/>
      </w:pPr>
      <w:r>
        <w:rPr>
          <w:rFonts w:ascii="Times New Roman" w:hAnsi="Times New Roman" w:cs="Times New Roman" w:eastAsia="Times New Roman" w:hint="default"/>
        </w:rPr>
        <w:t>4</w:t>
      </w:r>
      <w:r>
        <w:rPr/>
        <w:t>）子公司安徽北辰能源工程技术有限公司期末保函金额</w:t>
      </w:r>
      <w:r>
        <w:rPr>
          <w:rFonts w:ascii="Times New Roman" w:hAnsi="Times New Roman" w:cs="Times New Roman" w:eastAsia="Times New Roman" w:hint="default"/>
        </w:rPr>
        <w:t>1,136,020.00</w:t>
      </w:r>
      <w:r>
        <w:rPr/>
        <w:t>元，保函保证金</w:t>
      </w:r>
      <w:r>
        <w:rPr>
          <w:rFonts w:ascii="Times New Roman" w:hAnsi="Times New Roman" w:cs="Times New Roman" w:eastAsia="Times New Roman" w:hint="default"/>
        </w:rPr>
        <w:t>227,204.00</w:t>
      </w:r>
      <w:r>
        <w:rPr/>
        <w:t>元。</w:t>
      </w:r>
    </w:p>
    <w:p>
      <w:pPr>
        <w:pStyle w:val="BodyText"/>
        <w:spacing w:line="240" w:lineRule="auto" w:before="63"/>
        <w:ind w:left="874" w:right="0"/>
        <w:jc w:val="left"/>
      </w:pPr>
      <w:r>
        <w:rPr>
          <w:rFonts w:ascii="Times New Roman" w:hAnsi="Times New Roman" w:cs="Times New Roman" w:eastAsia="Times New Roman" w:hint="default"/>
        </w:rPr>
        <w:t>5</w:t>
      </w:r>
      <w:r>
        <w:rPr/>
        <w:t>）子公司安徽森源电器有限公司期末保函金额</w:t>
      </w:r>
      <w:r>
        <w:rPr>
          <w:rFonts w:ascii="Times New Roman" w:hAnsi="Times New Roman" w:cs="Times New Roman" w:eastAsia="Times New Roman" w:hint="default"/>
        </w:rPr>
        <w:t>43,750.00</w:t>
      </w:r>
      <w:r>
        <w:rPr/>
        <w:t>元，保函保证金</w:t>
      </w:r>
      <w:r>
        <w:rPr>
          <w:rFonts w:ascii="Times New Roman" w:hAnsi="Times New Roman" w:cs="Times New Roman" w:eastAsia="Times New Roman" w:hint="default"/>
        </w:rPr>
        <w:t>43,779.90</w:t>
      </w:r>
      <w:r>
        <w:rPr/>
        <w:t>元。</w:t>
      </w:r>
    </w:p>
    <w:p>
      <w:pPr>
        <w:pStyle w:val="BodyText"/>
        <w:spacing w:line="240" w:lineRule="auto" w:before="63"/>
        <w:ind w:left="874" w:right="0"/>
        <w:jc w:val="left"/>
      </w:pPr>
      <w:r>
        <w:rPr>
          <w:rFonts w:ascii="Times New Roman" w:hAnsi="Times New Roman" w:cs="Times New Roman" w:eastAsia="Times New Roman" w:hint="default"/>
        </w:rPr>
        <w:t>6</w:t>
      </w:r>
      <w:r>
        <w:rPr/>
        <w:t>）子公司天津市泰达工程设计有限公司期末保函金额</w:t>
      </w:r>
      <w:r>
        <w:rPr>
          <w:rFonts w:ascii="Times New Roman" w:hAnsi="Times New Roman" w:cs="Times New Roman" w:eastAsia="Times New Roman" w:hint="default"/>
        </w:rPr>
        <w:t>14,174,130.00</w:t>
      </w:r>
      <w:r>
        <w:rPr/>
        <w:t>元，保函保证金</w:t>
      </w:r>
      <w:r>
        <w:rPr>
          <w:rFonts w:ascii="Times New Roman" w:hAnsi="Times New Roman" w:cs="Times New Roman" w:eastAsia="Times New Roman" w:hint="default"/>
        </w:rPr>
        <w:t>1,417,413.00</w:t>
      </w:r>
      <w:r>
        <w:rPr/>
        <w:t>元。</w:t>
      </w:r>
    </w:p>
    <w:p>
      <w:pPr>
        <w:pStyle w:val="BodyText"/>
        <w:spacing w:line="300" w:lineRule="auto" w:before="63"/>
        <w:ind w:left="874" w:right="2382"/>
        <w:jc w:val="left"/>
      </w:pPr>
      <w:r>
        <w:rPr>
          <w:rFonts w:ascii="Times New Roman" w:hAnsi="Times New Roman" w:cs="Times New Roman" w:eastAsia="Times New Roman" w:hint="default"/>
        </w:rPr>
        <w:t>7</w:t>
      </w:r>
      <w:r>
        <w:rPr/>
        <w:t>）子公司北京中电兴发科技有限公司期末保函金额</w:t>
      </w:r>
      <w:r>
        <w:rPr>
          <w:rFonts w:ascii="Times New Roman" w:hAnsi="Times New Roman" w:cs="Times New Roman" w:eastAsia="Times New Roman" w:hint="default"/>
        </w:rPr>
        <w:t>17,904,361.47</w:t>
      </w:r>
      <w:r>
        <w:rPr/>
        <w:t>元，保函保证金</w:t>
      </w:r>
      <w:r>
        <w:rPr>
          <w:rFonts w:ascii="Times New Roman" w:hAnsi="Times New Roman" w:cs="Times New Roman" w:eastAsia="Times New Roman" w:hint="default"/>
        </w:rPr>
        <w:t>3,212,191.26</w:t>
      </w:r>
      <w:r>
        <w:rPr/>
        <w:t>元。 除存在上述或有事项外，截止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日，本公司无其他应披露未披露的重要或有事项。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2"/>
        <w:ind w:right="0"/>
        <w:jc w:val="left"/>
        <w:rPr>
          <w:b w:val="0"/>
          <w:bCs w:val="0"/>
        </w:rPr>
      </w:pPr>
      <w:bookmarkStart w:name="（2）公司没有需要披露的重要或有事项，也应予以说明" w:id="418"/>
      <w:bookmarkEnd w:id="418"/>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公司不存在需要披露的重要或有事项。</w:t>
      </w:r>
    </w:p>
    <w:p>
      <w:pPr>
        <w:spacing w:line="240" w:lineRule="auto" w:before="10"/>
        <w:rPr>
          <w:rFonts w:ascii="宋体" w:hAnsi="宋体" w:cs="宋体" w:eastAsia="宋体" w:hint="default"/>
          <w:sz w:val="26"/>
          <w:szCs w:val="26"/>
        </w:rPr>
      </w:pPr>
    </w:p>
    <w:p>
      <w:pPr>
        <w:spacing w:line="487" w:lineRule="auto" w:before="0"/>
        <w:ind w:left="154" w:right="7692" w:firstLine="0"/>
        <w:jc w:val="left"/>
        <w:rPr>
          <w:rFonts w:ascii="宋体" w:hAnsi="宋体" w:cs="宋体" w:eastAsia="宋体" w:hint="default"/>
          <w:sz w:val="21"/>
          <w:szCs w:val="21"/>
        </w:rPr>
      </w:pPr>
      <w:bookmarkStart w:name="3、其他" w:id="419"/>
      <w:bookmarkEnd w:id="419"/>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四、资产负债表日后事项" w:id="420"/>
      <w:bookmarkEnd w:id="420"/>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十四、资产负债表日后事项</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重要的非调整事项" w:id="421"/>
      <w:bookmarkEnd w:id="421"/>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BodyText"/>
        <w:spacing w:line="240" w:lineRule="auto" w:before="108"/>
        <w:ind w:left="7524"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09" w:right="111"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r>
        <w:trPr>
          <w:trHeight w:val="2586"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重大诉讼、仲裁、承诺</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0"/>
              <w:jc w:val="both"/>
              <w:rPr>
                <w:rFonts w:ascii="宋体" w:hAnsi="宋体" w:cs="宋体" w:eastAsia="宋体" w:hint="default"/>
                <w:sz w:val="18"/>
                <w:szCs w:val="18"/>
              </w:rPr>
            </w:pPr>
            <w:r>
              <w:rPr>
                <w:rFonts w:ascii="宋体" w:hAnsi="宋体" w:cs="宋体" w:eastAsia="宋体" w:hint="default"/>
                <w:sz w:val="18"/>
                <w:szCs w:val="18"/>
              </w:rPr>
              <w:t>本公司之控股子公司北京中 电兴发科技有限公司因经济 纠纷事宜被典基网络科技</w:t>
            </w:r>
          </w:p>
          <w:p>
            <w:pPr>
              <w:pStyle w:val="TableParagraph"/>
              <w:spacing w:line="314" w:lineRule="auto" w:before="19"/>
              <w:ind w:left="22" w:right="21"/>
              <w:jc w:val="left"/>
              <w:rPr>
                <w:rFonts w:ascii="宋体" w:hAnsi="宋体" w:cs="宋体" w:eastAsia="宋体" w:hint="default"/>
                <w:sz w:val="18"/>
                <w:szCs w:val="18"/>
              </w:rPr>
            </w:pPr>
            <w:r>
              <w:rPr>
                <w:rFonts w:ascii="宋体" w:hAnsi="宋体" w:cs="宋体" w:eastAsia="宋体" w:hint="default"/>
                <w:sz w:val="18"/>
                <w:szCs w:val="18"/>
              </w:rPr>
              <w:t>（上海）有限公司起诉，诉 讼金额为人民币 </w:t>
            </w:r>
            <w:r>
              <w:rPr>
                <w:rFonts w:ascii="Times New Roman" w:hAnsi="Times New Roman" w:cs="Times New Roman" w:eastAsia="Times New Roman" w:hint="default"/>
                <w:sz w:val="18"/>
                <w:szCs w:val="18"/>
              </w:rPr>
              <w:t>566,280,263.00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元，截至本财 务报表批准报出日止，此案 正在审理过程中。</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2、利润分配情况" w:id="422"/>
      <w:bookmarkEnd w:id="422"/>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7524" w:right="1130"/>
        <w:jc w:val="right"/>
      </w:pPr>
      <w:r>
        <w:rPr/>
        <w:t>单位： 元</w:t>
      </w:r>
    </w:p>
    <w:p>
      <w:pPr>
        <w:spacing w:line="240" w:lineRule="auto" w:before="1"/>
        <w:rPr>
          <w:rFonts w:ascii="宋体" w:hAnsi="宋体" w:cs="宋体" w:eastAsia="宋体" w:hint="default"/>
          <w:sz w:val="24"/>
          <w:szCs w:val="24"/>
        </w:rPr>
      </w:pPr>
    </w:p>
    <w:p>
      <w:pPr>
        <w:pStyle w:val="Heading4"/>
        <w:spacing w:line="240" w:lineRule="auto" w:before="35"/>
        <w:ind w:right="0"/>
        <w:jc w:val="left"/>
        <w:rPr>
          <w:b w:val="0"/>
          <w:bCs w:val="0"/>
        </w:rPr>
      </w:pPr>
      <w:bookmarkStart w:name="3、销售退回" w:id="423"/>
      <w:bookmarkEnd w:id="423"/>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4、其他资产负债表日后事项说明" w:id="424"/>
      <w:bookmarkEnd w:id="424"/>
      <w:r>
        <w:rPr>
          <w:b w:val="0"/>
          <w:bCs w:val="0"/>
        </w:rPr>
      </w:r>
      <w:r>
        <w:rPr>
          <w:rFonts w:ascii="Times New Roman" w:hAnsi="Times New Roman" w:cs="Times New Roman" w:eastAsia="Times New Roman" w:hint="default"/>
        </w:rPr>
        <w:t>4</w:t>
      </w:r>
      <w:r>
        <w:rPr/>
        <w:t>、其他资产负债表日后事项说明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除存在上述资产负债表日后事项外，截至财务报告批准报出日止，本公司无其他应披露未披露的重大资产负债表日后事项。</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十五、其他重要事项" w:id="425"/>
      <w:bookmarkEnd w:id="425"/>
      <w:r>
        <w:rPr>
          <w:b w:val="0"/>
          <w:bCs w:val="0"/>
        </w:rPr>
      </w:r>
      <w:r>
        <w:rPr/>
        <w:t>十五、其他重要事项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前期会计差错更正" w:id="426"/>
      <w:bookmarkEnd w:id="426"/>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追溯重述法" w:id="427"/>
      <w:bookmarkEnd w:id="427"/>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7524"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29" w:right="111"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未来适用法" w:id="428"/>
      <w:bookmarkEnd w:id="428"/>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87"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3"/>
        <w:rPr>
          <w:rFonts w:ascii="宋体" w:hAnsi="宋体" w:cs="宋体" w:eastAsia="宋体" w:hint="default"/>
          <w:b/>
          <w:bCs/>
          <w:sz w:val="19"/>
          <w:szCs w:val="19"/>
        </w:rPr>
      </w:pPr>
    </w:p>
    <w:p>
      <w:pPr>
        <w:pStyle w:val="Heading4"/>
        <w:spacing w:line="240" w:lineRule="auto" w:before="35"/>
        <w:ind w:right="0"/>
        <w:jc w:val="left"/>
        <w:rPr>
          <w:b w:val="0"/>
          <w:bCs w:val="0"/>
        </w:rPr>
      </w:pPr>
      <w:bookmarkStart w:name="2、债务重组" w:id="429"/>
      <w:bookmarkEnd w:id="429"/>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3、资产置换" w:id="430"/>
      <w:bookmarkEnd w:id="430"/>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非货币性资产交换" w:id="431"/>
      <w:bookmarkEnd w:id="431"/>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2）其他资产置换" w:id="432"/>
      <w:bookmarkEnd w:id="432"/>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4、年金计划" w:id="433"/>
      <w:bookmarkEnd w:id="433"/>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5、终止经营" w:id="434"/>
      <w:bookmarkEnd w:id="434"/>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7524"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9"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7" w:right="47"/>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pStyle w:val="BodyText"/>
        <w:spacing w:line="240" w:lineRule="auto" w:before="52"/>
        <w:ind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6、分部信息" w:id="435"/>
      <w:bookmarkEnd w:id="435"/>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报告分部的确定依据与会计政策" w:id="436"/>
      <w:bookmarkEnd w:id="436"/>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1118" w:firstLine="360"/>
        <w:jc w:val="left"/>
      </w:pPr>
      <w:r>
        <w:rPr>
          <w:spacing w:val="-2"/>
        </w:rPr>
        <w:t>本公司以内部组织结构、管理要求、内部报告制度为依据确定经营分部。本公司的经营分部是指同时满足下列条件的组</w:t>
      </w:r>
      <w:r>
        <w:rPr/>
        <w:t> 成部分：</w:t>
      </w:r>
    </w:p>
    <w:p>
      <w:pPr>
        <w:pStyle w:val="BodyText"/>
        <w:spacing w:line="240" w:lineRule="auto" w:before="19"/>
        <w:ind w:right="0"/>
        <w:jc w:val="left"/>
      </w:pPr>
      <w:r>
        <w:rPr>
          <w:rFonts w:ascii="宋体" w:hAnsi="宋体" w:cs="宋体" w:eastAsia="宋体" w:hint="default"/>
        </w:rPr>
        <w:t>1.  </w:t>
      </w:r>
      <w:r>
        <w:rPr/>
        <w:t>该组成部分能够在日常活动中产生收入、发生费用；</w:t>
      </w:r>
    </w:p>
    <w:p>
      <w:pPr>
        <w:pStyle w:val="BodyText"/>
        <w:spacing w:line="240" w:lineRule="auto" w:before="76"/>
        <w:ind w:right="0"/>
        <w:jc w:val="left"/>
      </w:pPr>
      <w:r>
        <w:rPr>
          <w:rFonts w:ascii="宋体" w:hAnsi="宋体" w:cs="宋体" w:eastAsia="宋体" w:hint="default"/>
        </w:rPr>
        <w:t>2.  </w:t>
      </w:r>
      <w:r>
        <w:rPr/>
        <w:t>管理层能够定期评价该组成部分的经营成果，以决定向其配置资源、评价其业绩；</w:t>
      </w:r>
    </w:p>
    <w:p>
      <w:pPr>
        <w:pStyle w:val="BodyText"/>
        <w:spacing w:line="316" w:lineRule="auto" w:before="76"/>
        <w:ind w:left="514" w:right="3372" w:hanging="360"/>
        <w:jc w:val="left"/>
      </w:pPr>
      <w:r>
        <w:rPr>
          <w:rFonts w:ascii="宋体" w:hAnsi="宋体" w:cs="宋体" w:eastAsia="宋体" w:hint="default"/>
        </w:rPr>
        <w:t>3. </w:t>
      </w:r>
      <w:r>
        <w:rPr/>
        <w:t>能够取得该组成部分的财务状况、经营成果和现金流量等有关会计信息。 本公司以经营分部为基础确定报告分部，满足下列条件之一的经营分部确定为报告分部：</w:t>
      </w:r>
    </w:p>
    <w:p>
      <w:pPr>
        <w:pStyle w:val="BodyText"/>
        <w:spacing w:line="240" w:lineRule="auto" w:before="19"/>
        <w:ind w:right="0"/>
        <w:jc w:val="left"/>
      </w:pPr>
      <w:r>
        <w:rPr>
          <w:rFonts w:ascii="宋体" w:hAnsi="宋体" w:cs="宋体" w:eastAsia="宋体" w:hint="default"/>
        </w:rPr>
        <w:t>1.  </w:t>
      </w:r>
      <w:r>
        <w:rPr/>
        <w:t>该经营分部的分部收入占所有分部收入合计的</w:t>
      </w:r>
      <w:r>
        <w:rPr>
          <w:rFonts w:ascii="Times New Roman" w:hAnsi="Times New Roman" w:cs="Times New Roman" w:eastAsia="Times New Roman" w:hint="default"/>
        </w:rPr>
        <w:t>10%</w:t>
      </w:r>
      <w:r>
        <w:rPr/>
        <w:t>或者以上；</w:t>
      </w:r>
    </w:p>
    <w:p>
      <w:pPr>
        <w:pStyle w:val="BodyText"/>
        <w:spacing w:line="309" w:lineRule="auto" w:before="63"/>
        <w:ind w:left="514" w:right="1112" w:hanging="360"/>
        <w:jc w:val="left"/>
      </w:pPr>
      <w:r>
        <w:rPr>
          <w:rFonts w:ascii="宋体" w:hAnsi="宋体" w:cs="宋体" w:eastAsia="宋体" w:hint="default"/>
        </w:rPr>
        <w:t>2.</w:t>
      </w:r>
      <w:r>
        <w:rPr>
          <w:rFonts w:ascii="宋体" w:hAnsi="宋体" w:cs="宋体" w:eastAsia="宋体" w:hint="default"/>
          <w:spacing w:val="10"/>
        </w:rPr>
        <w:t> </w:t>
      </w:r>
      <w:r>
        <w:rPr/>
        <w:t>该分部的分部利润（亏损）的绝对额，占所有盈利分部利润合计额或者所有亏损分部亏损合计额的绝对额两者中较大者 的</w:t>
      </w:r>
      <w:r>
        <w:rPr>
          <w:rFonts w:ascii="Times New Roman" w:hAnsi="Times New Roman" w:cs="Times New Roman" w:eastAsia="Times New Roman" w:hint="default"/>
        </w:rPr>
        <w:t>10%</w:t>
      </w:r>
      <w:r>
        <w:rPr/>
        <w:t>或者以上。 </w:t>
      </w:r>
      <w:r>
        <w:rPr>
          <w:spacing w:val="-1"/>
        </w:rPr>
        <w:t>按上述会计政策确定的报告分部的经营分部的对外交易收入合计额占合并总收入的比重未达到</w:t>
      </w:r>
      <w:r>
        <w:rPr>
          <w:rFonts w:ascii="Times New Roman" w:hAnsi="Times New Roman" w:cs="Times New Roman" w:eastAsia="Times New Roman" w:hint="default"/>
          <w:spacing w:val="-1"/>
        </w:rPr>
        <w:t>75%</w:t>
      </w:r>
      <w:r>
        <w:rPr>
          <w:spacing w:val="-1"/>
        </w:rPr>
        <w:t>时，增加报告分部的</w:t>
      </w:r>
    </w:p>
    <w:p>
      <w:pPr>
        <w:pStyle w:val="BodyText"/>
        <w:spacing w:line="300" w:lineRule="auto" w:before="5"/>
        <w:ind w:right="3042"/>
        <w:jc w:val="left"/>
      </w:pPr>
      <w:r>
        <w:rPr/>
        <w:t>数量，按下述规定将其他未作为报告分部的经营分部纳入报告分部的范围，直到该比重达到</w:t>
      </w:r>
      <w:r>
        <w:rPr>
          <w:rFonts w:ascii="Times New Roman" w:hAnsi="Times New Roman" w:cs="Times New Roman" w:eastAsia="Times New Roman" w:hint="default"/>
        </w:rPr>
        <w:t>75%</w:t>
      </w:r>
      <w:r>
        <w:rPr/>
        <w:t>： </w:t>
      </w:r>
      <w:r>
        <w:rPr>
          <w:rFonts w:ascii="宋体" w:hAnsi="宋体" w:cs="宋体" w:eastAsia="宋体" w:hint="default"/>
        </w:rPr>
        <w:t>1.  </w:t>
      </w:r>
      <w:r>
        <w:rPr/>
        <w:t>将管理层认为披露该经营分部信息对会计信息使用者有用的经营分部确定为报告分部；</w:t>
      </w:r>
    </w:p>
    <w:p>
      <w:pPr>
        <w:pStyle w:val="BodyText"/>
        <w:spacing w:line="316" w:lineRule="auto" w:before="31"/>
        <w:ind w:left="514" w:right="0" w:hanging="360"/>
        <w:jc w:val="left"/>
      </w:pPr>
      <w:r>
        <w:rPr>
          <w:rFonts w:ascii="宋体" w:hAnsi="宋体" w:cs="宋体" w:eastAsia="宋体" w:hint="default"/>
        </w:rPr>
        <w:t>2.</w:t>
      </w:r>
      <w:r>
        <w:rPr>
          <w:rFonts w:ascii="宋体" w:hAnsi="宋体" w:cs="宋体" w:eastAsia="宋体" w:hint="default"/>
          <w:spacing w:val="36"/>
        </w:rPr>
        <w:t> </w:t>
      </w:r>
      <w:r>
        <w:rPr>
          <w:spacing w:val="-4"/>
        </w:rPr>
        <w:t>将该经营分部与一个或一个以上的具有相似经济特征、满足经营分部合并条件的其他经营分部合并，作为一个报告分部。</w:t>
      </w:r>
      <w:r>
        <w:rPr/>
        <w:t> 分部间转移价格参照市场价格确定，与各分部共同使用的资产、相关的费用按照收入比例在不同的分部之间分配。</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5"/>
        <w:ind w:right="0"/>
        <w:jc w:val="left"/>
        <w:rPr>
          <w:b w:val="0"/>
          <w:bCs w:val="0"/>
        </w:rPr>
      </w:pPr>
      <w:bookmarkStart w:name="（2）报告分部的财务信息" w:id="437"/>
      <w:bookmarkEnd w:id="437"/>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7524"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714" w:hRule="exact"/>
        </w:trPr>
        <w:tc>
          <w:tcPr>
            <w:tcW w:w="1583"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444" w:right="71" w:hanging="360"/>
              <w:jc w:val="left"/>
              <w:rPr>
                <w:rFonts w:ascii="宋体" w:hAnsi="宋体" w:cs="宋体" w:eastAsia="宋体" w:hint="default"/>
                <w:sz w:val="18"/>
                <w:szCs w:val="18"/>
              </w:rPr>
            </w:pPr>
            <w:r>
              <w:rPr>
                <w:rFonts w:ascii="宋体" w:hAnsi="宋体" w:cs="宋体" w:eastAsia="宋体" w:hint="default"/>
                <w:sz w:val="18"/>
                <w:szCs w:val="18"/>
              </w:rPr>
              <w:t>电气机械和器材制 造业分部</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702" w:right="70" w:hanging="631"/>
              <w:jc w:val="left"/>
              <w:rPr>
                <w:rFonts w:ascii="宋体" w:hAnsi="宋体" w:cs="宋体" w:eastAsia="宋体" w:hint="default"/>
                <w:sz w:val="18"/>
                <w:szCs w:val="18"/>
              </w:rPr>
            </w:pPr>
            <w:r>
              <w:rPr>
                <w:rFonts w:ascii="宋体" w:hAnsi="宋体" w:cs="宋体" w:eastAsia="宋体" w:hint="default"/>
                <w:sz w:val="18"/>
                <w:szCs w:val="18"/>
              </w:rPr>
              <w:t>专业技术服务业分 部</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软件和信息技术服 务业分部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w:t>
            </w:r>
            <w:r>
              <w:rPr>
                <w:rFonts w:ascii="Times New Roman" w:hAnsi="Times New Roman" w:cs="Times New Roman" w:eastAsia="Times New Roman" w:hint="default"/>
                <w:sz w:val="18"/>
                <w:szCs w:val="18"/>
              </w:rPr>
              <w:t>.</w:t>
            </w:r>
            <w:r>
              <w:rPr>
                <w:rFonts w:ascii="宋体" w:hAnsi="宋体" w:cs="宋体" w:eastAsia="宋体" w:hint="default"/>
                <w:sz w:val="18"/>
                <w:szCs w:val="18"/>
              </w:rPr>
              <w:t>营业收入</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1,040,991,755.12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137,129,217.93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1,434,102,171.04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-156,264,622.78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2,455,958,521.31</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w:t>
            </w:r>
            <w:r>
              <w:rPr>
                <w:rFonts w:ascii="Times New Roman" w:hAnsi="Times New Roman" w:cs="Times New Roman" w:eastAsia="Times New Roman" w:hint="default"/>
                <w:sz w:val="18"/>
                <w:szCs w:val="18"/>
              </w:rPr>
              <w:t>.  </w:t>
            </w:r>
            <w:r>
              <w:rPr>
                <w:rFonts w:ascii="宋体" w:hAnsi="宋体" w:cs="宋体" w:eastAsia="宋体" w:hint="default"/>
                <w:sz w:val="18"/>
                <w:szCs w:val="18"/>
              </w:rPr>
              <w:t>营业费用</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551,642,476.73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635,091,732.07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1,228,463,016.93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-156,264,622.78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2,258,932,602.95</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三</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利润总额（亏 损）</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81,975,135.83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24,598,766.66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202,806,502.26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-90,168,279.31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219,212,125.44</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w:t>
            </w:r>
            <w:r>
              <w:rPr>
                <w:rFonts w:ascii="Times New Roman" w:hAnsi="Times New Roman" w:cs="Times New Roman" w:eastAsia="Times New Roman" w:hint="default"/>
                <w:sz w:val="18"/>
                <w:szCs w:val="18"/>
              </w:rPr>
              <w:t>.  </w:t>
            </w:r>
            <w:r>
              <w:rPr>
                <w:rFonts w:ascii="宋体" w:hAnsi="宋体" w:cs="宋体" w:eastAsia="宋体" w:hint="default"/>
                <w:sz w:val="18"/>
                <w:szCs w:val="18"/>
              </w:rPr>
              <w:t>所得税费用</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-4,203,459.72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3,878,613.50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31,171,435.04</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30,846,588.82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25"/>
              <w:jc w:val="left"/>
              <w:rPr>
                <w:rFonts w:ascii="宋体" w:hAnsi="宋体" w:cs="宋体" w:eastAsia="宋体"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净利润（亏损）</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86,178,595.55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20,720,153.16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171,635,067.22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-90,168,279.31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188,365,536.62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w:t>
            </w:r>
            <w:r>
              <w:rPr>
                <w:rFonts w:ascii="Times New Roman" w:hAnsi="Times New Roman" w:cs="Times New Roman" w:eastAsia="Times New Roman" w:hint="default"/>
                <w:sz w:val="18"/>
                <w:szCs w:val="18"/>
              </w:rPr>
              <w:t>.  </w:t>
            </w:r>
            <w:r>
              <w:rPr>
                <w:rFonts w:ascii="宋体" w:hAnsi="宋体" w:cs="宋体" w:eastAsia="宋体" w:hint="default"/>
                <w:sz w:val="18"/>
                <w:szCs w:val="18"/>
              </w:rPr>
              <w:t>资产总额</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6,198,314,391.13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232,347,506.80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2,562,747,719.31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-2,753,277,536.55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6,240,132,080.69</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w:t>
            </w:r>
            <w:r>
              <w:rPr>
                <w:rFonts w:ascii="Times New Roman" w:hAnsi="Times New Roman" w:cs="Times New Roman" w:eastAsia="Times New Roman" w:hint="default"/>
                <w:sz w:val="18"/>
                <w:szCs w:val="18"/>
              </w:rPr>
              <w:t>.  </w:t>
            </w:r>
            <w:r>
              <w:rPr>
                <w:rFonts w:ascii="宋体" w:hAnsi="宋体" w:cs="宋体" w:eastAsia="宋体" w:hint="default"/>
                <w:sz w:val="18"/>
                <w:szCs w:val="18"/>
              </w:rPr>
              <w:t>负债总额</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1,639,548,772.86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73,864,989.61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710,256,506.24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-600,974,475.96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1,822,695,792.75</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公司无报告分部的，或者不能披露各报告分部的资产总额和负债总额的，应说明原因" w:id="438"/>
      <w:bookmarkEnd w:id="438"/>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4）其他说明" w:id="439"/>
      <w:bookmarkEnd w:id="439"/>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0" w:firstLine="360"/>
        <w:jc w:val="left"/>
      </w:pPr>
      <w:r>
        <w:rPr>
          <w:spacing w:val="-2"/>
        </w:rPr>
        <w:t>本公司的报告分部都是提供不同产品和劳务的业务单元。由于各种业务需要不同的技术和市场战略，因此本公司分别独</w:t>
      </w:r>
      <w:r>
        <w:rPr/>
        <w:t> 立管理各个报告分部的生产经营活动，分别评价其经营成果，以决定向其配置资源、评价其业绩。</w:t>
      </w:r>
    </w:p>
    <w:p>
      <w:pPr>
        <w:pStyle w:val="BodyText"/>
        <w:spacing w:line="240" w:lineRule="auto" w:before="19"/>
        <w:ind w:left="514" w:right="0"/>
        <w:jc w:val="left"/>
      </w:pPr>
      <w:r>
        <w:rPr/>
        <w:t>本公司有</w:t>
      </w:r>
      <w:r>
        <w:rPr>
          <w:rFonts w:ascii="Times New Roman" w:hAnsi="Times New Roman" w:cs="Times New Roman" w:eastAsia="Times New Roman" w:hint="default"/>
        </w:rPr>
        <w:t>3</w:t>
      </w:r>
      <w:r>
        <w:rPr/>
        <w:t>个报告分部：电气机械和器材制造业分部、专业技术服务业分部和软件和信息技术服务业分部。</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7、其他对投资者决策有影响的重要交易和事项" w:id="440"/>
      <w:bookmarkEnd w:id="440"/>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517" w:right="0"/>
        <w:jc w:val="left"/>
      </w:pPr>
      <w:r>
        <w:rPr/>
        <w:t>截至本财务报告日止，无应披露未披露的其他重要事项。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spacing w:line="487" w:lineRule="auto" w:before="0"/>
        <w:ind w:left="154" w:right="6793" w:firstLine="0"/>
        <w:jc w:val="left"/>
        <w:rPr>
          <w:rFonts w:ascii="宋体" w:hAnsi="宋体" w:cs="宋体" w:eastAsia="宋体" w:hint="default"/>
          <w:sz w:val="21"/>
          <w:szCs w:val="21"/>
        </w:rPr>
      </w:pPr>
      <w:bookmarkStart w:name="8、其他" w:id="441"/>
      <w:bookmarkEnd w:id="441"/>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六、母公司财务报表主要项目注释" w:id="442"/>
      <w:bookmarkEnd w:id="442"/>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十六、母公司财务报表主要项目注释</w:t>
      </w:r>
      <w:r>
        <w:rPr>
          <w:rFonts w:ascii="宋体" w:hAnsi="宋体" w:cs="宋体" w:eastAsia="宋体" w:hint="default"/>
          <w:b/>
          <w:bCs/>
          <w:spacing w:val="62"/>
          <w:w w:val="95"/>
          <w:sz w:val="24"/>
          <w:szCs w:val="24"/>
        </w:rPr>
        <w:t> </w:t>
      </w:r>
      <w:r>
        <w:rPr>
          <w:rFonts w:ascii="宋体" w:hAnsi="宋体" w:cs="宋体" w:eastAsia="宋体" w:hint="default"/>
          <w:b/>
          <w:bCs/>
          <w:spacing w:val="62"/>
          <w:w w:val="95"/>
          <w:sz w:val="24"/>
          <w:szCs w:val="24"/>
        </w:rPr>
      </w:r>
      <w:bookmarkStart w:name="1、应收票据及应收账款" w:id="443"/>
      <w:bookmarkEnd w:id="443"/>
      <w:r>
        <w:rPr>
          <w:rFonts w:ascii="宋体" w:hAnsi="宋体" w:cs="宋体" w:eastAsia="宋体" w:hint="default"/>
          <w:b/>
          <w:bCs/>
          <w:spacing w:val="62"/>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、应收票据及应收账款</w:t>
      </w:r>
      <w:r>
        <w:rPr>
          <w:rFonts w:ascii="宋体" w:hAnsi="宋体" w:cs="宋体" w:eastAsia="宋体" w:hint="default"/>
          <w:sz w:val="21"/>
          <w:szCs w:val="21"/>
        </w:rPr>
      </w:r>
    </w:p>
    <w:p>
      <w:pPr>
        <w:pStyle w:val="BodyText"/>
        <w:spacing w:line="240" w:lineRule="auto" w:before="108"/>
        <w:ind w:left="7524"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50,662,637.08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58,636,497.53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438,904,635.47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448,545,081.49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489,567,272.55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507,181,579.02</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应收票据" w:id="444"/>
      <w:bookmarkEnd w:id="444"/>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1)</w:t>
      </w:r>
      <w:r>
        <w:rPr/>
        <w:t>应收票据分类列示</w:t>
      </w:r>
    </w:p>
    <w:p>
      <w:pPr>
        <w:pStyle w:val="BodyText"/>
        <w:spacing w:line="240" w:lineRule="auto" w:before="102"/>
        <w:ind w:left="7524"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45,482,491.91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48,394,077.89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5,180,145.17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10,242,419.64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50,662,637.08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58,636,497.53</w:t>
            </w:r>
          </w:p>
        </w:tc>
      </w:tr>
    </w:tbl>
    <w:p>
      <w:pPr>
        <w:pStyle w:val="BodyText"/>
        <w:spacing w:line="240" w:lineRule="auto" w:before="51"/>
        <w:ind w:right="0"/>
        <w:jc w:val="left"/>
      </w:pPr>
      <w:r>
        <w:rPr>
          <w:rFonts w:ascii="Times New Roman" w:hAnsi="Times New Roman" w:cs="Times New Roman" w:eastAsia="Times New Roman" w:hint="default"/>
        </w:rPr>
        <w:t>2)</w:t>
      </w:r>
      <w:r>
        <w:rPr/>
        <w:t>期末公司已质押的应收票据</w:t>
      </w:r>
    </w:p>
    <w:p>
      <w:pPr>
        <w:pStyle w:val="BodyText"/>
        <w:spacing w:line="240" w:lineRule="auto" w:before="103"/>
        <w:ind w:left="7524"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pStyle w:val="BodyText"/>
        <w:spacing w:line="240" w:lineRule="auto" w:before="51"/>
        <w:ind w:right="0"/>
        <w:jc w:val="left"/>
      </w:pPr>
      <w:r>
        <w:rPr>
          <w:rFonts w:ascii="Times New Roman" w:hAnsi="Times New Roman" w:cs="Times New Roman" w:eastAsia="Times New Roman" w:hint="default"/>
        </w:rPr>
        <w:t>3)</w:t>
      </w:r>
      <w:r>
        <w:rPr/>
        <w:t>期末公司已背书或贴现且在资产负债表日尚未到期的应收票据</w:t>
      </w:r>
    </w:p>
    <w:p>
      <w:pPr>
        <w:pStyle w:val="BodyText"/>
        <w:spacing w:line="240" w:lineRule="auto" w:before="103"/>
        <w:ind w:left="7524"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44,063,315.34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44,063,315.34</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期末公司因出票人未履约而将其转应收账款的票据" w:id="445"/>
      <w:bookmarkEnd w:id="445"/>
      <w:r>
        <w:rPr>
          <w:b w:val="0"/>
          <w:bCs w:val="0"/>
        </w:rPr>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7524"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240" w:lineRule="auto" w:before="51"/>
        <w:ind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2）应收账款" w:id="446"/>
      <w:bookmarkEnd w:id="446"/>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1)</w:t>
      </w:r>
      <w:r>
        <w:rPr/>
        <w:t>应收账款分类披露</w:t>
      </w:r>
    </w:p>
    <w:p>
      <w:pPr>
        <w:pStyle w:val="BodyText"/>
        <w:spacing w:line="240" w:lineRule="auto" w:before="102"/>
        <w:ind w:left="7524"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8"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9,517,09</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1.04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9,517,09</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1.04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10,756,</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469.27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2.03%</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10,390,46</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9.27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96.60%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366,000.00</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501,594,</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114.74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97.70%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62,689,4</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79.27</w:t>
            </w: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438,904,6</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35.47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519,015</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,690.86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97.76%</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70,836,60</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9.37</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448,179,08</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1.49</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2,305,73</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5.00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2,305,73</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5.00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1,140,7</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75.00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0.21%</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1,140,775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513,416,</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940.78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74,512,3</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05.31</w:t>
            </w: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438,904,6</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35.47</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530,912</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,935.13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82,367,85</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3.64</w:t>
            </w: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448,545,08</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1.49</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right="-20"/>
        <w:jc w:val="left"/>
      </w:pPr>
      <w:r>
        <w:rPr/>
        <w:t>期末单项金额重大并单项计提坏账准备的应收账款：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before="0"/>
        <w:ind w:left="153"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81"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1026"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60"/>
              <w:jc w:val="left"/>
              <w:rPr>
                <w:rFonts w:ascii="宋体" w:hAnsi="宋体" w:cs="宋体" w:eastAsia="宋体" w:hint="default"/>
                <w:sz w:val="18"/>
                <w:szCs w:val="18"/>
              </w:rPr>
            </w:pPr>
            <w:r>
              <w:rPr>
                <w:rFonts w:ascii="宋体" w:hAnsi="宋体" w:cs="宋体" w:eastAsia="宋体" w:hint="default"/>
                <w:sz w:val="18"/>
                <w:szCs w:val="18"/>
              </w:rPr>
              <w:t>浙江中高动力科技股份 有限公司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4,477,606.57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4,477,606.57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both"/>
              <w:rPr>
                <w:rFonts w:ascii="宋体" w:hAnsi="宋体" w:cs="宋体" w:eastAsia="宋体" w:hint="default"/>
                <w:sz w:val="18"/>
                <w:szCs w:val="18"/>
              </w:rPr>
            </w:pPr>
            <w:r>
              <w:rPr>
                <w:rFonts w:ascii="宋体" w:hAnsi="宋体" w:cs="宋体" w:eastAsia="宋体" w:hint="default"/>
                <w:sz w:val="18"/>
                <w:szCs w:val="18"/>
              </w:rPr>
              <w:t>胜诉一年以上未回款应 收账款计提资产减值损 失</w:t>
            </w:r>
          </w:p>
        </w:tc>
      </w:tr>
      <w:tr>
        <w:trPr>
          <w:trHeight w:val="1026"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60"/>
              <w:jc w:val="left"/>
              <w:rPr>
                <w:rFonts w:ascii="宋体" w:hAnsi="宋体" w:cs="宋体" w:eastAsia="宋体" w:hint="default"/>
                <w:sz w:val="18"/>
                <w:szCs w:val="18"/>
              </w:rPr>
            </w:pPr>
            <w:r>
              <w:rPr>
                <w:rFonts w:ascii="宋体" w:hAnsi="宋体" w:cs="宋体" w:eastAsia="宋体" w:hint="default"/>
                <w:sz w:val="18"/>
                <w:szCs w:val="18"/>
              </w:rPr>
              <w:t>繁昌县好而优购物中心 有限公司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1,507,285.00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1,507,285.00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both"/>
              <w:rPr>
                <w:rFonts w:ascii="宋体" w:hAnsi="宋体" w:cs="宋体" w:eastAsia="宋体" w:hint="default"/>
                <w:sz w:val="18"/>
                <w:szCs w:val="18"/>
              </w:rPr>
            </w:pPr>
            <w:r>
              <w:rPr>
                <w:rFonts w:ascii="宋体" w:hAnsi="宋体" w:cs="宋体" w:eastAsia="宋体" w:hint="default"/>
                <w:sz w:val="18"/>
                <w:szCs w:val="18"/>
              </w:rPr>
              <w:t>胜诉一年以上未回款应 收账款计提资产减值损 失</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0"/>
              <w:jc w:val="left"/>
              <w:rPr>
                <w:rFonts w:ascii="宋体" w:hAnsi="宋体" w:cs="宋体" w:eastAsia="宋体" w:hint="default"/>
                <w:sz w:val="18"/>
                <w:szCs w:val="18"/>
              </w:rPr>
            </w:pPr>
            <w:r>
              <w:rPr>
                <w:rFonts w:ascii="宋体" w:hAnsi="宋体" w:cs="宋体" w:eastAsia="宋体" w:hint="default"/>
                <w:sz w:val="18"/>
                <w:szCs w:val="18"/>
              </w:rPr>
              <w:t>郑州康天工控仪器有限 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1,199,000.00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1,199,000.00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公司已注销</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郑州广林商贸有限公司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1,183,199.47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1,183,199.47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公司已注销</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0"/>
              <w:jc w:val="left"/>
              <w:rPr>
                <w:rFonts w:ascii="宋体" w:hAnsi="宋体" w:cs="宋体" w:eastAsia="宋体" w:hint="default"/>
                <w:sz w:val="18"/>
                <w:szCs w:val="18"/>
              </w:rPr>
            </w:pPr>
            <w:r>
              <w:rPr>
                <w:rFonts w:ascii="宋体" w:hAnsi="宋体" w:cs="宋体" w:eastAsia="宋体" w:hint="default"/>
                <w:sz w:val="18"/>
                <w:szCs w:val="18"/>
              </w:rPr>
              <w:t>天津市鑫鼎电力安装工 程有限公司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公司已注销</w:t>
            </w:r>
          </w:p>
        </w:tc>
      </w:tr>
      <w:tr>
        <w:trPr>
          <w:trHeight w:val="404"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9,517,091.04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9,517,091.04</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240" w:lineRule="auto" w:before="51"/>
        <w:ind w:right="-20"/>
        <w:jc w:val="left"/>
      </w:pPr>
      <w:r>
        <w:rPr/>
        <w:t>组合中，按账龄分析法计提坏账准备的应收账款：</w:t>
      </w:r>
    </w:p>
    <w:p>
      <w:pPr>
        <w:pStyle w:val="BodyText"/>
        <w:spacing w:line="240" w:lineRule="auto" w:before="116"/>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before="0"/>
        <w:ind w:left="153" w:right="0"/>
        <w:jc w:val="left"/>
      </w:pPr>
      <w:r>
        <w:rPr/>
        <w:t>单位： 元</w:t>
      </w:r>
    </w:p>
    <w:p>
      <w:pPr>
        <w:spacing w:after="0" w:line="240" w:lineRule="auto"/>
        <w:jc w:val="left"/>
        <w:sectPr>
          <w:type w:val="continuous"/>
          <w:pgSz w:w="11910" w:h="16840"/>
          <w:pgMar w:top="1060" w:bottom="1160" w:left="980" w:right="0"/>
          <w:cols w:num="2" w:equalWidth="0">
            <w:col w:w="4115" w:space="4715"/>
            <w:col w:w="2100"/>
          </w:cols>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476"/>
        <w:gridCol w:w="2301"/>
        <w:gridCol w:w="2390"/>
        <w:gridCol w:w="2390"/>
      </w:tblGrid>
      <w:tr>
        <w:trPr>
          <w:trHeight w:val="206" w:hRule="exact"/>
        </w:trPr>
        <w:tc>
          <w:tcPr>
            <w:tcW w:w="24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4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476" w:type="dxa"/>
            <w:vMerge/>
            <w:tcBorders>
              <w:left w:val="single" w:sz="4" w:space="0" w:color="000000"/>
              <w:bottom w:val="nil" w:sz="6" w:space="0" w:color="auto"/>
              <w:right w:val="single" w:sz="4" w:space="0" w:color="000000"/>
            </w:tcBorders>
            <w:shd w:val="clear" w:color="auto" w:fill="D2D2D2"/>
          </w:tcPr>
          <w:p>
            <w:pPr/>
          </w:p>
        </w:tc>
        <w:tc>
          <w:tcPr>
            <w:tcW w:w="2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263,805,509.54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7,914,165.29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124,255,941.32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12,425,594.13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37,675,049.87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7,535,009.97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69,629,419.75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34,814,709.88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495,365,920.48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62,689,479.27</w:t>
            </w:r>
          </w:p>
        </w:tc>
        <w:tc>
          <w:tcPr>
            <w:tcW w:w="2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360" w:lineRule="auto" w:before="51"/>
        <w:ind w:right="1959"/>
        <w:jc w:val="left"/>
      </w:pPr>
      <w:r>
        <w:rPr/>
        <w:t>确定该组合依据的说明： 组合中，采用余额百分比法计提坏账准备的应收账款：</w:t>
      </w:r>
    </w:p>
    <w:p>
      <w:pPr>
        <w:pStyle w:val="BodyText"/>
        <w:spacing w:line="348" w:lineRule="auto" w:before="26"/>
        <w:ind w:right="23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 </w:t>
      </w:r>
      <w:r>
        <w:rPr>
          <w:rFonts w:ascii="Times New Roman" w:hAnsi="Times New Roman" w:cs="Times New Roman" w:eastAsia="Times New Roman" w:hint="default"/>
        </w:rPr>
        <w:t>2)</w:t>
      </w:r>
      <w:r>
        <w:rPr/>
        <w:t>本期计提、收回或转回的坏账准备情况</w:t>
      </w:r>
    </w:p>
    <w:p>
      <w:pPr>
        <w:pStyle w:val="BodyText"/>
        <w:spacing w:line="340" w:lineRule="auto" w:before="12"/>
        <w:ind w:right="-14"/>
        <w:jc w:val="left"/>
      </w:pPr>
      <w:r>
        <w:rPr/>
        <w:t>本期计提坏账准备金额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7,828,804.33</w:t>
      </w:r>
      <w:r>
        <w:rPr>
          <w:rFonts w:ascii="Times New Roman" w:hAnsi="Times New Roman" w:cs="Times New Roman" w:eastAsia="Times New Roman" w:hint="default"/>
          <w:spacing w:val="-1"/>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60"/>
        <w:ind w:left="153" w:right="0"/>
        <w:jc w:val="left"/>
      </w:pPr>
      <w:r>
        <w:rPr/>
        <w:t>单位： 元</w:t>
      </w:r>
    </w:p>
    <w:p>
      <w:pPr>
        <w:spacing w:after="0" w:line="240" w:lineRule="auto"/>
        <w:jc w:val="left"/>
        <w:sectPr>
          <w:type w:val="continuous"/>
          <w:pgSz w:w="11910" w:h="16840"/>
          <w:pgMar w:top="1060" w:bottom="1160" w:left="980" w:right="0"/>
          <w:cols w:num="2" w:equalWidth="0">
            <w:col w:w="6454" w:space="2375"/>
            <w:col w:w="210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52"/>
        <w:ind w:right="0"/>
        <w:jc w:val="left"/>
      </w:pPr>
      <w:r>
        <w:rPr>
          <w:rFonts w:ascii="Times New Roman" w:hAnsi="Times New Roman" w:cs="Times New Roman" w:eastAsia="Times New Roman" w:hint="default"/>
        </w:rPr>
        <w:t>3)</w:t>
      </w:r>
      <w:r>
        <w:rPr/>
        <w:t>本期实际核销的应收账款情况</w:t>
      </w:r>
    </w:p>
    <w:p>
      <w:pPr>
        <w:pStyle w:val="BodyText"/>
        <w:spacing w:line="240" w:lineRule="auto" w:before="103"/>
        <w:ind w:left="7524"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26,744.00</w:t>
            </w:r>
          </w:p>
        </w:tc>
      </w:tr>
    </w:tbl>
    <w:p>
      <w:pPr>
        <w:pStyle w:val="BodyText"/>
        <w:spacing w:line="240" w:lineRule="auto" w:before="51"/>
        <w:ind w:right="0"/>
        <w:jc w:val="left"/>
      </w:pPr>
      <w:r>
        <w:rPr/>
        <w:t>其中重要的应收账款核销情况：</w:t>
      </w:r>
    </w:p>
    <w:p>
      <w:pPr>
        <w:pStyle w:val="BodyText"/>
        <w:spacing w:line="240" w:lineRule="auto" w:before="117"/>
        <w:ind w:left="7524"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right="0"/>
        <w:jc w:val="left"/>
      </w:pPr>
      <w:r>
        <w:rPr/>
        <w:t>应收账款核销说明：</w:t>
      </w:r>
    </w:p>
    <w:p>
      <w:pPr>
        <w:pStyle w:val="BodyText"/>
        <w:spacing w:line="240" w:lineRule="auto" w:before="117"/>
        <w:ind w:right="0"/>
        <w:jc w:val="left"/>
      </w:pPr>
      <w:r>
        <w:rPr>
          <w:rFonts w:ascii="Times New Roman" w:hAnsi="Times New Roman" w:cs="Times New Roman" w:eastAsia="Times New Roman" w:hint="default"/>
        </w:rPr>
        <w:t>4)</w:t>
      </w:r>
      <w:r>
        <w:rPr/>
        <w:t>按欠款方归集的期末余额前五名的应收账款情况</w:t>
      </w:r>
    </w:p>
    <w:p>
      <w:pPr>
        <w:spacing w:line="240" w:lineRule="auto" w:before="12"/>
        <w:rPr>
          <w:rFonts w:ascii="宋体" w:hAnsi="宋体" w:cs="宋体" w:eastAsia="宋体" w:hint="default"/>
          <w:sz w:val="6"/>
          <w:szCs w:val="6"/>
        </w:rPr>
      </w:pPr>
    </w:p>
    <w:tbl>
      <w:tblPr>
        <w:tblW w:w="0" w:type="auto"/>
        <w:jc w:val="left"/>
        <w:tblInd w:w="146" w:type="dxa"/>
        <w:tblLayout w:type="fixed"/>
        <w:tblCellMar>
          <w:top w:w="0" w:type="dxa"/>
          <w:left w:w="0" w:type="dxa"/>
          <w:bottom w:w="0" w:type="dxa"/>
          <w:right w:w="0" w:type="dxa"/>
        </w:tblCellMar>
        <w:tblLook w:val="01E0"/>
      </w:tblPr>
      <w:tblGrid>
        <w:gridCol w:w="2944"/>
        <w:gridCol w:w="1985"/>
        <w:gridCol w:w="1559"/>
        <w:gridCol w:w="1985"/>
      </w:tblGrid>
      <w:tr>
        <w:trPr>
          <w:trHeight w:val="667" w:hRule="exact"/>
        </w:trPr>
        <w:tc>
          <w:tcPr>
            <w:tcW w:w="29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62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9"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21"/>
              <w:ind w:left="275" w:right="50" w:hanging="225"/>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占应收账款期末余 额的比例</w:t>
            </w:r>
            <w:r>
              <w:rPr>
                <w:rFonts w:ascii="Times New Roman" w:hAnsi="Times New Roman" w:cs="Times New Roman" w:eastAsia="Times New Roman" w:hint="default"/>
                <w:sz w:val="18"/>
                <w:szCs w:val="18"/>
              </w:rPr>
              <w:t>(%)</w:t>
            </w:r>
          </w:p>
        </w:tc>
        <w:tc>
          <w:tcPr>
            <w:tcW w:w="198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360"/>
              <w:jc w:val="right"/>
              <w:rPr>
                <w:rFonts w:ascii="宋体" w:hAnsi="宋体" w:cs="宋体" w:eastAsia="宋体" w:hint="default"/>
                <w:sz w:val="18"/>
                <w:szCs w:val="18"/>
              </w:rPr>
            </w:pPr>
            <w:r>
              <w:rPr>
                <w:rFonts w:ascii="宋体" w:hAnsi="宋体" w:cs="宋体" w:eastAsia="宋体" w:hint="default"/>
                <w:sz w:val="18"/>
                <w:szCs w:val="18"/>
              </w:rPr>
              <w:t>已计提坏账准备</w:t>
            </w:r>
          </w:p>
        </w:tc>
      </w:tr>
      <w:tr>
        <w:trPr>
          <w:trHeight w:val="665" w:hRule="exact"/>
        </w:trPr>
        <w:tc>
          <w:tcPr>
            <w:tcW w:w="2944"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45"/>
              <w:jc w:val="left"/>
              <w:rPr>
                <w:rFonts w:ascii="宋体" w:hAnsi="宋体" w:cs="宋体" w:eastAsia="宋体" w:hint="default"/>
                <w:sz w:val="18"/>
                <w:szCs w:val="18"/>
              </w:rPr>
            </w:pPr>
            <w:r>
              <w:rPr>
                <w:rFonts w:ascii="宋体" w:hAnsi="宋体" w:cs="宋体" w:eastAsia="宋体" w:hint="default"/>
                <w:sz w:val="18"/>
                <w:szCs w:val="18"/>
              </w:rPr>
              <w:t>中铁电气化局集团有限公司成绵乐铁 路客运专线四电系统集成工程指挥部</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22,821,335.80</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420"/>
              <w:jc w:val="right"/>
              <w:rPr>
                <w:rFonts w:ascii="Times New Roman" w:hAnsi="Times New Roman" w:cs="Times New Roman" w:eastAsia="Times New Roman" w:hint="default"/>
                <w:sz w:val="18"/>
                <w:szCs w:val="18"/>
              </w:rPr>
            </w:pPr>
            <w:r>
              <w:rPr>
                <w:rFonts w:ascii="Times New Roman"/>
                <w:sz w:val="18"/>
              </w:rPr>
              <w:t>4.44</w:t>
            </w:r>
          </w:p>
        </w:tc>
        <w:tc>
          <w:tcPr>
            <w:tcW w:w="19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left="603" w:right="0"/>
              <w:jc w:val="left"/>
              <w:rPr>
                <w:rFonts w:ascii="Times New Roman" w:hAnsi="Times New Roman" w:cs="Times New Roman" w:eastAsia="Times New Roman" w:hint="default"/>
                <w:sz w:val="18"/>
                <w:szCs w:val="18"/>
              </w:rPr>
            </w:pPr>
            <w:r>
              <w:rPr>
                <w:rFonts w:ascii="Times New Roman"/>
                <w:sz w:val="18"/>
              </w:rPr>
              <w:t>6,839,932.39</w:t>
            </w:r>
          </w:p>
        </w:tc>
      </w:tr>
      <w:tr>
        <w:trPr>
          <w:trHeight w:val="352" w:hRule="exact"/>
        </w:trPr>
        <w:tc>
          <w:tcPr>
            <w:tcW w:w="29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武汉地铁集团有限公司</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11,479,800.70</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420"/>
              <w:jc w:val="right"/>
              <w:rPr>
                <w:rFonts w:ascii="Times New Roman" w:hAnsi="Times New Roman" w:cs="Times New Roman" w:eastAsia="Times New Roman" w:hint="default"/>
                <w:sz w:val="18"/>
                <w:szCs w:val="18"/>
              </w:rPr>
            </w:pPr>
            <w:r>
              <w:rPr>
                <w:rFonts w:ascii="Times New Roman"/>
                <w:sz w:val="18"/>
              </w:rPr>
              <w:t>2.24</w:t>
            </w:r>
          </w:p>
        </w:tc>
        <w:tc>
          <w:tcPr>
            <w:tcW w:w="19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left="603" w:right="0"/>
              <w:jc w:val="left"/>
              <w:rPr>
                <w:rFonts w:ascii="Times New Roman" w:hAnsi="Times New Roman" w:cs="Times New Roman" w:eastAsia="Times New Roman" w:hint="default"/>
                <w:sz w:val="18"/>
                <w:szCs w:val="18"/>
              </w:rPr>
            </w:pPr>
            <w:r>
              <w:rPr>
                <w:rFonts w:ascii="Times New Roman"/>
                <w:sz w:val="18"/>
              </w:rPr>
              <w:t>1,147,980.07</w:t>
            </w:r>
          </w:p>
        </w:tc>
      </w:tr>
      <w:tr>
        <w:trPr>
          <w:trHeight w:val="352" w:hRule="exact"/>
        </w:trPr>
        <w:tc>
          <w:tcPr>
            <w:tcW w:w="29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中国电信股份有限公司上海分公司</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11,069,921.79</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420"/>
              <w:jc w:val="right"/>
              <w:rPr>
                <w:rFonts w:ascii="Times New Roman" w:hAnsi="Times New Roman" w:cs="Times New Roman" w:eastAsia="Times New Roman" w:hint="default"/>
                <w:sz w:val="18"/>
                <w:szCs w:val="18"/>
              </w:rPr>
            </w:pPr>
            <w:r>
              <w:rPr>
                <w:rFonts w:ascii="Times New Roman"/>
                <w:sz w:val="18"/>
              </w:rPr>
              <w:t>2.16</w:t>
            </w:r>
          </w:p>
        </w:tc>
        <w:tc>
          <w:tcPr>
            <w:tcW w:w="19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426"/>
              <w:jc w:val="right"/>
              <w:rPr>
                <w:rFonts w:ascii="Times New Roman" w:hAnsi="Times New Roman" w:cs="Times New Roman" w:eastAsia="Times New Roman" w:hint="default"/>
                <w:sz w:val="18"/>
                <w:szCs w:val="18"/>
              </w:rPr>
            </w:pPr>
            <w:r>
              <w:rPr>
                <w:rFonts w:ascii="Times New Roman"/>
                <w:sz w:val="18"/>
              </w:rPr>
              <w:t>332,097.65</w:t>
            </w:r>
          </w:p>
        </w:tc>
      </w:tr>
      <w:tr>
        <w:trPr>
          <w:trHeight w:val="665" w:hRule="exact"/>
        </w:trPr>
        <w:tc>
          <w:tcPr>
            <w:tcW w:w="2944" w:type="dxa"/>
            <w:tcBorders>
              <w:top w:val="single" w:sz="12" w:space="0" w:color="000000"/>
              <w:left w:val="single" w:sz="6" w:space="0" w:color="000000"/>
              <w:bottom w:val="single" w:sz="12" w:space="0" w:color="000000"/>
              <w:right w:val="single" w:sz="6" w:space="0" w:color="000000"/>
            </w:tcBorders>
          </w:tcPr>
          <w:p>
            <w:pPr>
              <w:pStyle w:val="TableParagraph"/>
              <w:spacing w:line="319" w:lineRule="auto" w:before="10"/>
              <w:ind w:left="2" w:right="45"/>
              <w:jc w:val="left"/>
              <w:rPr>
                <w:rFonts w:ascii="宋体" w:hAnsi="宋体" w:cs="宋体" w:eastAsia="宋体" w:hint="default"/>
                <w:sz w:val="18"/>
                <w:szCs w:val="18"/>
              </w:rPr>
            </w:pPr>
            <w:r>
              <w:rPr>
                <w:rFonts w:ascii="宋体" w:hAnsi="宋体" w:cs="宋体" w:eastAsia="宋体" w:hint="default"/>
                <w:sz w:val="18"/>
                <w:szCs w:val="18"/>
              </w:rPr>
              <w:t>天津一建建筑工程有限公司第二直属 项目经营部</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10,926,739.20</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420"/>
              <w:jc w:val="right"/>
              <w:rPr>
                <w:rFonts w:ascii="Times New Roman" w:hAnsi="Times New Roman" w:cs="Times New Roman" w:eastAsia="Times New Roman" w:hint="default"/>
                <w:sz w:val="18"/>
                <w:szCs w:val="18"/>
              </w:rPr>
            </w:pPr>
            <w:r>
              <w:rPr>
                <w:rFonts w:ascii="Times New Roman"/>
                <w:sz w:val="18"/>
              </w:rPr>
              <w:t>2.13</w:t>
            </w:r>
          </w:p>
        </w:tc>
        <w:tc>
          <w:tcPr>
            <w:tcW w:w="19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left="603" w:right="0"/>
              <w:jc w:val="left"/>
              <w:rPr>
                <w:rFonts w:ascii="Times New Roman" w:hAnsi="Times New Roman" w:cs="Times New Roman" w:eastAsia="Times New Roman" w:hint="default"/>
                <w:sz w:val="18"/>
                <w:szCs w:val="18"/>
              </w:rPr>
            </w:pPr>
            <w:r>
              <w:rPr>
                <w:rFonts w:ascii="Times New Roman"/>
                <w:sz w:val="18"/>
              </w:rPr>
              <w:t>1,092,673.92</w:t>
            </w:r>
          </w:p>
        </w:tc>
      </w:tr>
      <w:tr>
        <w:trPr>
          <w:trHeight w:val="352" w:hRule="exact"/>
        </w:trPr>
        <w:tc>
          <w:tcPr>
            <w:tcW w:w="29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北京市轨道交通建设管理有限公司</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9,968,182.01</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420"/>
              <w:jc w:val="right"/>
              <w:rPr>
                <w:rFonts w:ascii="Times New Roman" w:hAnsi="Times New Roman" w:cs="Times New Roman" w:eastAsia="Times New Roman" w:hint="default"/>
                <w:sz w:val="18"/>
                <w:szCs w:val="18"/>
              </w:rPr>
            </w:pPr>
            <w:r>
              <w:rPr>
                <w:rFonts w:ascii="Times New Roman"/>
                <w:sz w:val="18"/>
              </w:rPr>
              <w:t>1.94</w:t>
            </w:r>
          </w:p>
        </w:tc>
        <w:tc>
          <w:tcPr>
            <w:tcW w:w="19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left="603" w:right="0"/>
              <w:jc w:val="left"/>
              <w:rPr>
                <w:rFonts w:ascii="Times New Roman" w:hAnsi="Times New Roman" w:cs="Times New Roman" w:eastAsia="Times New Roman" w:hint="default"/>
                <w:sz w:val="18"/>
                <w:szCs w:val="18"/>
              </w:rPr>
            </w:pPr>
            <w:r>
              <w:rPr>
                <w:rFonts w:ascii="Times New Roman"/>
                <w:sz w:val="18"/>
              </w:rPr>
              <w:t>1,039,131.43</w:t>
            </w:r>
          </w:p>
        </w:tc>
      </w:tr>
      <w:tr>
        <w:trPr>
          <w:trHeight w:val="352" w:hRule="exact"/>
        </w:trPr>
        <w:tc>
          <w:tcPr>
            <w:tcW w:w="29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66,265,979.50</w:t>
            </w:r>
          </w:p>
        </w:tc>
        <w:tc>
          <w:tcPr>
            <w:tcW w:w="1559" w:type="dxa"/>
            <w:tcBorders>
              <w:top w:val="single" w:sz="12" w:space="0" w:color="000000"/>
              <w:left w:val="single" w:sz="6" w:space="0" w:color="000000"/>
              <w:bottom w:val="single" w:sz="12" w:space="0" w:color="000000"/>
              <w:right w:val="single" w:sz="6" w:space="0" w:color="000000"/>
            </w:tcBorders>
          </w:tcPr>
          <w:p>
            <w:pPr/>
          </w:p>
        </w:tc>
        <w:tc>
          <w:tcPr>
            <w:tcW w:w="19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left="513" w:right="0"/>
              <w:jc w:val="left"/>
              <w:rPr>
                <w:rFonts w:ascii="Times New Roman" w:hAnsi="Times New Roman" w:cs="Times New Roman" w:eastAsia="Times New Roman" w:hint="default"/>
                <w:sz w:val="18"/>
                <w:szCs w:val="18"/>
              </w:rPr>
            </w:pPr>
            <w:r>
              <w:rPr>
                <w:rFonts w:ascii="Times New Roman"/>
                <w:sz w:val="18"/>
              </w:rPr>
              <w:t>10,451,815.46</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ind w:right="0"/>
        <w:jc w:val="left"/>
      </w:pPr>
      <w:r>
        <w:rPr>
          <w:rFonts w:ascii="Times New Roman" w:hAnsi="Times New Roman" w:cs="Times New Roman" w:eastAsia="Times New Roman" w:hint="default"/>
        </w:rPr>
        <w:t>5)</w:t>
      </w:r>
      <w:r>
        <w:rPr/>
        <w:t>因金融资产转移而终止确认的应收账款</w:t>
      </w:r>
    </w:p>
    <w:p>
      <w:pPr>
        <w:pStyle w:val="BodyText"/>
        <w:spacing w:line="340" w:lineRule="auto" w:before="102"/>
        <w:ind w:right="6822"/>
        <w:jc w:val="left"/>
      </w:pPr>
      <w:r>
        <w:rPr>
          <w:rFonts w:ascii="Times New Roman" w:hAnsi="Times New Roman" w:cs="Times New Roman" w:eastAsia="Times New Roman" w:hint="default"/>
        </w:rPr>
        <w:t>6)</w:t>
      </w:r>
      <w:r>
        <w:rPr/>
        <w:t>转移应收账款且继续涉入形成的资产、负债金额</w:t>
      </w:r>
      <w:r>
        <w:rPr>
          <w:w w:val="99"/>
        </w:rPr>
        <w:t> </w:t>
      </w:r>
      <w:r>
        <w:rPr/>
        <w:t>其他说明：</w:t>
      </w:r>
    </w:p>
    <w:p>
      <w:pPr>
        <w:spacing w:line="240" w:lineRule="auto" w:before="13"/>
        <w:rPr>
          <w:rFonts w:ascii="宋体" w:hAnsi="宋体" w:cs="宋体" w:eastAsia="宋体" w:hint="default"/>
          <w:sz w:val="20"/>
          <w:szCs w:val="20"/>
        </w:rPr>
      </w:pPr>
    </w:p>
    <w:p>
      <w:pPr>
        <w:pStyle w:val="Heading4"/>
        <w:spacing w:line="240" w:lineRule="auto"/>
        <w:ind w:right="0"/>
        <w:jc w:val="left"/>
        <w:rPr>
          <w:b w:val="0"/>
          <w:bCs w:val="0"/>
        </w:rPr>
      </w:pPr>
      <w:bookmarkStart w:name="2、其他应收款" w:id="447"/>
      <w:bookmarkEnd w:id="447"/>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7524"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35,734,931.07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27,140,592.48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35,734,931.07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27,140,592.48</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应收利息" w:id="448"/>
      <w:bookmarkEnd w:id="448"/>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1)</w:t>
      </w:r>
      <w:r>
        <w:rPr/>
        <w:t>应收利息分类</w:t>
      </w:r>
    </w:p>
    <w:p>
      <w:pPr>
        <w:pStyle w:val="BodyText"/>
        <w:spacing w:line="240" w:lineRule="auto" w:before="103"/>
        <w:ind w:left="7524"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rFonts w:ascii="Times New Roman" w:hAnsi="Times New Roman" w:cs="Times New Roman" w:eastAsia="Times New Roman" w:hint="default"/>
        </w:rPr>
        <w:t>2)</w:t>
      </w:r>
      <w:r>
        <w:rPr/>
        <w:t>重要逾期利息</w:t>
      </w:r>
    </w:p>
    <w:p>
      <w:pPr>
        <w:pStyle w:val="BodyText"/>
        <w:spacing w:line="240" w:lineRule="auto" w:before="103"/>
        <w:ind w:left="7524"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应收股利" w:id="449"/>
      <w:bookmarkEnd w:id="449"/>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1)</w:t>
      </w:r>
      <w:r>
        <w:rPr/>
        <w:t>应收股利</w:t>
      </w:r>
    </w:p>
    <w:p>
      <w:pPr>
        <w:pStyle w:val="BodyText"/>
        <w:spacing w:line="240" w:lineRule="auto" w:before="103"/>
        <w:ind w:left="7524"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rFonts w:ascii="Times New Roman" w:hAnsi="Times New Roman" w:cs="Times New Roman" w:eastAsia="Times New Roman" w:hint="default"/>
        </w:rPr>
        <w:t>2)</w:t>
      </w:r>
      <w:r>
        <w:rPr/>
        <w:t>重要的账龄超过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年的应收股利</w:t>
      </w:r>
    </w:p>
    <w:p>
      <w:pPr>
        <w:pStyle w:val="BodyText"/>
        <w:spacing w:line="240" w:lineRule="auto" w:before="103"/>
        <w:ind w:left="7524"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其他应收款" w:id="450"/>
      <w:bookmarkEnd w:id="450"/>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1)</w:t>
      </w:r>
      <w:r>
        <w:rPr/>
        <w:t>其他应收款分类披露</w:t>
      </w:r>
    </w:p>
    <w:p>
      <w:pPr>
        <w:pStyle w:val="BodyText"/>
        <w:spacing w:line="240" w:lineRule="auto" w:before="103"/>
        <w:ind w:left="7524"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5"/>
        <w:gridCol w:w="1525"/>
        <w:gridCol w:w="1524"/>
        <w:gridCol w:w="790"/>
        <w:gridCol w:w="1416"/>
        <w:gridCol w:w="1745"/>
        <w:gridCol w:w="932"/>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1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161"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392" w:hRule="exact"/>
        </w:trPr>
        <w:tc>
          <w:tcPr>
            <w:tcW w:w="1623" w:type="dxa"/>
            <w:vMerge/>
            <w:tcBorders>
              <w:left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40,016,1</w:t>
            </w:r>
          </w:p>
          <w:p>
            <w:pPr>
              <w:pStyle w:val="TableParagraph"/>
              <w:spacing w:line="240" w:lineRule="auto" w:before="106"/>
              <w:ind w:left="313" w:right="0"/>
              <w:jc w:val="left"/>
              <w:rPr>
                <w:rFonts w:ascii="Times New Roman" w:hAnsi="Times New Roman" w:cs="Times New Roman" w:eastAsia="Times New Roman" w:hint="default"/>
                <w:sz w:val="18"/>
                <w:szCs w:val="18"/>
              </w:rPr>
            </w:pPr>
            <w:r>
              <w:rPr>
                <w:rFonts w:ascii="Times New Roman"/>
                <w:sz w:val="18"/>
              </w:rPr>
              <w:t>88.42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98.91%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4,281,25</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7.35</w:t>
            </w: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35,734,93</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1.07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31,824,</w:t>
            </w:r>
          </w:p>
          <w:p>
            <w:pPr>
              <w:pStyle w:val="TableParagraph"/>
              <w:spacing w:line="240" w:lineRule="auto" w:before="106"/>
              <w:ind w:left="126" w:right="0"/>
              <w:jc w:val="left"/>
              <w:rPr>
                <w:rFonts w:ascii="Times New Roman" w:hAnsi="Times New Roman" w:cs="Times New Roman" w:eastAsia="Times New Roman" w:hint="default"/>
                <w:sz w:val="18"/>
                <w:szCs w:val="18"/>
              </w:rPr>
            </w:pPr>
            <w:r>
              <w:rPr>
                <w:rFonts w:ascii="Times New Roman"/>
                <w:sz w:val="18"/>
              </w:rPr>
              <w:t>136.01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98.64%</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4,683,543</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.53</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27,140,592.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48</w:t>
            </w: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438,984.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438,984.</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438,984</w:t>
            </w:r>
          </w:p>
          <w:p>
            <w:pPr>
              <w:pStyle w:val="TableParagraph"/>
              <w:spacing w:line="240" w:lineRule="auto" w:before="106"/>
              <w:ind w:left="396" w:right="0"/>
              <w:jc w:val="lef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1.36%</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438,984.0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55" w:right="0"/>
              <w:jc w:val="lef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40,455,1</w:t>
            </w:r>
          </w:p>
          <w:p>
            <w:pPr>
              <w:pStyle w:val="TableParagraph"/>
              <w:spacing w:line="240" w:lineRule="auto" w:before="106"/>
              <w:ind w:left="318" w:right="0"/>
              <w:jc w:val="left"/>
              <w:rPr>
                <w:rFonts w:ascii="Times New Roman" w:hAnsi="Times New Roman" w:cs="Times New Roman" w:eastAsia="Times New Roman" w:hint="default"/>
                <w:sz w:val="18"/>
                <w:szCs w:val="18"/>
              </w:rPr>
            </w:pPr>
            <w:r>
              <w:rPr>
                <w:rFonts w:ascii="Times New Roman"/>
                <w:sz w:val="18"/>
              </w:rPr>
              <w:t>72.42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4,720,24</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1.35</w:t>
            </w: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35,734,93</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1.07</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32,263,</w:t>
            </w:r>
          </w:p>
          <w:p>
            <w:pPr>
              <w:pStyle w:val="TableParagraph"/>
              <w:spacing w:line="240" w:lineRule="auto" w:before="106"/>
              <w:ind w:left="126" w:right="0"/>
              <w:jc w:val="left"/>
              <w:rPr>
                <w:rFonts w:ascii="Times New Roman" w:hAnsi="Times New Roman" w:cs="Times New Roman" w:eastAsia="Times New Roman" w:hint="default"/>
                <w:sz w:val="18"/>
                <w:szCs w:val="18"/>
              </w:rPr>
            </w:pPr>
            <w:r>
              <w:rPr>
                <w:rFonts w:ascii="Times New Roman"/>
                <w:sz w:val="18"/>
              </w:rPr>
              <w:t>120.01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5,122,527</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.53</w:t>
            </w: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27,140,592.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48</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right="-20"/>
        <w:jc w:val="left"/>
      </w:pPr>
      <w:r>
        <w:rPr/>
        <w:t>期末单项金额重大并单项计提坏账准备的其他应收款：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before="0"/>
        <w:ind w:left="153"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82"/>
        <w:gridCol w:w="2295"/>
        <w:gridCol w:w="2390"/>
        <w:gridCol w:w="2390"/>
      </w:tblGrid>
      <w:tr>
        <w:trPr>
          <w:trHeight w:val="206" w:hRule="exact"/>
        </w:trPr>
        <w:tc>
          <w:tcPr>
            <w:tcW w:w="248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4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482"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69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82"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27,188,994.08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815,669.82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3,230,058.20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323,005.82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798,639.40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159,727.88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5,965,707.66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2,982,853.83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37,183,399.34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4,281,257.35</w:t>
            </w:r>
          </w:p>
        </w:tc>
        <w:tc>
          <w:tcPr>
            <w:tcW w:w="239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pStyle w:val="BodyText"/>
        <w:spacing w:line="357" w:lineRule="auto" w:before="51"/>
        <w:ind w:right="2050"/>
        <w:jc w:val="left"/>
      </w:pPr>
      <w:r>
        <w:rPr/>
        <w:t>确定该组合依据的说明： 组合中，采用余额百分比法计提坏账准备的其他应收款：</w:t>
      </w:r>
    </w:p>
    <w:p>
      <w:pPr>
        <w:pStyle w:val="BodyText"/>
        <w:spacing w:line="338" w:lineRule="auto" w:before="29"/>
        <w:ind w:right="24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2"/>
        <w:ind w:right="20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right="2050"/>
        <w:jc w:val="left"/>
      </w:pPr>
      <w:r>
        <w:rPr>
          <w:rFonts w:ascii="Times New Roman" w:hAnsi="Times New Roman" w:cs="Times New Roman" w:eastAsia="Times New Roman" w:hint="default"/>
        </w:rPr>
        <w:t>2)</w:t>
      </w:r>
      <w:r>
        <w:rPr/>
        <w:t>本期计提、收回或转回的坏账准备情况</w:t>
      </w:r>
    </w:p>
    <w:p>
      <w:pPr>
        <w:pStyle w:val="BodyText"/>
        <w:spacing w:line="338" w:lineRule="auto" w:before="102"/>
        <w:ind w:right="-16"/>
        <w:jc w:val="left"/>
      </w:pPr>
      <w:r>
        <w:rPr/>
        <w:t>本期计提坏账准备金额</w:t>
      </w:r>
      <w:r>
        <w:rPr>
          <w:spacing w:val="-46"/>
        </w:rPr>
        <w:t> </w:t>
      </w:r>
      <w:r>
        <w:rPr>
          <w:rFonts w:ascii="Times New Roman" w:hAnsi="Times New Roman" w:cs="Times New Roman" w:eastAsia="Times New Roman" w:hint="default"/>
        </w:rPr>
        <w:t>73,506.95</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475,793.13</w:t>
      </w:r>
      <w:r>
        <w:rPr>
          <w:rFonts w:ascii="Times New Roman" w:hAnsi="Times New Roman" w:cs="Times New Roman" w:eastAsia="Times New Roman" w:hint="default"/>
          <w:spacing w:val="-1"/>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left="153" w:right="0"/>
        <w:jc w:val="left"/>
      </w:pPr>
      <w:r>
        <w:rPr/>
        <w:t>单位： 元</w:t>
      </w:r>
    </w:p>
    <w:p>
      <w:pPr>
        <w:spacing w:after="0" w:line="240" w:lineRule="auto"/>
        <w:jc w:val="left"/>
        <w:sectPr>
          <w:type w:val="continuous"/>
          <w:pgSz w:w="11910" w:h="16840"/>
          <w:pgMar w:top="1060" w:bottom="1160" w:left="980" w:right="0"/>
          <w:cols w:num="2" w:equalWidth="0">
            <w:col w:w="6725" w:space="2104"/>
            <w:col w:w="210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51"/>
        <w:ind w:right="0"/>
        <w:jc w:val="left"/>
      </w:pPr>
      <w:r>
        <w:rPr>
          <w:rFonts w:ascii="Times New Roman" w:hAnsi="Times New Roman" w:cs="Times New Roman" w:eastAsia="Times New Roman" w:hint="default"/>
        </w:rPr>
        <w:t>3)</w:t>
      </w:r>
      <w:r>
        <w:rPr/>
        <w:t>本期实际核销的其他应收款情况</w:t>
      </w:r>
    </w:p>
    <w:p>
      <w:pPr>
        <w:pStyle w:val="BodyText"/>
        <w:spacing w:line="240" w:lineRule="auto" w:before="104"/>
        <w:ind w:left="7524"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2"/>
        <w:ind w:right="0"/>
        <w:jc w:val="left"/>
      </w:pPr>
      <w:r>
        <w:rPr/>
        <w:t>其中重要的其他应收款核销情况：</w:t>
      </w:r>
    </w:p>
    <w:p>
      <w:pPr>
        <w:pStyle w:val="BodyText"/>
        <w:spacing w:line="240" w:lineRule="auto" w:before="116"/>
        <w:ind w:left="7524" w:right="1130"/>
        <w:jc w:val="right"/>
      </w:pPr>
      <w:r>
        <w:rPr/>
        <w:t>单位： 元</w:t>
      </w:r>
    </w:p>
    <w:p>
      <w:pPr>
        <w:spacing w:after="0" w:line="240" w:lineRule="auto"/>
        <w:jc w:val="right"/>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pStyle w:val="BodyText"/>
        <w:spacing w:line="240" w:lineRule="auto" w:before="51"/>
        <w:ind w:right="-20"/>
        <w:jc w:val="left"/>
      </w:pPr>
      <w:r>
        <w:rPr/>
        <w:t>其他应收款核销说明：</w:t>
      </w:r>
    </w:p>
    <w:p>
      <w:pPr>
        <w:pStyle w:val="BodyText"/>
        <w:spacing w:line="240" w:lineRule="auto" w:before="117"/>
        <w:ind w:right="-20"/>
        <w:jc w:val="left"/>
      </w:pPr>
      <w:r>
        <w:rPr>
          <w:rFonts w:ascii="Times New Roman" w:hAnsi="Times New Roman" w:cs="Times New Roman" w:eastAsia="Times New Roman" w:hint="default"/>
        </w:rPr>
        <w:t>4)</w:t>
      </w:r>
      <w:r>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before="0"/>
        <w:ind w:left="153" w:right="0"/>
        <w:jc w:val="left"/>
      </w:pPr>
      <w:r>
        <w:rPr/>
        <w:t>单位： 元</w:t>
      </w:r>
    </w:p>
    <w:p>
      <w:pPr>
        <w:spacing w:after="0" w:line="240" w:lineRule="auto"/>
        <w:jc w:val="left"/>
        <w:sectPr>
          <w:type w:val="continuous"/>
          <w:pgSz w:w="11910" w:h="16840"/>
          <w:pgMar w:top="1060" w:bottom="1160" w:left="980" w:right="0"/>
          <w:cols w:num="2" w:equalWidth="0">
            <w:col w:w="2825" w:space="600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21,390,178.43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23,486,327.99</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土地回收款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5,609,700.00</w:t>
            </w:r>
          </w:p>
        </w:tc>
        <w:tc>
          <w:tcPr>
            <w:tcW w:w="31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10,047,689.64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7,659,985.41</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关联方资金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2,832,789.08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281,092.58</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574,815.27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835,714.03</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40,455,172.42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32,263,120.01</w:t>
            </w:r>
          </w:p>
        </w:tc>
      </w:tr>
    </w:tbl>
    <w:p>
      <w:pPr>
        <w:pStyle w:val="BodyText"/>
        <w:spacing w:line="240" w:lineRule="auto" w:before="51"/>
        <w:ind w:right="0"/>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3"/>
        <w:ind w:left="7524"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1"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鸠江区湾里街道办事 处</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土地回收款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5,609,700.00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13.87%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168,291.00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江苏富强新材料有限 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5,586,000.00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13.81%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167,580.00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芜湖市鸠江区财政局</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土地保证金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2,576,600.00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1,288,300.00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上海华祉数据科技有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1,101,500.00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33,045.00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芜湖市公共资源交易 中心</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941,128.00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865,268.00,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101,662.80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15,814,928.00</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39.10%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1,758,878.80</w:t>
            </w:r>
          </w:p>
        </w:tc>
      </w:tr>
    </w:tbl>
    <w:p>
      <w:pPr>
        <w:pStyle w:val="BodyText"/>
        <w:spacing w:line="240" w:lineRule="auto" w:before="51"/>
        <w:ind w:right="0"/>
        <w:jc w:val="left"/>
      </w:pPr>
      <w:r>
        <w:rPr>
          <w:rFonts w:ascii="Times New Roman" w:hAnsi="Times New Roman" w:cs="Times New Roman" w:eastAsia="Times New Roman" w:hint="default"/>
        </w:rPr>
        <w:t>6)</w:t>
      </w:r>
      <w:r>
        <w:rPr/>
        <w:t>涉及政府补助的应收款项</w:t>
      </w:r>
    </w:p>
    <w:p>
      <w:pPr>
        <w:pStyle w:val="BodyText"/>
        <w:spacing w:line="240" w:lineRule="auto" w:before="103"/>
        <w:ind w:left="7524"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26"/>
        <w:gridCol w:w="1866"/>
        <w:gridCol w:w="1866"/>
        <w:gridCol w:w="1868"/>
        <w:gridCol w:w="1933"/>
      </w:tblGrid>
      <w:tr>
        <w:trPr>
          <w:trHeight w:val="714"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5" w:right="56"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pStyle w:val="BodyText"/>
        <w:spacing w:line="240" w:lineRule="auto" w:before="52"/>
        <w:ind w:right="0"/>
        <w:jc w:val="left"/>
      </w:pPr>
      <w:r>
        <w:rPr>
          <w:rFonts w:ascii="Times New Roman" w:hAnsi="Times New Roman" w:cs="Times New Roman" w:eastAsia="Times New Roman" w:hint="default"/>
        </w:rPr>
        <w:t>7)</w:t>
      </w:r>
      <w:r>
        <w:rPr/>
        <w:t>因金融资产转移而终止确认的其他应收款</w:t>
      </w:r>
    </w:p>
    <w:p>
      <w:pPr>
        <w:pStyle w:val="BodyText"/>
        <w:spacing w:line="340" w:lineRule="auto" w:before="102"/>
        <w:ind w:right="6642"/>
        <w:jc w:val="left"/>
      </w:pPr>
      <w:r>
        <w:rPr>
          <w:rFonts w:ascii="Times New Roman" w:hAnsi="Times New Roman" w:cs="Times New Roman" w:eastAsia="Times New Roman" w:hint="default"/>
        </w:rPr>
        <w:t>8)</w:t>
      </w:r>
      <w:r>
        <w:rPr/>
        <w:t>转移其他应收款且继续涉入形成的资产、负债金额</w:t>
      </w:r>
      <w:r>
        <w:rPr>
          <w:w w:val="99"/>
        </w:rPr>
        <w:t> </w:t>
      </w:r>
      <w:r>
        <w:rPr/>
        <w:t>其他说明：</w:t>
      </w:r>
    </w:p>
    <w:p>
      <w:pPr>
        <w:spacing w:line="240" w:lineRule="auto" w:before="13"/>
        <w:rPr>
          <w:rFonts w:ascii="宋体" w:hAnsi="宋体" w:cs="宋体" w:eastAsia="宋体" w:hint="default"/>
          <w:sz w:val="20"/>
          <w:szCs w:val="20"/>
        </w:rPr>
      </w:pPr>
    </w:p>
    <w:p>
      <w:pPr>
        <w:pStyle w:val="Heading4"/>
        <w:spacing w:line="240" w:lineRule="auto"/>
        <w:ind w:right="0"/>
        <w:jc w:val="left"/>
        <w:rPr>
          <w:b w:val="0"/>
          <w:bCs w:val="0"/>
        </w:rPr>
      </w:pPr>
      <w:bookmarkStart w:name="3、长期股权投资" w:id="451"/>
      <w:bookmarkEnd w:id="451"/>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7524" w:right="1130"/>
        <w:jc w:val="right"/>
      </w:pPr>
      <w:r>
        <w:rPr/>
        <w:t>单位： 元</w:t>
      </w:r>
    </w:p>
    <w:p>
      <w:pPr>
        <w:spacing w:after="0" w:line="240" w:lineRule="auto"/>
        <w:jc w:val="right"/>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3,617,127,272.38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3,617,127,272.38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3,597,227,272.38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3,597,227,272.38</w:t>
            </w:r>
          </w:p>
        </w:tc>
      </w:tr>
      <w:tr>
        <w:trPr>
          <w:trHeight w:val="71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10,327,725.62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10,327,725.62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8,842,391.64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8,842,391.64</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3,627,454,998.00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3,627,454,998.00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3,606,069,664.02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3,606,069,664.02</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对子公司投资" w:id="452"/>
      <w:bookmarkEnd w:id="452"/>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7524"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安徽森源电器有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296,850,178.48</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296,850,178.48</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安徽鑫龙低压电 器有限公司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100,514,452.25</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100,514,452.25</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安徽鑫龙自动化 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30,764,472.08</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30,764,472.08</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安徽鑫龙变压器 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3,154,784.31</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3,154,784.31</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安徽鑫龙电器元 件销售有限公司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4,479,262.50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4,479,262.50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安徽北辰能源工 程技术有限公司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30,146,420.03</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30,146,420.03</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安徽佑赛科技股 份有限公司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23,400,000.00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23,400,000.00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安徽鑫东投资管 理有限公司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亳州鑫龙电气有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天津市泰达工程 设计有限公司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112,860,000.00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112,860,000.00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安徽杰偌新材料 技术有限公司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苏州开关二厂有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294,000,000.00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294,000,000.00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北京中电兴发科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2,605,957,702.73</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2,605,957,702.73</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安徽鑫龙售电有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安徽鑫龙电器有 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19,900,000.00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19,900,000.00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3,597,227,272.38</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3,617,127,272.38</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对联营、合营企业投资" w:id="453"/>
      <w:bookmarkEnd w:id="453"/>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7524"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惠国征信 服务股份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4,420,941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320,190.5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4,741,132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芜湖中电 兆威电子 股份有限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4,421,450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1,165,143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5,586,593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.55</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8,842,391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1,485,333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10,327,72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5.62</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8,842,391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1,485,333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10,327,72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5.62</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其他说明" w:id="454"/>
      <w:bookmarkEnd w:id="454"/>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4、营业收入和营业成本" w:id="455"/>
      <w:bookmarkEnd w:id="455"/>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7524"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83"/>
        <w:gridCol w:w="1838"/>
        <w:gridCol w:w="1913"/>
        <w:gridCol w:w="1913"/>
        <w:gridCol w:w="1913"/>
      </w:tblGrid>
      <w:tr>
        <w:trPr>
          <w:trHeight w:val="205" w:hRule="exact"/>
        </w:trPr>
        <w:tc>
          <w:tcPr>
            <w:tcW w:w="1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83"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543,797,969.50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464,227,327.74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583,344,364.71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489,662,894.85</w:t>
            </w: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14,182,047.10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8,627,172.53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13,157,266.18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6,745,005.19</w:t>
            </w: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557,980,016.60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472,854,500.27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596,501,630.89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496,407,900.04</w:t>
            </w:r>
          </w:p>
        </w:tc>
      </w:tr>
    </w:tbl>
    <w:p>
      <w:pPr>
        <w:pStyle w:val="BodyText"/>
        <w:spacing w:line="240" w:lineRule="auto" w:before="51"/>
        <w:ind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5、投资收益" w:id="456"/>
      <w:bookmarkEnd w:id="456"/>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7524"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90,168,279.31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64,076,402.12</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1,485,333.98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-598,478.34</w:t>
            </w:r>
            <w:r>
              <w:rPr>
                <w:rFonts w:ascii="Times New Roman"/>
                <w:sz w:val="18"/>
              </w:rPr>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146,000.00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146,000.00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其他投资收益</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2,136,534.67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35,560.51</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93,936,147.96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63,659,484.29</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6、其他" w:id="457"/>
      <w:bookmarkEnd w:id="457"/>
      <w:r>
        <w:rPr>
          <w:b w:val="0"/>
          <w:bCs w:val="0"/>
        </w:rPr>
      </w: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right="0"/>
        <w:jc w:val="left"/>
        <w:rPr>
          <w:b w:val="0"/>
          <w:bCs w:val="0"/>
        </w:rPr>
      </w:pPr>
      <w:bookmarkStart w:name="十七、补充资料" w:id="458"/>
      <w:bookmarkEnd w:id="458"/>
      <w:r>
        <w:rPr>
          <w:b w:val="0"/>
          <w:bCs w:val="0"/>
        </w:rPr>
      </w:r>
      <w:r>
        <w:rPr/>
        <w:t>十七、补充资料</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当期非经常性损益明细表" w:id="459"/>
      <w:bookmarkEnd w:id="459"/>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7524"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2,564,344.13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14,265,435.50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3,968,385.60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8"/>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 回</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873,378.23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-3,190,104.26</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3,087,826.68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1,100,008.77</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14,293,603.75</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净资产收益率及每股收益" w:id="460"/>
      <w:bookmarkEnd w:id="460"/>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2"/>
        <w:gridCol w:w="3081"/>
        <w:gridCol w:w="1913"/>
        <w:gridCol w:w="1915"/>
      </w:tblGrid>
      <w:tr>
        <w:trPr>
          <w:trHeight w:val="402" w:hRule="exact"/>
        </w:trPr>
        <w:tc>
          <w:tcPr>
            <w:tcW w:w="2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402" w:hRule="exact"/>
        </w:trPr>
        <w:tc>
          <w:tcPr>
            <w:tcW w:w="2662" w:type="dxa"/>
            <w:vMerge/>
            <w:tcBorders>
              <w:left w:val="single" w:sz="4" w:space="0" w:color="000000"/>
              <w:bottom w:val="single" w:sz="4" w:space="0" w:color="000000"/>
              <w:right w:val="single" w:sz="4" w:space="0" w:color="000000"/>
            </w:tcBorders>
            <w:shd w:val="clear" w:color="auto" w:fill="D2D2D2"/>
          </w:tcPr>
          <w:p>
            <w:pPr/>
          </w:p>
        </w:tc>
        <w:tc>
          <w:tcPr>
            <w:tcW w:w="3081"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2662"/>
        <w:gridCol w:w="3081"/>
        <w:gridCol w:w="1913"/>
        <w:gridCol w:w="1913"/>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0.2505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0.2505</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0.2300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0.2300</w:t>
            </w:r>
          </w:p>
        </w:tc>
      </w:tr>
    </w:tbl>
    <w:p>
      <w:pPr>
        <w:spacing w:line="240" w:lineRule="auto" w:before="3"/>
        <w:rPr>
          <w:rFonts w:ascii="宋体" w:hAnsi="宋体" w:cs="宋体" w:eastAsia="宋体" w:hint="default"/>
          <w:b/>
          <w:bCs/>
          <w:sz w:val="19"/>
          <w:szCs w:val="19"/>
        </w:rPr>
      </w:pPr>
    </w:p>
    <w:p>
      <w:pPr>
        <w:pStyle w:val="Heading4"/>
        <w:spacing w:line="240" w:lineRule="auto" w:before="35"/>
        <w:ind w:right="0"/>
        <w:jc w:val="left"/>
        <w:rPr>
          <w:b w:val="0"/>
          <w:bCs w:val="0"/>
        </w:rPr>
      </w:pPr>
      <w:bookmarkStart w:name="3、境内外会计准则下会计数据差异" w:id="461"/>
      <w:bookmarkEnd w:id="461"/>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同时按照国际会计准则与按中国会计准则披露的财务报告中净利润和净资产差异情况" w:id="462"/>
      <w:bookmarkEnd w:id="462"/>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2）同时按照境外会计准则与按中国会计准则披露的财务报告中净利润和净资产差异情况" w:id="463"/>
      <w:bookmarkEnd w:id="463"/>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59" w:lineRule="auto"/>
        <w:ind w:right="0"/>
        <w:jc w:val="left"/>
        <w:rPr>
          <w:b w:val="0"/>
          <w:bCs w:val="0"/>
        </w:rPr>
      </w:pPr>
      <w:bookmarkStart w:name="（3）境内外会计准则下会计数据差异原因说明，对已经境外审计机构审计的数据进行差异" w:id="464"/>
      <w:bookmarkEnd w:id="464"/>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4、其他" w:id="465"/>
      <w:bookmarkEnd w:id="465"/>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0"/>
          <w:szCs w:val="20"/>
        </w:rPr>
      </w:pPr>
    </w:p>
    <w:p>
      <w:pPr>
        <w:pStyle w:val="Heading1"/>
        <w:spacing w:line="240" w:lineRule="auto"/>
        <w:ind w:left="3286" w:right="0"/>
        <w:jc w:val="left"/>
        <w:rPr>
          <w:b w:val="0"/>
          <w:bCs w:val="0"/>
        </w:rPr>
      </w:pPr>
      <w:bookmarkStart w:name="_TOC_250000" w:id="466"/>
      <w:bookmarkStart w:name="第十二节 备查文件目录" w:id="467"/>
      <w:r>
        <w:rPr>
          <w:b w:val="0"/>
          <w:bCs w:val="0"/>
        </w:rPr>
      </w:r>
      <w:r>
        <w:rPr/>
        <w:t>第十二节</w:t>
      </w:r>
      <w:r>
        <w:rPr>
          <w:spacing w:val="-8"/>
        </w:rPr>
        <w:t> </w:t>
      </w:r>
      <w:r>
        <w:rPr/>
        <w:t>备查文件目录</w:t>
      </w:r>
      <w:bookmarkEnd w:id="466"/>
      <w:r>
        <w:rPr>
          <w:b w:val="0"/>
          <w:bCs w:val="0"/>
        </w:rPr>
      </w:r>
    </w:p>
    <w:p>
      <w:pPr>
        <w:spacing w:line="240" w:lineRule="auto" w:before="12"/>
        <w:rPr>
          <w:rFonts w:ascii="宋体" w:hAnsi="宋体" w:cs="宋体" w:eastAsia="宋体" w:hint="default"/>
          <w:b/>
          <w:bCs/>
          <w:sz w:val="38"/>
          <w:szCs w:val="38"/>
        </w:rPr>
      </w:pPr>
    </w:p>
    <w:p>
      <w:pPr>
        <w:pStyle w:val="Heading3"/>
        <w:spacing w:line="237" w:lineRule="auto"/>
        <w:ind w:right="1392"/>
        <w:jc w:val="left"/>
      </w:pPr>
      <w:r>
        <w:rPr/>
        <w:t>一、载有公司法定代表人、主管财务负责人及会计机构负责人签名并盖章的会计报表。 二、载有会计师事务所盖章、注册会计师签名并盖章的审计报告原件。 三、报告期内在中国证监会指定报纸上公开披露过的所有公司文件的正本及公告的原稿。 四、备查文件备置地点：董事会办公室。</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Heading3"/>
        <w:spacing w:line="240" w:lineRule="auto"/>
        <w:ind w:left="5434" w:right="0"/>
        <w:jc w:val="left"/>
      </w:pPr>
      <w:r>
        <w:rPr/>
        <w:t>安徽中电兴发与鑫龙科技股份有限公司</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Heading3"/>
        <w:spacing w:line="240" w:lineRule="auto"/>
        <w:ind w:left="7524" w:right="1130"/>
        <w:jc w:val="right"/>
      </w:pPr>
      <w:r>
        <w:rPr/>
        <w:t>董事长：瞿洪桂</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Heading3"/>
        <w:spacing w:line="240" w:lineRule="auto"/>
        <w:ind w:left="7524" w:right="1130"/>
        <w:jc w:val="righ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w:t>
      </w:r>
    </w:p>
    <w:sectPr>
      <w:pgSz w:w="11910" w:h="16840"/>
      <w:pgMar w:header="74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96512" type="#_x0000_t75" stroked="false">
          <v:imagedata r:id="rId1" o:title=""/>
        </v:shape>
      </w:pict>
    </w:r>
    <w:r>
      <w:rPr/>
      <w:pict>
        <v:shape style="position:absolute;margin-left:533.179993pt;margin-top:795.517944pt;width:6.5pt;height:11pt;mso-position-horizontal-relative:page;mso-position-vertical-relative:page;z-index:-1196488"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96464" type="#_x0000_t75" stroked="false">
          <v:imagedata r:id="rId1" o:title=""/>
        </v:shape>
      </w:pict>
    </w:r>
    <w:r>
      <w:rPr/>
      <w:pict>
        <v:shape style="position:absolute;margin-left:527.679993pt;margin-top:781.957947pt;width:13pt;height:11pt;mso-position-horizontal-relative:page;mso-position-vertical-relative:page;z-index:-1196440"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96416" type="#_x0000_t75" stroked="false">
          <v:imagedata r:id="rId1" o:title=""/>
        </v:shape>
      </w:pict>
    </w:r>
    <w:r>
      <w:rPr/>
      <w:pict>
        <v:shape style="position:absolute;margin-left:524.179993pt;margin-top:781.957947pt;width:15.5pt;height:11pt;mso-position-horizontal-relative:page;mso-position-vertical-relative:page;z-index:-1196392"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96368" type="#_x0000_t75" stroked="false">
          <v:imagedata r:id="rId1" o:title=""/>
        </v:shape>
      </w:pict>
    </w:r>
    <w:r>
      <w:rPr/>
      <w:pict>
        <v:shape style="position:absolute;margin-left:523.179993pt;margin-top:781.957947pt;width:17.5pt;height:11pt;mso-position-horizontal-relative:page;mso-position-vertical-relative:page;z-index:-1196344"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96320" type="#_x0000_t75" stroked="false">
          <v:imagedata r:id="rId1" o:title=""/>
        </v:shape>
      </w:pict>
    </w:r>
    <w:r>
      <w:rPr/>
      <w:pict>
        <v:shape style="position:absolute;margin-left:524.179993pt;margin-top:781.957947pt;width:15.5pt;height:11pt;mso-position-horizontal-relative:page;mso-position-vertical-relative:page;z-index:-1196296"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200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96272" type="#_x0000_t75" stroked="false">
          <v:imagedata r:id="rId1" o:title=""/>
        </v:shape>
      </w:pict>
    </w:r>
    <w:r>
      <w:rPr/>
      <w:pict>
        <v:shape style="position:absolute;margin-left:523.179993pt;margin-top:781.957947pt;width:17.5pt;height:11pt;mso-position-horizontal-relative:page;mso-position-vertical-relative:page;z-index:-1196248"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299.220001pt;margin-top:36.325607pt;width:240.5pt;height:11.5pt;mso-position-horizontal-relative:page;mso-position-vertical-relative:page;z-index:-1196536" type="#_x0000_t202" filled="false" stroked="false">
          <v:textbox inset="0,0,0,0">
            <w:txbxContent>
              <w:p>
                <w:pPr>
                  <w:pStyle w:val="BodyText"/>
                  <w:spacing w:line="214" w:lineRule="exact" w:before="0"/>
                  <w:ind w:left="20" w:right="0"/>
                  <w:jc w:val="left"/>
                </w:pPr>
                <w:r>
                  <w:rPr/>
                  <w:t>安徽中电兴发与鑫龙科技股份有限公司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bullet"/>
      <w:lvlText w:val="·"/>
      <w:lvlJc w:val="left"/>
      <w:pPr>
        <w:ind w:left="422" w:hanging="361"/>
      </w:pPr>
      <w:rPr>
        <w:rFonts w:hint="default" w:ascii="宋体" w:hAnsi="宋体" w:eastAsia="宋体"/>
        <w:spacing w:val="-1"/>
        <w:w w:val="99"/>
        <w:sz w:val="18"/>
        <w:szCs w:val="18"/>
      </w:rPr>
    </w:lvl>
    <w:lvl w:ilvl="1">
      <w:start w:val="1"/>
      <w:numFmt w:val="bullet"/>
      <w:lvlText w:val="•"/>
      <w:lvlJc w:val="left"/>
      <w:pPr>
        <w:ind w:left="802" w:hanging="361"/>
      </w:pPr>
      <w:rPr>
        <w:rFonts w:hint="default"/>
      </w:rPr>
    </w:lvl>
    <w:lvl w:ilvl="2">
      <w:start w:val="1"/>
      <w:numFmt w:val="bullet"/>
      <w:lvlText w:val="•"/>
      <w:lvlJc w:val="left"/>
      <w:pPr>
        <w:ind w:left="1184" w:hanging="361"/>
      </w:pPr>
      <w:rPr>
        <w:rFonts w:hint="default"/>
      </w:rPr>
    </w:lvl>
    <w:lvl w:ilvl="3">
      <w:start w:val="1"/>
      <w:numFmt w:val="bullet"/>
      <w:lvlText w:val="•"/>
      <w:lvlJc w:val="left"/>
      <w:pPr>
        <w:ind w:left="1566" w:hanging="361"/>
      </w:pPr>
      <w:rPr>
        <w:rFonts w:hint="default"/>
      </w:rPr>
    </w:lvl>
    <w:lvl w:ilvl="4">
      <w:start w:val="1"/>
      <w:numFmt w:val="bullet"/>
      <w:lvlText w:val="•"/>
      <w:lvlJc w:val="left"/>
      <w:pPr>
        <w:ind w:left="1949" w:hanging="361"/>
      </w:pPr>
      <w:rPr>
        <w:rFonts w:hint="default"/>
      </w:rPr>
    </w:lvl>
    <w:lvl w:ilvl="5">
      <w:start w:val="1"/>
      <w:numFmt w:val="bullet"/>
      <w:lvlText w:val="•"/>
      <w:lvlJc w:val="left"/>
      <w:pPr>
        <w:ind w:left="2331" w:hanging="361"/>
      </w:pPr>
      <w:rPr>
        <w:rFonts w:hint="default"/>
      </w:rPr>
    </w:lvl>
    <w:lvl w:ilvl="6">
      <w:start w:val="1"/>
      <w:numFmt w:val="bullet"/>
      <w:lvlText w:val="•"/>
      <w:lvlJc w:val="left"/>
      <w:pPr>
        <w:ind w:left="2713" w:hanging="361"/>
      </w:pPr>
      <w:rPr>
        <w:rFonts w:hint="default"/>
      </w:rPr>
    </w:lvl>
    <w:lvl w:ilvl="7">
      <w:start w:val="1"/>
      <w:numFmt w:val="bullet"/>
      <w:lvlText w:val="•"/>
      <w:lvlJc w:val="left"/>
      <w:pPr>
        <w:ind w:left="3095" w:hanging="361"/>
      </w:pPr>
      <w:rPr>
        <w:rFonts w:hint="default"/>
      </w:rPr>
    </w:lvl>
    <w:lvl w:ilvl="8">
      <w:start w:val="1"/>
      <w:numFmt w:val="bullet"/>
      <w:lvlText w:val="•"/>
      <w:lvlJc w:val="left"/>
      <w:pPr>
        <w:ind w:left="3478"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4"/>
    </w:pPr>
    <w:rPr>
      <w:rFonts w:ascii="宋体" w:hAnsi="宋体" w:eastAsia="宋体"/>
      <w:b/>
      <w:bCs/>
      <w:sz w:val="24"/>
      <w:szCs w:val="24"/>
    </w:rPr>
  </w:style>
  <w:style w:styleId="BodyText" w:type="paragraph">
    <w:name w:val="Body Text"/>
    <w:basedOn w:val="Normal"/>
    <w:uiPriority w:val="1"/>
    <w:qFormat/>
    <w:pPr>
      <w:spacing w:before="44"/>
      <w:ind w:left="154"/>
    </w:pPr>
    <w:rPr>
      <w:rFonts w:ascii="宋体" w:hAnsi="宋体" w:eastAsia="宋体"/>
      <w:sz w:val="18"/>
      <w:szCs w:val="18"/>
    </w:rPr>
  </w:style>
  <w:style w:styleId="Heading1" w:type="paragraph">
    <w:name w:val="Heading 1"/>
    <w:basedOn w:val="Normal"/>
    <w:uiPriority w:val="1"/>
    <w:qFormat/>
    <w:pPr>
      <w:spacing w:before="1"/>
      <w:ind w:left="1882"/>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sz w:val="24"/>
      <w:szCs w:val="24"/>
    </w:rPr>
  </w:style>
  <w:style w:styleId="Heading4" w:type="paragraph">
    <w:name w:val="Heading 4"/>
    <w:basedOn w:val="Normal"/>
    <w:uiPriority w:val="1"/>
    <w:qFormat/>
    <w:pPr>
      <w:ind w:left="154"/>
      <w:outlineLvl w:val="4"/>
    </w:pPr>
    <w:rPr>
      <w:rFonts w:ascii="宋体" w:hAnsi="宋体" w:eastAsia="宋体"/>
      <w:b/>
      <w:bCs/>
      <w:sz w:val="21"/>
      <w:szCs w:val="21"/>
    </w:rPr>
  </w:style>
  <w:style w:styleId="Heading5" w:type="paragraph">
    <w:name w:val="Heading 5"/>
    <w:basedOn w:val="Normal"/>
    <w:uiPriority w:val="1"/>
    <w:qFormat/>
    <w:pPr>
      <w:ind w:left="515"/>
      <w:outlineLvl w:val="5"/>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yperlink" Target="http://www.cninfo.com.cn/" TargetMode="External"/><Relationship Id="rId9" Type="http://schemas.openxmlformats.org/officeDocument/2006/relationships/hyperlink" Target="http://www.ah-zdxl.com/" TargetMode="External"/><Relationship Id="rId10" Type="http://schemas.openxmlformats.org/officeDocument/2006/relationships/hyperlink" Target="mailto:xinlongdsb@126.com" TargetMode="External"/><Relationship Id="rId11" Type="http://schemas.openxmlformats.org/officeDocument/2006/relationships/hyperlink" Target="mailto:ganhongliang@163.com" TargetMode="External"/><Relationship Id="rId12" Type="http://schemas.openxmlformats.org/officeDocument/2006/relationships/image" Target="media/image2.png"/><Relationship Id="rId13" Type="http://schemas.openxmlformats.org/officeDocument/2006/relationships/hyperlink" Target="http://www.cninfo.com/" TargetMode="Externa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安徽中电兴发与鑫龙科技股份有限公司</dc:creator>
  <dc:title>安徽中电兴发与鑫龙科技股份有限公司2018年年度报告全文</dc:title>
  <dcterms:created xsi:type="dcterms:W3CDTF">2020-05-05T02:11:59Z</dcterms:created>
  <dcterms:modified xsi:type="dcterms:W3CDTF">2020-05-05T02:11:59Z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2019-04-24T00:00:00Z</vt:filetime>
  </property>
  <property fmtid="{D5CDD505-2E9C-101B-9397-08002B2CF9AE}" pid="3" name="Creator">
    <vt:lpwstr>Microsoft® Office Word 2007</vt:lpwstr>
  </property>
  <property fmtid="{D5CDD505-2E9C-101B-9397-08002B2CF9AE}" pid="4" name="LastSaved">
    <vt:filetime>2020-05-04T00:00:00Z</vt:filetime>
  </property>
</Properties>
</file>